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521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67F5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4 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67F51" w:rsidRDefault="00D67F5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D67F51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DOOŚ-WDŚZOO.420.67.2021.MW.21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67F51" w:rsidRPr="00D67F51" w:rsidRDefault="00D67F51" w:rsidP="00D67F5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7F5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postępowanie odwoławcze od decyzji Regionalnego Dyrektora Ochrony Środowiska w Białymstoku z 28 września 2021 r., znak: WOOŚ.420.4.2020.DK, określającej środowiskowe uwarunkowania realizacji przedsięwzięcia pod nazwą: Budowa drogi ekspresowej S19 na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dcinku Sokółka - Dobrzyniewo Duż</w:t>
      </w:r>
      <w:r w:rsidRPr="00D67F51">
        <w:rPr>
          <w:rFonts w:asciiTheme="minorHAnsi" w:hAnsiTheme="minorHAnsi" w:cstheme="minorHAnsi"/>
          <w:bCs/>
          <w:color w:val="000000"/>
          <w:sz w:val="24"/>
          <w:szCs w:val="24"/>
        </w:rPr>
        <w:t>e wraz z budową rozbudową i przebudową dróg innej kategorii oraz niezbędnej infrastruktury nie mogło być zakończone w wyznaczonym terminie. Przyczyną zwłoki jest skomplikowany charakter sprawy.</w:t>
      </w:r>
    </w:p>
    <w:p w:rsidR="00D67F51" w:rsidRPr="00D67F51" w:rsidRDefault="00D67F51" w:rsidP="00D67F5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7F51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20 lipca 2022 r.</w:t>
      </w:r>
    </w:p>
    <w:p w:rsidR="00457259" w:rsidRDefault="00D67F51" w:rsidP="00D67F5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7F51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67F51" w:rsidRPr="00D67F51" w:rsidRDefault="00D67F51" w:rsidP="00D67F5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67F51">
        <w:rPr>
          <w:rFonts w:asciiTheme="minorHAnsi" w:hAnsiTheme="minorHAnsi" w:cstheme="minorHAnsi"/>
          <w:bCs/>
        </w:rPr>
        <w:t>Art. 36 Kpa O każdym przypadku niezałatwienia sprawy w terminie organ administracji publicznej jest obowiązany zawiadomić strony, podając przyczyny zwłoki, wskazując nowy termin załatwienia sprawy oraz pouczając o prawic do wniesienia ponaglenia (§ 1). Ten sam obowiązek ciąży na organie administracji publicznej również w przypadku zwłoki w załatwieniu sprawy z przyczyn niezależnych od organu (§ 2).</w:t>
      </w:r>
    </w:p>
    <w:p w:rsidR="00D67F51" w:rsidRPr="00D67F51" w:rsidRDefault="00D67F51" w:rsidP="00D67F5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D67F51">
        <w:rPr>
          <w:rFonts w:asciiTheme="minorHAnsi" w:hAnsiTheme="minorHAnsi" w:cstheme="minorHAnsi"/>
          <w:bCs/>
        </w:rPr>
        <w:t xml:space="preserve"> służy prawo do wniesi</w:t>
      </w:r>
      <w:r>
        <w:rPr>
          <w:rFonts w:asciiTheme="minorHAnsi" w:hAnsiTheme="minorHAnsi" w:cstheme="minorHAnsi"/>
          <w:bCs/>
        </w:rPr>
        <w:t xml:space="preserve">enia ponaglenia, jeżeli: 1) nie </w:t>
      </w:r>
      <w:r w:rsidRPr="00D67F51">
        <w:rPr>
          <w:rFonts w:asciiTheme="minorHAnsi" w:hAnsiTheme="minorHAnsi" w:cstheme="minorHAnsi"/>
          <w:bCs/>
        </w:rPr>
        <w:t xml:space="preserve">załatwiono sprawy w terminie określonym w art. 35 lub przepisach szczególnych ani w terminie wskazanym </w:t>
      </w:r>
      <w:r w:rsidRPr="00D67F51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D67F51" w:rsidRPr="00D67F51" w:rsidRDefault="00D67F51" w:rsidP="00D67F5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67F51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D67F51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D67F51" w:rsidP="00D67F5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67F51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72" w:rsidRDefault="00825F72">
      <w:pPr>
        <w:spacing w:after="0" w:line="240" w:lineRule="auto"/>
      </w:pPr>
      <w:r>
        <w:separator/>
      </w:r>
    </w:p>
  </w:endnote>
  <w:endnote w:type="continuationSeparator" w:id="0">
    <w:p w:rsidR="00825F72" w:rsidRDefault="0082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67F5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25F7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72" w:rsidRDefault="00825F72">
      <w:pPr>
        <w:spacing w:after="0" w:line="240" w:lineRule="auto"/>
      </w:pPr>
      <w:r>
        <w:separator/>
      </w:r>
    </w:p>
  </w:footnote>
  <w:footnote w:type="continuationSeparator" w:id="0">
    <w:p w:rsidR="00825F72" w:rsidRDefault="0082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25F7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25F72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25F7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25F72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67F51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A401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CE8C-9C3A-48E6-94DD-C5062BC7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2023-07-07T12:27:00Z</dcterms:created>
  <dcterms:modified xsi:type="dcterms:W3CDTF">2023-07-07T12:27:00Z</dcterms:modified>
</cp:coreProperties>
</file>