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68711908" r:id="rId7"/>
        </w:pict>
      </w:r>
      <w:r w:rsidRPr="00C62BA7" w:rsidR="001E1A8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160F2F" w:rsidRPr="00F673C0" w:rsidP="00160F2F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F673C0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F673C0">
        <w:rPr>
          <w:rFonts w:ascii="Arial" w:eastAsia="Calibri" w:hAnsi="Arial" w:cs="Arial"/>
          <w:bCs/>
          <w:lang w:eastAsia="en-US"/>
        </w:rPr>
        <w:t>6 lutego 2024</w:t>
      </w:r>
      <w:bookmarkEnd w:id="0"/>
      <w:r w:rsidRPr="00F673C0">
        <w:rPr>
          <w:rFonts w:ascii="Arial" w:eastAsia="Calibri" w:hAnsi="Arial" w:cs="Arial"/>
          <w:bCs/>
          <w:lang w:eastAsia="en-US"/>
        </w:rPr>
        <w:t xml:space="preserve"> r.</w:t>
      </w:r>
    </w:p>
    <w:p w:rsidR="00160F2F" w:rsidRPr="00F673C0" w:rsidP="00160F2F">
      <w:pPr>
        <w:tabs>
          <w:tab w:val="left" w:pos="5103"/>
        </w:tabs>
        <w:spacing w:after="0" w:line="360" w:lineRule="auto"/>
        <w:rPr>
          <w:rFonts w:ascii="Arial" w:eastAsia="Calibri" w:hAnsi="Arial" w:cs="Arial"/>
          <w:bCs/>
          <w:lang w:eastAsia="en-US"/>
        </w:rPr>
      </w:pPr>
      <w:r w:rsidRPr="00F673C0">
        <w:rPr>
          <w:rFonts w:ascii="Arial" w:eastAsia="Calibri" w:hAnsi="Arial" w:cs="Arial"/>
          <w:bCs/>
          <w:lang w:eastAsia="en-US"/>
        </w:rPr>
        <w:tab/>
      </w:r>
      <w:bookmarkStart w:id="1" w:name="ezdSprawaZnak"/>
      <w:r w:rsidRPr="00F673C0">
        <w:rPr>
          <w:rFonts w:ascii="Arial" w:eastAsia="Calibri" w:hAnsi="Arial" w:cs="Arial"/>
          <w:bCs/>
          <w:lang w:eastAsia="en-US"/>
        </w:rPr>
        <w:t>PN.I.431.2.1.2024</w:t>
      </w:r>
      <w:bookmarkEnd w:id="1"/>
      <w:r w:rsidRPr="00F673C0">
        <w:rPr>
          <w:rFonts w:ascii="Arial" w:eastAsia="Calibri" w:hAnsi="Arial" w:cs="Arial"/>
          <w:bCs/>
          <w:lang w:eastAsia="en-US"/>
        </w:rPr>
        <w:t>.</w:t>
      </w:r>
      <w:bookmarkStart w:id="2" w:name="ezdAutorInicjaly"/>
      <w:r w:rsidRPr="00F673C0">
        <w:rPr>
          <w:rFonts w:ascii="Arial" w:eastAsia="Calibri" w:hAnsi="Arial" w:cs="Arial"/>
          <w:bCs/>
          <w:lang w:eastAsia="en-US"/>
        </w:rPr>
        <w:t>MJ</w:t>
      </w:r>
      <w:bookmarkEnd w:id="2"/>
    </w:p>
    <w:p w:rsidR="005E4DEB" w:rsidRPr="00F9166A" w:rsidP="008477F6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bookmarkStart w:id="3" w:name="_GoBack"/>
      <w:bookmarkEnd w:id="3"/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AE7E52" w:rsidRPr="00F9166A" w:rsidP="00870BA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Karina Grobbel-Paprotna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ul. Jana Pawła II 23b m.6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49 – 300 Brzeg</w:t>
      </w:r>
    </w:p>
    <w:p w:rsidR="005E4DEB" w:rsidRPr="00F9166A" w:rsidP="00BF2281">
      <w:pPr>
        <w:spacing w:before="84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Karina Grobbel-Paprotna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ul. Jana Pawła II 23b m. 6, 49 – 300 Brzeg.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Od dnia 1 stycznia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 xml:space="preserve">do dnia przeprowadzenia czynności kontrolnych (tłumacz przysięgły stawił się w Opolskim Urzędzie Wojewódzkim w Opolu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dniu </w:t>
      </w:r>
      <w:r w:rsidRPr="00F439BB">
        <w:rPr>
          <w:rFonts w:ascii="Arial" w:eastAsia="Times New Roman" w:hAnsi="Arial" w:cs="Arial"/>
          <w:bCs/>
          <w:sz w:val="24"/>
          <w:szCs w:val="24"/>
        </w:rPr>
        <w:t>29 stycznia 2024 r.</w:t>
      </w:r>
      <w:r>
        <w:rPr>
          <w:rFonts w:ascii="Arial" w:eastAsia="Times New Roman" w:hAnsi="Arial" w:cs="Arial"/>
          <w:bCs/>
          <w:sz w:val="24"/>
          <w:szCs w:val="24"/>
        </w:rPr>
        <w:t>)</w:t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C2B0A" w:rsidP="003C2B0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 w:rsidRPr="00F1311E">
        <w:rPr>
          <w:rFonts w:ascii="Arial" w:hAnsi="Arial" w:cs="Arial"/>
          <w:sz w:val="24"/>
          <w:szCs w:val="24"/>
        </w:rPr>
        <w:t>22 stycznia 2024 r. – 2 lutego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Inspektor</w:t>
      </w:r>
      <w:r>
        <w:rPr>
          <w:rFonts w:ascii="Arial" w:hAnsi="Arial" w:cs="Arial"/>
          <w:sz w:val="24"/>
          <w:szCs w:val="24"/>
        </w:rPr>
        <w:t xml:space="preserve"> Wojewódzki</w:t>
      </w:r>
      <w:r w:rsidRPr="003A042A">
        <w:rPr>
          <w:rFonts w:ascii="Arial" w:hAnsi="Arial" w:cs="Arial"/>
          <w:sz w:val="24"/>
          <w:szCs w:val="24"/>
        </w:rPr>
        <w:t xml:space="preserve">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</w:t>
      </w:r>
      <w:bookmarkStart w:id="5" w:name="_Hlk130553955"/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  <w:bookmarkEnd w:id="5"/>
    </w:p>
    <w:p w:rsidR="005E4DEB" w:rsidRPr="00B715E7" w:rsidP="00004311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Karina Grobbel-Paprotna</w:t>
      </w:r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>
        <w:rPr>
          <w:rFonts w:ascii="Arial" w:eastAsia="Times New Roman" w:hAnsi="Arial" w:cs="Arial"/>
          <w:sz w:val="24"/>
          <w:szCs w:val="24"/>
        </w:rPr>
        <w:t xml:space="preserve">niemieckiego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>
        <w:rPr>
          <w:rFonts w:ascii="Arial" w:eastAsia="Times New Roman" w:hAnsi="Arial" w:cs="Arial"/>
          <w:sz w:val="24"/>
          <w:szCs w:val="24"/>
        </w:rPr>
        <w:t>4 listopada</w:t>
      </w:r>
      <w:r w:rsidRPr="00B715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2002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została wpisana </w:t>
      </w:r>
      <w:r w:rsidRPr="00B715E7">
        <w:rPr>
          <w:rFonts w:ascii="Arial" w:eastAsia="Times New Roman" w:hAnsi="Arial" w:cs="Arial"/>
          <w:sz w:val="24"/>
          <w:szCs w:val="24"/>
        </w:rPr>
        <w:t>pod Nr TP/</w:t>
      </w:r>
      <w:r>
        <w:rPr>
          <w:rFonts w:ascii="Arial" w:eastAsia="Times New Roman" w:hAnsi="Arial" w:cs="Arial"/>
          <w:sz w:val="24"/>
          <w:szCs w:val="24"/>
        </w:rPr>
        <w:t>6649</w:t>
      </w:r>
      <w:r w:rsidRPr="00B715E7">
        <w:rPr>
          <w:rFonts w:ascii="Arial" w:eastAsia="Times New Roman" w:hAnsi="Arial" w:cs="Arial"/>
          <w:sz w:val="24"/>
          <w:szCs w:val="24"/>
        </w:rPr>
        <w:t>/05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DE4931" w:rsidRPr="00620445" w:rsidP="00620445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6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6"/>
      <w:r w:rsidRPr="00620445">
        <w:rPr>
          <w:rFonts w:ascii="Arial" w:hAnsi="Arial" w:cs="Arial"/>
          <w:color w:val="000000" w:themeColor="text1"/>
          <w:sz w:val="24"/>
        </w:rPr>
        <w:t xml:space="preserve">, tj. sądu, prokuratora, Policji oraz organów administracji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620445">
        <w:rPr>
          <w:rFonts w:ascii="Arial" w:hAnsi="Arial" w:cs="Arial"/>
          <w:b/>
          <w:color w:val="000000" w:themeColor="text1"/>
          <w:sz w:val="24"/>
          <w:szCs w:val="24"/>
        </w:rPr>
        <w:t>pozytywnie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>z nieprawidłowościami.</w:t>
      </w:r>
      <w:r w:rsidRPr="00620445">
        <w:rPr>
          <w:rFonts w:ascii="Arial" w:hAnsi="Arial" w:cs="Arial"/>
          <w:color w:val="000000" w:themeColor="text1"/>
          <w:sz w:val="24"/>
        </w:rPr>
        <w:t xml:space="preserve"> </w:t>
      </w:r>
    </w:p>
    <w:p w:rsidR="00704DB3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F439BB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pisemną prośbę tłumacza przysięgłego Pani Kariny Grobbel-Paprotna dotyczącą zmiany terminu osobistego stawiennictwa w Wydziale Prawnym i Nadzoru Opolskiego Urzędu Wojewódzkiego w Opolu, Zespół kontrolujący przychylił się </w:t>
      </w:r>
      <w:r>
        <w:rPr>
          <w:rFonts w:ascii="Arial" w:hAnsi="Arial" w:cs="Arial"/>
          <w:sz w:val="24"/>
          <w:szCs w:val="24"/>
        </w:rPr>
        <w:br/>
        <w:t xml:space="preserve">do prośby i przesunął termin stawiennictwa na </w:t>
      </w:r>
      <w:r w:rsidRPr="00A86B6A">
        <w:rPr>
          <w:rFonts w:ascii="Arial" w:hAnsi="Arial" w:cs="Arial"/>
          <w:b/>
          <w:sz w:val="24"/>
          <w:szCs w:val="24"/>
        </w:rPr>
        <w:t>29 stycznia 2024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39BB" w:rsidRPr="00D1223A" w:rsidP="00D1223A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</w:t>
      </w:r>
      <w:r>
        <w:rPr>
          <w:rFonts w:ascii="Arial" w:hAnsi="Arial" w:cs="Arial"/>
          <w:sz w:val="24"/>
        </w:rPr>
        <w:t xml:space="preserve">ta kontroli, załączniki Nr: 1 </w:t>
      </w:r>
      <w:r w:rsidRPr="0078553A">
        <w:rPr>
          <w:rFonts w:ascii="Arial" w:hAnsi="Arial" w:cs="Arial"/>
          <w:color w:val="000000" w:themeColor="text1"/>
          <w:sz w:val="24"/>
        </w:rPr>
        <w:t xml:space="preserve">- </w:t>
      </w:r>
      <w:r>
        <w:rPr>
          <w:rFonts w:ascii="Arial" w:hAnsi="Arial" w:cs="Arial"/>
          <w:color w:val="000000" w:themeColor="text1"/>
          <w:sz w:val="24"/>
        </w:rPr>
        <w:t>3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2938E6" w:rsidRPr="00D1223A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>
        <w:rPr>
          <w:rFonts w:ascii="Arial" w:hAnsi="Arial" w:cs="Arial"/>
          <w:sz w:val="24"/>
          <w:szCs w:val="24"/>
        </w:rPr>
        <w:t xml:space="preserve">okresie objętym kontrolą </w:t>
      </w:r>
      <w:r>
        <w:rPr>
          <w:rFonts w:ascii="Arial" w:hAnsi="Arial" w:cs="Arial"/>
          <w:sz w:val="24"/>
          <w:szCs w:val="24"/>
        </w:rPr>
        <w:t xml:space="preserve">od 1 stycznia 2023 r. do dnia 29 stycznia 2024 r., </w:t>
      </w:r>
      <w:r w:rsidRPr="00F9166A">
        <w:rPr>
          <w:rFonts w:ascii="Arial" w:hAnsi="Arial" w:cs="Arial"/>
          <w:sz w:val="24"/>
          <w:szCs w:val="24"/>
        </w:rPr>
        <w:t>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855 wpisów w 2023 r. oraz 52 wpisy w 2024 r.</w:t>
      </w:r>
      <w:r w:rsidRPr="00220816">
        <w:rPr>
          <w:rFonts w:ascii="Arial" w:hAnsi="Arial" w:cs="Arial"/>
          <w:sz w:val="24"/>
        </w:rPr>
        <w:t xml:space="preserve"> </w:t>
      </w:r>
    </w:p>
    <w:p w:rsidR="00BB52E7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Zgodnie z założeniami do kontroli z </w:t>
      </w:r>
      <w:r>
        <w:rPr>
          <w:rFonts w:ascii="Arial" w:hAnsi="Arial" w:cs="Arial"/>
          <w:sz w:val="24"/>
        </w:rPr>
        <w:t xml:space="preserve">4 stycznia </w:t>
      </w:r>
      <w:r w:rsidRPr="00F571A8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4</w:t>
      </w:r>
      <w:r w:rsidRPr="00F571A8">
        <w:rPr>
          <w:rFonts w:ascii="Arial" w:hAnsi="Arial" w:cs="Arial"/>
          <w:sz w:val="24"/>
        </w:rPr>
        <w:t xml:space="preserve"> r</w:t>
      </w:r>
      <w:r>
        <w:rPr>
          <w:rFonts w:ascii="Arial" w:hAnsi="Arial" w:cs="Arial"/>
          <w:sz w:val="24"/>
        </w:rPr>
        <w:t>.</w:t>
      </w:r>
      <w:r w:rsidRPr="00F571A8">
        <w:rPr>
          <w:rFonts w:ascii="Arial" w:hAnsi="Arial" w:cs="Arial"/>
          <w:sz w:val="24"/>
        </w:rPr>
        <w:t>, analizie poddano ostatni</w:t>
      </w:r>
      <w:r>
        <w:rPr>
          <w:rFonts w:ascii="Arial" w:hAnsi="Arial" w:cs="Arial"/>
          <w:sz w:val="24"/>
        </w:rPr>
        <w:t>ch</w:t>
      </w:r>
      <w:r w:rsidRPr="00F571A8">
        <w:rPr>
          <w:rFonts w:ascii="Arial" w:hAnsi="Arial" w:cs="Arial"/>
          <w:sz w:val="24"/>
        </w:rPr>
        <w:t xml:space="preserve"> 50 wpisów</w:t>
      </w:r>
      <w:r>
        <w:rPr>
          <w:rFonts w:ascii="Arial" w:hAnsi="Arial" w:cs="Arial"/>
          <w:sz w:val="24"/>
        </w:rPr>
        <w:t xml:space="preserve"> w</w:t>
      </w:r>
      <w:r w:rsidRPr="00F571A8">
        <w:rPr>
          <w:rFonts w:ascii="Arial" w:hAnsi="Arial" w:cs="Arial"/>
          <w:sz w:val="24"/>
        </w:rPr>
        <w:t xml:space="preserve"> repertorium</w:t>
      </w:r>
      <w:r>
        <w:rPr>
          <w:rFonts w:ascii="Arial" w:hAnsi="Arial" w:cs="Arial"/>
          <w:sz w:val="24"/>
        </w:rPr>
        <w:t>,</w:t>
      </w:r>
      <w:r w:rsidRPr="00F571A8">
        <w:rPr>
          <w:rFonts w:ascii="Arial" w:hAnsi="Arial" w:cs="Arial"/>
          <w:sz w:val="24"/>
        </w:rPr>
        <w:t xml:space="preserve"> tj.: </w:t>
      </w:r>
      <w:r>
        <w:rPr>
          <w:rFonts w:ascii="Arial" w:hAnsi="Arial" w:cs="Arial"/>
          <w:sz w:val="24"/>
        </w:rPr>
        <w:t>wpisy od liczby pojedynczej 52</w:t>
      </w:r>
      <w:r w:rsidRPr="00D854F3">
        <w:rPr>
          <w:rFonts w:ascii="Arial" w:hAnsi="Arial" w:cs="Arial"/>
          <w:sz w:val="24"/>
        </w:rPr>
        <w:t xml:space="preserve"> do </w:t>
      </w:r>
      <w:r>
        <w:rPr>
          <w:rFonts w:ascii="Arial" w:hAnsi="Arial" w:cs="Arial"/>
          <w:sz w:val="24"/>
        </w:rPr>
        <w:t>3.</w:t>
      </w:r>
    </w:p>
    <w:p w:rsidR="002938E6" w:rsidRPr="00C91556" w:rsidP="00796DA2">
      <w:pPr>
        <w:spacing w:before="120" w:after="120" w:line="360" w:lineRule="auto"/>
        <w:ind w:right="-284" w:firstLine="567"/>
        <w:rPr>
          <w:rFonts w:ascii="Arial" w:hAnsi="Arial" w:cs="Arial"/>
          <w:sz w:val="24"/>
        </w:rPr>
      </w:pPr>
      <w:r w:rsidRPr="00C91556">
        <w:rPr>
          <w:rFonts w:ascii="Arial" w:hAnsi="Arial" w:cs="Arial"/>
          <w:sz w:val="24"/>
        </w:rPr>
        <w:t xml:space="preserve">Zespół kontrolujący nie poddał kontroli żadnych wpisów </w:t>
      </w:r>
      <w:r>
        <w:rPr>
          <w:rFonts w:ascii="Arial" w:hAnsi="Arial" w:cs="Arial"/>
          <w:sz w:val="24"/>
        </w:rPr>
        <w:t xml:space="preserve">w </w:t>
      </w:r>
      <w:r w:rsidRPr="00C91556">
        <w:rPr>
          <w:rFonts w:ascii="Arial" w:hAnsi="Arial" w:cs="Arial"/>
          <w:sz w:val="24"/>
        </w:rPr>
        <w:t>zakresie prawidłowości pobierania wynagrodzeń za wykonane tłumaczenia na żądanie sądu, prokuratora, Policji oraz organów administracji publicznej</w:t>
      </w:r>
      <w:r>
        <w:rPr>
          <w:rFonts w:ascii="Arial" w:hAnsi="Arial" w:cs="Arial"/>
          <w:sz w:val="24"/>
        </w:rPr>
        <w:t xml:space="preserve"> z uwagi, iż</w:t>
      </w:r>
      <w:r w:rsidRPr="00C91556">
        <w:rPr>
          <w:rFonts w:ascii="Arial" w:hAnsi="Arial" w:cs="Arial"/>
          <w:sz w:val="24"/>
        </w:rPr>
        <w:t xml:space="preserve"> dokonano </w:t>
      </w:r>
      <w:r>
        <w:rPr>
          <w:rFonts w:ascii="Arial" w:hAnsi="Arial" w:cs="Arial"/>
          <w:sz w:val="24"/>
        </w:rPr>
        <w:t xml:space="preserve">2 wpisy </w:t>
      </w:r>
      <w:r w:rsidRPr="00C91556">
        <w:rPr>
          <w:rFonts w:ascii="Arial" w:hAnsi="Arial" w:cs="Arial"/>
          <w:sz w:val="24"/>
        </w:rPr>
        <w:t>w 2023 roku</w:t>
      </w:r>
      <w:r>
        <w:rPr>
          <w:rFonts w:ascii="Arial" w:hAnsi="Arial" w:cs="Arial"/>
          <w:sz w:val="24"/>
        </w:rPr>
        <w:t>.</w:t>
      </w:r>
    </w:p>
    <w:p w:rsidR="00B41111" w:rsidP="000043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7" w:name="_Hlk157505874"/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załącznik Nr 4</w:t>
      </w:r>
      <w:r w:rsidRPr="00891A80">
        <w:rPr>
          <w:rFonts w:ascii="Arial" w:hAnsi="Arial" w:cs="Arial"/>
          <w:sz w:val="24"/>
        </w:rPr>
        <w:t xml:space="preserve"> str.</w:t>
      </w:r>
      <w:r>
        <w:rPr>
          <w:rFonts w:ascii="Arial" w:hAnsi="Arial" w:cs="Arial"/>
          <w:sz w:val="24"/>
        </w:rPr>
        <w:t>1</w:t>
      </w:r>
      <w:r w:rsidRPr="0078553A">
        <w:rPr>
          <w:rFonts w:ascii="Arial" w:hAnsi="Arial" w:cs="Arial"/>
          <w:color w:val="000000" w:themeColor="text1"/>
          <w:sz w:val="24"/>
        </w:rPr>
        <w:t>-</w:t>
      </w:r>
      <w:r>
        <w:rPr>
          <w:rFonts w:ascii="Arial" w:hAnsi="Arial" w:cs="Arial"/>
          <w:color w:val="000000" w:themeColor="text1"/>
          <w:sz w:val="24"/>
        </w:rPr>
        <w:t>22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D15423" w:rsidRPr="000E5079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7"/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>informacją od kontrolowanego tłumacza przysięgłego przesłaną drogą elektroniczną 17 stycznia 2024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  <w:t>29 stycznia 2024 r.</w:t>
      </w:r>
      <w:r w:rsidRPr="000E5079">
        <w:rPr>
          <w:rFonts w:ascii="Arial" w:hAnsi="Arial" w:cs="Arial"/>
          <w:sz w:val="24"/>
        </w:rPr>
        <w:t xml:space="preserve">, </w:t>
      </w:r>
      <w:bookmarkStart w:id="8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2938E6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8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RPr="00D1295C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 xml:space="preserve">Tłumacz przysięgły oświadczył, iż spełnił ustawowy obowiązek złożenia Wojewodzie Opolskiemu wzoru podpisu i odcisku pieczęci, o którym mowa </w:t>
      </w:r>
      <w:r>
        <w:rPr>
          <w:rFonts w:ascii="Arial" w:hAnsi="Arial" w:cs="Arial"/>
          <w:sz w:val="24"/>
        </w:rPr>
        <w:br/>
      </w:r>
      <w:r w:rsidRPr="00D1295C">
        <w:rPr>
          <w:rFonts w:ascii="Arial" w:hAnsi="Arial" w:cs="Arial"/>
          <w:sz w:val="24"/>
        </w:rPr>
        <w:t xml:space="preserve">w art. 19 ustawy o zawodzie tłumacza </w:t>
      </w:r>
      <w:r w:rsidRPr="00286BC6">
        <w:rPr>
          <w:rFonts w:ascii="Arial" w:hAnsi="Arial" w:cs="Arial"/>
          <w:sz w:val="24"/>
        </w:rPr>
        <w:t xml:space="preserve">przysięgłego. </w:t>
      </w:r>
    </w:p>
    <w:p w:rsidR="00586BC8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</w:t>
      </w:r>
      <w:r>
        <w:rPr>
          <w:rFonts w:ascii="Arial" w:hAnsi="Arial" w:cs="Arial"/>
          <w:sz w:val="24"/>
        </w:rPr>
        <w:t>załączniki Nr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5</w:t>
      </w:r>
      <w:r w:rsidRPr="0078553A">
        <w:rPr>
          <w:rFonts w:ascii="Arial" w:hAnsi="Arial" w:cs="Arial"/>
          <w:color w:val="000000" w:themeColor="text1"/>
          <w:sz w:val="24"/>
        </w:rPr>
        <w:t xml:space="preserve"> - </w:t>
      </w:r>
      <w:r>
        <w:rPr>
          <w:rFonts w:ascii="Arial" w:hAnsi="Arial" w:cs="Arial"/>
          <w:color w:val="000000" w:themeColor="text1"/>
          <w:sz w:val="24"/>
        </w:rPr>
        <w:t>8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5B19D9" w:rsidP="0059111F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W toku kontroli stwierdzono, że repertorium prowadzone jest w sposób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niepoprawny i nie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rzetelny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co jest nie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zgodn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z wymogami zawartymi w art. 17 ust. 2 ustawy 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o których mowa poniżej.</w:t>
      </w:r>
    </w:p>
    <w:p w:rsidR="005B19D9" w:rsidP="005B19D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zakresie poprawności prowadzenia repertorium stwierdzono następujące </w:t>
      </w:r>
      <w:r w:rsidRPr="00E46B38">
        <w:rPr>
          <w:rFonts w:ascii="Arial" w:hAnsi="Arial" w:cs="Arial"/>
          <w:sz w:val="24"/>
        </w:rPr>
        <w:t>nieprawidłowoś</w:t>
      </w:r>
      <w:r>
        <w:rPr>
          <w:rFonts w:ascii="Arial" w:hAnsi="Arial" w:cs="Arial"/>
          <w:sz w:val="24"/>
        </w:rPr>
        <w:t>ci</w:t>
      </w:r>
      <w:r w:rsidRPr="00E46B38">
        <w:rPr>
          <w:rFonts w:ascii="Arial" w:hAnsi="Arial" w:cs="Arial"/>
          <w:sz w:val="24"/>
        </w:rPr>
        <w:t>:</w:t>
      </w:r>
    </w:p>
    <w:p w:rsidR="00EC02D0" w:rsidRPr="00EC02D0" w:rsidP="00EC02D0">
      <w:pPr>
        <w:pStyle w:val="ListParagraph"/>
        <w:numPr>
          <w:ilvl w:val="0"/>
          <w:numId w:val="29"/>
        </w:numPr>
        <w:spacing w:before="120" w:after="120" w:line="360" w:lineRule="auto"/>
        <w:ind w:left="851" w:hanging="284"/>
        <w:rPr>
          <w:rFonts w:ascii="Arial" w:hAnsi="Arial" w:cs="Arial"/>
          <w:sz w:val="24"/>
        </w:rPr>
      </w:pPr>
      <w:bookmarkStart w:id="9" w:name="_Hlk157767542"/>
      <w:r w:rsidRPr="00704DB3">
        <w:rPr>
          <w:rFonts w:ascii="Arial" w:hAnsi="Arial" w:cs="Arial"/>
          <w:color w:val="000000" w:themeColor="text1"/>
          <w:sz w:val="24"/>
        </w:rPr>
        <w:t xml:space="preserve">Brak </w:t>
      </w:r>
      <w:r w:rsidRPr="00704DB3">
        <w:rPr>
          <w:rFonts w:ascii="Arial" w:hAnsi="Arial" w:cs="Arial"/>
          <w:sz w:val="24"/>
        </w:rPr>
        <w:t>odnotowania w repertorium ustawowo wymaganych danych</w:t>
      </w:r>
      <w:r>
        <w:rPr>
          <w:rFonts w:ascii="Arial" w:hAnsi="Arial" w:cs="Arial"/>
          <w:sz w:val="24"/>
        </w:rPr>
        <w:t xml:space="preserve"> zgodnie </w:t>
      </w:r>
      <w:r>
        <w:rPr>
          <w:rFonts w:ascii="Arial" w:hAnsi="Arial" w:cs="Arial"/>
          <w:sz w:val="24"/>
        </w:rPr>
        <w:br/>
        <w:t>z art. 17 ust. 2 pkt 3, tj.: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bookmarkEnd w:id="9"/>
      <w:r w:rsidRPr="00EC02D0">
        <w:rPr>
          <w:rFonts w:ascii="Arial" w:hAnsi="Arial" w:cs="Arial"/>
          <w:b/>
          <w:color w:val="000000" w:themeColor="text1"/>
          <w:sz w:val="24"/>
        </w:rPr>
        <w:t>zapisu w uwagach o rodzaju, formie i stanie dokumentu</w:t>
      </w:r>
      <w:r>
        <w:rPr>
          <w:rFonts w:ascii="Arial" w:hAnsi="Arial" w:cs="Arial"/>
          <w:color w:val="000000" w:themeColor="text1"/>
          <w:sz w:val="24"/>
        </w:rPr>
        <w:t xml:space="preserve"> - </w:t>
      </w:r>
      <w:bookmarkStart w:id="10" w:name="_Hlk133404548"/>
      <w:r w:rsidRPr="00070884">
        <w:rPr>
          <w:rFonts w:ascii="Arial" w:hAnsi="Arial" w:cs="Arial"/>
          <w:color w:val="000000" w:themeColor="text1"/>
          <w:sz w:val="24"/>
        </w:rPr>
        <w:t xml:space="preserve">kontrolujący stwierdzili, iż </w:t>
      </w:r>
      <w:r>
        <w:rPr>
          <w:rFonts w:ascii="Arial" w:hAnsi="Arial" w:cs="Arial"/>
          <w:color w:val="000000" w:themeColor="text1"/>
          <w:sz w:val="24"/>
        </w:rPr>
        <w:t xml:space="preserve">we wszystkich </w:t>
      </w:r>
      <w:r w:rsidRPr="00EC02D0">
        <w:rPr>
          <w:rFonts w:ascii="Arial" w:hAnsi="Arial" w:cs="Arial"/>
          <w:color w:val="000000" w:themeColor="text1"/>
          <w:sz w:val="24"/>
        </w:rPr>
        <w:t>50 wpis</w:t>
      </w:r>
      <w:r>
        <w:rPr>
          <w:rFonts w:ascii="Arial" w:hAnsi="Arial" w:cs="Arial"/>
          <w:color w:val="000000" w:themeColor="text1"/>
          <w:sz w:val="24"/>
        </w:rPr>
        <w:t>ach</w:t>
      </w:r>
      <w:r w:rsidRPr="00EC02D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poddanych kontroli, </w:t>
      </w:r>
      <w:r w:rsidRPr="00EC02D0">
        <w:rPr>
          <w:rFonts w:ascii="Arial" w:hAnsi="Arial" w:cs="Arial"/>
          <w:color w:val="000000" w:themeColor="text1"/>
          <w:sz w:val="24"/>
        </w:rPr>
        <w:t xml:space="preserve">nie dokonano wpisu </w:t>
      </w:r>
      <w:bookmarkEnd w:id="10"/>
      <w:r w:rsidRPr="00EC02D0">
        <w:rPr>
          <w:rFonts w:ascii="Arial" w:hAnsi="Arial" w:cs="Arial"/>
          <w:color w:val="000000" w:themeColor="text1"/>
          <w:sz w:val="24"/>
        </w:rPr>
        <w:t>o rodzaju, formie i stanie tłumaczonego dokumentu.</w:t>
      </w:r>
    </w:p>
    <w:p w:rsidR="00EC02D0" w:rsidP="00EC02D0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</w:rPr>
        <w:t xml:space="preserve">Zgodnie ze stanowiskiem </w:t>
      </w:r>
      <w:r w:rsidRPr="00EC02D0">
        <w:rPr>
          <w:rFonts w:ascii="Arial" w:hAnsi="Arial" w:cs="Arial"/>
          <w:sz w:val="24"/>
        </w:rPr>
        <w:t>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Pr="00EC02D0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zasadą jest:</w:t>
      </w:r>
      <w:r>
        <w:rPr>
          <w:rFonts w:ascii="Arial" w:hAnsi="Arial" w:cs="Arial"/>
          <w:sz w:val="24"/>
        </w:rPr>
        <w:br/>
        <w:t xml:space="preserve">wskazanie </w:t>
      </w:r>
      <w:r w:rsidRPr="00EC02D0">
        <w:rPr>
          <w:rFonts w:ascii="Arial" w:hAnsi="Arial" w:cs="Arial"/>
          <w:b/>
          <w:color w:val="000000" w:themeColor="text1"/>
          <w:sz w:val="24"/>
          <w:szCs w:val="24"/>
        </w:rPr>
        <w:t>uwagi o rodzaju, formie i stanie dokumentu</w:t>
      </w:r>
      <w:r w:rsidRPr="00EC02D0">
        <w:rPr>
          <w:rFonts w:ascii="Arial" w:hAnsi="Arial" w:cs="Arial"/>
          <w:color w:val="000000" w:themeColor="text1"/>
          <w:sz w:val="24"/>
          <w:szCs w:val="24"/>
        </w:rPr>
        <w:t xml:space="preserve"> – „… Zawsze jednak należy w tej rubryce stwierdzić, czy dokument jest w formie oryginału lub tekstu niesygnowanego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(kopii, wydruku, faksu, skanu itp.)…</w:t>
      </w:r>
      <w:r w:rsidRPr="00EC02D0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7CEC" w:rsidRPr="00987CEC" w:rsidP="00987CEC">
      <w:pPr>
        <w:pStyle w:val="ListParagraph"/>
        <w:numPr>
          <w:ilvl w:val="0"/>
          <w:numId w:val="29"/>
        </w:numPr>
        <w:spacing w:before="120" w:after="120" w:line="360" w:lineRule="auto"/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bookmarkStart w:id="11" w:name="_Hlk157768214"/>
      <w:bookmarkStart w:id="12" w:name="_Hlk157594293"/>
      <w:r w:rsidRPr="00704DB3">
        <w:rPr>
          <w:rFonts w:ascii="Arial" w:hAnsi="Arial" w:cs="Arial"/>
          <w:color w:val="000000" w:themeColor="text1"/>
          <w:sz w:val="24"/>
        </w:rPr>
        <w:t xml:space="preserve">Brak </w:t>
      </w:r>
      <w:r w:rsidRPr="00704DB3">
        <w:rPr>
          <w:rFonts w:ascii="Arial" w:hAnsi="Arial" w:cs="Arial"/>
          <w:sz w:val="24"/>
        </w:rPr>
        <w:t>odnotowania w repertorium ustawowo wymaganych danych</w:t>
      </w:r>
      <w:r>
        <w:rPr>
          <w:rFonts w:ascii="Arial" w:hAnsi="Arial" w:cs="Arial"/>
          <w:sz w:val="24"/>
        </w:rPr>
        <w:t xml:space="preserve"> zgodnie </w:t>
      </w:r>
      <w:r>
        <w:rPr>
          <w:rFonts w:ascii="Arial" w:hAnsi="Arial" w:cs="Arial"/>
          <w:sz w:val="24"/>
        </w:rPr>
        <w:br/>
        <w:t>z art. 17 ust. 2 pkt 6, tj.: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bookmarkEnd w:id="11"/>
      <w:r w:rsidRPr="00987CEC">
        <w:rPr>
          <w:rFonts w:ascii="Arial" w:hAnsi="Arial" w:cs="Arial"/>
          <w:b/>
          <w:color w:val="000000" w:themeColor="text1"/>
          <w:sz w:val="24"/>
        </w:rPr>
        <w:t>wysokoś</w:t>
      </w:r>
      <w:r>
        <w:rPr>
          <w:rFonts w:ascii="Arial" w:hAnsi="Arial" w:cs="Arial"/>
          <w:b/>
          <w:color w:val="000000" w:themeColor="text1"/>
          <w:sz w:val="24"/>
        </w:rPr>
        <w:t>ć</w:t>
      </w:r>
      <w:r w:rsidRPr="00987CEC">
        <w:rPr>
          <w:rFonts w:ascii="Arial" w:hAnsi="Arial" w:cs="Arial"/>
          <w:b/>
          <w:color w:val="000000" w:themeColor="text1"/>
          <w:sz w:val="24"/>
        </w:rPr>
        <w:t xml:space="preserve"> pobranego wynagrodzenia </w:t>
      </w:r>
      <w:bookmarkEnd w:id="12"/>
      <w:r w:rsidRPr="00987CEC">
        <w:rPr>
          <w:rFonts w:ascii="Arial" w:hAnsi="Arial" w:cs="Arial"/>
          <w:color w:val="000000" w:themeColor="text1"/>
          <w:sz w:val="24"/>
        </w:rPr>
        <w:t>–</w:t>
      </w:r>
      <w:r w:rsidRPr="00070884">
        <w:rPr>
          <w:rFonts w:ascii="Arial" w:hAnsi="Arial" w:cs="Arial"/>
          <w:color w:val="000000" w:themeColor="text1"/>
          <w:sz w:val="24"/>
        </w:rPr>
        <w:t xml:space="preserve">kontrolujący stwierdzili, iż </w:t>
      </w:r>
      <w:r>
        <w:rPr>
          <w:rFonts w:ascii="Arial" w:hAnsi="Arial" w:cs="Arial"/>
          <w:color w:val="000000" w:themeColor="text1"/>
          <w:sz w:val="24"/>
        </w:rPr>
        <w:t xml:space="preserve">w 14 przypadkach widnieje </w:t>
      </w:r>
      <w:r w:rsidRPr="00987CEC">
        <w:rPr>
          <w:rFonts w:ascii="Arial" w:hAnsi="Arial" w:cs="Arial"/>
          <w:color w:val="000000" w:themeColor="text1"/>
          <w:sz w:val="24"/>
        </w:rPr>
        <w:t>zapis: „Faktura nr…”</w:t>
      </w:r>
      <w:r>
        <w:rPr>
          <w:rFonts w:ascii="Arial" w:hAnsi="Arial" w:cs="Arial"/>
          <w:color w:val="000000" w:themeColor="text1"/>
          <w:sz w:val="24"/>
        </w:rPr>
        <w:t>, zamiast wysokości pobranego wynagrodzenia za tłumaczenie</w:t>
      </w:r>
      <w:r w:rsidRPr="00EC02D0">
        <w:rPr>
          <w:rFonts w:ascii="Arial" w:hAnsi="Arial" w:cs="Arial"/>
          <w:color w:val="000000" w:themeColor="text1"/>
          <w:sz w:val="24"/>
        </w:rPr>
        <w:t>.</w:t>
      </w:r>
    </w:p>
    <w:p w:rsidR="00987CEC" w:rsidRPr="00987CEC" w:rsidP="00276056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Zgodnie ze stanowiskiem </w:t>
      </w:r>
      <w:r w:rsidRPr="00987CEC">
        <w:rPr>
          <w:rFonts w:ascii="Arial" w:hAnsi="Arial" w:cs="Arial"/>
          <w:color w:val="000000" w:themeColor="text1"/>
          <w:sz w:val="24"/>
          <w:szCs w:val="24"/>
        </w:rPr>
        <w:t xml:space="preserve">KOZTOP </w:t>
      </w:r>
      <w:r>
        <w:rPr>
          <w:rFonts w:ascii="Arial" w:hAnsi="Arial" w:cs="Arial"/>
          <w:color w:val="000000" w:themeColor="text1"/>
          <w:sz w:val="24"/>
          <w:szCs w:val="24"/>
        </w:rPr>
        <w:t>zasadą</w:t>
      </w:r>
      <w:r w:rsidRPr="00987CEC">
        <w:rPr>
          <w:rFonts w:ascii="Arial" w:hAnsi="Arial" w:cs="Arial"/>
          <w:color w:val="000000" w:themeColor="text1"/>
          <w:sz w:val="24"/>
          <w:szCs w:val="24"/>
        </w:rPr>
        <w:t xml:space="preserve"> jest: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Wskazanie</w:t>
      </w:r>
      <w:r w:rsidRPr="00987C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7CEC">
        <w:rPr>
          <w:rFonts w:ascii="Arial" w:hAnsi="Arial" w:cs="Arial"/>
          <w:b/>
          <w:color w:val="000000" w:themeColor="text1"/>
          <w:sz w:val="24"/>
        </w:rPr>
        <w:t>wysokoś</w:t>
      </w:r>
      <w:r>
        <w:rPr>
          <w:rFonts w:ascii="Arial" w:hAnsi="Arial" w:cs="Arial"/>
          <w:b/>
          <w:color w:val="000000" w:themeColor="text1"/>
          <w:sz w:val="24"/>
        </w:rPr>
        <w:t>ci</w:t>
      </w:r>
      <w:r w:rsidRPr="00987CEC">
        <w:rPr>
          <w:rFonts w:ascii="Arial" w:hAnsi="Arial" w:cs="Arial"/>
          <w:b/>
          <w:color w:val="000000" w:themeColor="text1"/>
          <w:sz w:val="24"/>
        </w:rPr>
        <w:t xml:space="preserve"> pobranego wynagrodzenia </w:t>
      </w:r>
      <w:r w:rsidRPr="00987CEC">
        <w:rPr>
          <w:rFonts w:ascii="Arial" w:hAnsi="Arial" w:cs="Arial"/>
          <w:color w:val="000000" w:themeColor="text1"/>
          <w:sz w:val="24"/>
        </w:rPr>
        <w:t>– „…jest bezwzględny obowiązek odnotowania w tej rubryce repertorium wysokości faktycznie pobranego wynagrodzenia.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987CEC">
        <w:rPr>
          <w:rFonts w:ascii="Arial" w:hAnsi="Arial" w:cs="Arial"/>
          <w:color w:val="000000" w:themeColor="text1"/>
          <w:sz w:val="24"/>
        </w:rPr>
        <w:t>Nieprawidłowością jest wpisanie w tym miejscu numeru faktury, w przypadku prowadzenia przez tłumacza przysięgłego działalności gospodarczej, ponieważ wojewoda nie musi mieć wglądu do ksiąg prowadzonego taką działalność, wiec odsyłanie osoby w jego imieniu kontrującej tłumacza uniemożliwia sprawne przeprowadzenie kontroli”.</w:t>
      </w:r>
    </w:p>
    <w:p w:rsidR="00EC02D0" w:rsidRPr="00987CEC" w:rsidP="00987CEC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612D35">
        <w:rPr>
          <w:rFonts w:ascii="Arial" w:hAnsi="Arial" w:cs="Arial"/>
          <w:sz w:val="24"/>
        </w:rPr>
        <w:t xml:space="preserve">W zakresie </w:t>
      </w:r>
      <w:r>
        <w:rPr>
          <w:rFonts w:ascii="Arial" w:hAnsi="Arial" w:cs="Arial"/>
          <w:sz w:val="24"/>
        </w:rPr>
        <w:t>rzetelności</w:t>
      </w:r>
      <w:r w:rsidRPr="00A20F34">
        <w:rPr>
          <w:rFonts w:ascii="Arial" w:hAnsi="Arial" w:cs="Arial"/>
          <w:sz w:val="24"/>
        </w:rPr>
        <w:t xml:space="preserve"> prowadzenia </w:t>
      </w:r>
      <w:bookmarkStart w:id="13" w:name="_Hlk86065289"/>
      <w:r w:rsidRPr="00A20F34">
        <w:rPr>
          <w:rFonts w:ascii="Arial" w:hAnsi="Arial" w:cs="Arial"/>
          <w:sz w:val="24"/>
        </w:rPr>
        <w:t xml:space="preserve">repertorium </w:t>
      </w:r>
      <w:bookmarkEnd w:id="13"/>
      <w:r w:rsidRPr="00A20F34">
        <w:rPr>
          <w:rFonts w:ascii="Arial" w:hAnsi="Arial" w:cs="Arial"/>
          <w:sz w:val="24"/>
        </w:rPr>
        <w:t xml:space="preserve">stwierdzono </w:t>
      </w:r>
      <w:r>
        <w:rPr>
          <w:rFonts w:ascii="Arial" w:hAnsi="Arial" w:cs="Arial"/>
          <w:sz w:val="24"/>
        </w:rPr>
        <w:t xml:space="preserve">powtarzające się </w:t>
      </w:r>
      <w:r w:rsidRPr="00E46B38">
        <w:rPr>
          <w:rFonts w:ascii="Arial" w:hAnsi="Arial" w:cs="Arial"/>
          <w:sz w:val="24"/>
        </w:rPr>
        <w:t>uchybieni</w:t>
      </w:r>
      <w:r>
        <w:rPr>
          <w:rFonts w:ascii="Arial" w:hAnsi="Arial" w:cs="Arial"/>
          <w:sz w:val="24"/>
        </w:rPr>
        <w:t>e</w:t>
      </w:r>
      <w:r w:rsidRPr="00E46B38">
        <w:rPr>
          <w:rFonts w:ascii="Arial" w:hAnsi="Arial" w:cs="Arial"/>
          <w:sz w:val="24"/>
        </w:rPr>
        <w:t>:</w:t>
      </w:r>
    </w:p>
    <w:p w:rsidR="00D71D18" w:rsidRPr="00276056" w:rsidP="00276056">
      <w:pPr>
        <w:pStyle w:val="ListParagraph"/>
        <w:numPr>
          <w:ilvl w:val="3"/>
          <w:numId w:val="5"/>
        </w:numPr>
        <w:spacing w:before="120" w:after="120" w:line="360" w:lineRule="auto"/>
        <w:ind w:left="851" w:hanging="284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704DB3">
        <w:rPr>
          <w:rFonts w:ascii="Arial" w:hAnsi="Arial" w:cs="Arial"/>
          <w:color w:val="000000" w:themeColor="text1"/>
          <w:sz w:val="24"/>
        </w:rPr>
        <w:t xml:space="preserve">Brak </w:t>
      </w:r>
      <w:r w:rsidRPr="00704DB3">
        <w:rPr>
          <w:rFonts w:ascii="Arial" w:hAnsi="Arial" w:cs="Arial"/>
          <w:sz w:val="24"/>
        </w:rPr>
        <w:t>odnotowania w repertorium ustawowo wymaganych danych</w:t>
      </w:r>
      <w:r>
        <w:rPr>
          <w:rFonts w:ascii="Arial" w:hAnsi="Arial" w:cs="Arial"/>
          <w:sz w:val="24"/>
        </w:rPr>
        <w:t xml:space="preserve"> zgodnie </w:t>
      </w:r>
      <w:r>
        <w:rPr>
          <w:rFonts w:ascii="Arial" w:hAnsi="Arial" w:cs="Arial"/>
          <w:sz w:val="24"/>
        </w:rPr>
        <w:br/>
        <w:t>z art. 17 ust. 2 pkt 3, tj.:</w:t>
      </w:r>
      <w:r>
        <w:rPr>
          <w:rFonts w:ascii="Arial" w:hAnsi="Arial" w:cs="Arial"/>
          <w:color w:val="000000" w:themeColor="text1"/>
          <w:sz w:val="24"/>
        </w:rPr>
        <w:t xml:space="preserve"> w opisie tłumaczonego dokumentu - </w:t>
      </w:r>
      <w:r w:rsidRPr="00276056">
        <w:rPr>
          <w:rFonts w:ascii="Arial" w:hAnsi="Arial" w:cs="Arial"/>
          <w:b/>
          <w:color w:val="000000" w:themeColor="text1"/>
          <w:sz w:val="24"/>
        </w:rPr>
        <w:t>oznaczenia dokumentu</w:t>
      </w:r>
      <w:r>
        <w:rPr>
          <w:rFonts w:ascii="Arial" w:hAnsi="Arial" w:cs="Arial"/>
          <w:color w:val="000000" w:themeColor="text1"/>
          <w:sz w:val="24"/>
        </w:rPr>
        <w:t xml:space="preserve"> – kontrolujący stwierdzili w </w:t>
      </w:r>
      <w:r w:rsidRPr="00276056">
        <w:rPr>
          <w:rFonts w:ascii="Arial" w:hAnsi="Arial" w:cs="Arial"/>
          <w:color w:val="000000" w:themeColor="text1"/>
          <w:sz w:val="24"/>
        </w:rPr>
        <w:t>13 przypadkach dotyczących opisu tłumaczonego dokumentu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76056">
        <w:rPr>
          <w:rFonts w:ascii="Arial" w:hAnsi="Arial" w:cs="Arial"/>
          <w:color w:val="000000" w:themeColor="text1"/>
          <w:sz w:val="24"/>
        </w:rPr>
        <w:t xml:space="preserve">– </w:t>
      </w:r>
      <w:bookmarkStart w:id="14" w:name="_Hlk157768272"/>
      <w:r w:rsidRPr="00276056">
        <w:rPr>
          <w:rFonts w:ascii="Arial" w:hAnsi="Arial" w:cs="Arial"/>
          <w:color w:val="000000" w:themeColor="text1"/>
          <w:sz w:val="24"/>
        </w:rPr>
        <w:t>brak oznaczenia dokumentu.</w:t>
      </w:r>
      <w:r w:rsidRPr="00276056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14"/>
    </w:p>
    <w:p w:rsidR="000E02FC" w:rsidRPr="00276056" w:rsidP="00276056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276056">
        <w:rPr>
          <w:rFonts w:ascii="Arial" w:hAnsi="Arial" w:cs="Arial"/>
          <w:color w:val="000000" w:themeColor="text1"/>
          <w:sz w:val="24"/>
          <w:szCs w:val="24"/>
        </w:rPr>
        <w:t xml:space="preserve">Zgodnie ze stanowiskiem KOZTOP zasadą jest: </w:t>
      </w:r>
      <w:r w:rsidRPr="00276056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oznaczenie dokumentu </w:t>
      </w:r>
      <w:r w:rsidRPr="00276056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– „…</w:t>
      </w:r>
      <w:r w:rsidRPr="00276056">
        <w:rPr>
          <w:rFonts w:ascii="Arial" w:hAnsi="Arial" w:cs="Arial"/>
          <w:color w:val="000000" w:themeColor="text1"/>
          <w:sz w:val="24"/>
        </w:rPr>
        <w:t>numer dokumentu może być w tej rubryce wpisany jako oznaczenie dokumentu, jeśli dokument jest opatrzony numerem (…). (…) W razie braku daty lub oznaczenia dokumentu, należy ten fakt odnotować zwrotem ‘bez oznaczenia’ lub skrótami ‘b. d.’ albo ‘b. o.’”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970D82" w:rsidRPr="00DC61FE" w:rsidP="00DC61FE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bookmarkStart w:id="15" w:name="_Hlk133405011"/>
      <w:r w:rsidRPr="00F95C50">
        <w:rPr>
          <w:rFonts w:ascii="Arial" w:hAnsi="Arial" w:cs="Arial"/>
          <w:sz w:val="24"/>
        </w:rPr>
        <w:t xml:space="preserve">Reasumując, w badanym materiale, </w:t>
      </w:r>
      <w:r w:rsidRPr="00A50944">
        <w:rPr>
          <w:rFonts w:ascii="Arial" w:hAnsi="Arial" w:cs="Arial"/>
          <w:sz w:val="24"/>
        </w:rPr>
        <w:t>stwierdzono</w:t>
      </w:r>
      <w:r>
        <w:rPr>
          <w:rFonts w:ascii="Arial" w:hAnsi="Arial" w:cs="Arial"/>
          <w:sz w:val="24"/>
        </w:rPr>
        <w:t xml:space="preserve"> nieprawidłowości i</w:t>
      </w:r>
      <w:r w:rsidRPr="00A50944">
        <w:rPr>
          <w:rFonts w:ascii="Arial" w:hAnsi="Arial" w:cs="Arial"/>
          <w:sz w:val="24"/>
        </w:rPr>
        <w:t xml:space="preserve"> </w:t>
      </w:r>
      <w:r w:rsidRPr="00EF30CE"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, które</w:t>
      </w:r>
      <w:r w:rsidRPr="00A50944">
        <w:rPr>
          <w:rFonts w:ascii="Arial" w:hAnsi="Arial" w:cs="Arial"/>
          <w:sz w:val="24"/>
        </w:rPr>
        <w:t xml:space="preserve"> miały charakter powtarzalny oraz występowały </w:t>
      </w:r>
      <w:r w:rsidRPr="00EF30CE">
        <w:rPr>
          <w:rFonts w:ascii="Arial" w:hAnsi="Arial" w:cs="Arial"/>
          <w:sz w:val="24"/>
        </w:rPr>
        <w:t>w znacznej liczbie</w:t>
      </w:r>
      <w:r>
        <w:rPr>
          <w:rFonts w:ascii="Arial" w:hAnsi="Arial" w:cs="Arial"/>
          <w:sz w:val="24"/>
        </w:rPr>
        <w:t>,</w:t>
      </w:r>
      <w:r w:rsidRPr="00731D50">
        <w:rPr>
          <w:rFonts w:ascii="Arial" w:hAnsi="Arial" w:cs="Arial"/>
          <w:sz w:val="24"/>
          <w:szCs w:val="24"/>
        </w:rPr>
        <w:t xml:space="preserve"> ale nie mają </w:t>
      </w:r>
      <w:r w:rsidRPr="00731D50">
        <w:rPr>
          <w:rFonts w:ascii="Arial" w:hAnsi="Arial" w:cs="Arial"/>
          <w:sz w:val="24"/>
          <w:szCs w:val="24"/>
        </w:rPr>
        <w:t>one zasadniczego wpływu na kontrolowaną działalność</w:t>
      </w:r>
      <w:r w:rsidRPr="00A50944">
        <w:rPr>
          <w:rFonts w:ascii="Arial" w:hAnsi="Arial" w:cs="Arial"/>
          <w:sz w:val="24"/>
        </w:rPr>
        <w:t xml:space="preserve">, dlatego też zespół kontrolny sformułował ocenę pozytywną z </w:t>
      </w:r>
      <w:bookmarkEnd w:id="15"/>
      <w:r>
        <w:rPr>
          <w:rFonts w:ascii="Arial" w:hAnsi="Arial" w:cs="Arial"/>
          <w:sz w:val="24"/>
        </w:rPr>
        <w:t>nieprawidłowościami.</w:t>
      </w:r>
    </w:p>
    <w:p w:rsidR="000063E1" w:rsidP="00004311">
      <w:pPr>
        <w:pStyle w:val="ListParagraph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495406">
        <w:rPr>
          <w:rFonts w:ascii="Arial" w:hAnsi="Arial" w:cs="Arial"/>
          <w:color w:val="000000" w:themeColor="text1"/>
          <w:sz w:val="24"/>
        </w:rPr>
        <w:t xml:space="preserve">[Dowód: akta kontroli, załącznik Nr 4 </w:t>
      </w:r>
      <w:r w:rsidRPr="003C154B">
        <w:rPr>
          <w:rFonts w:ascii="Arial" w:hAnsi="Arial" w:cs="Arial"/>
          <w:color w:val="000000" w:themeColor="text1"/>
          <w:sz w:val="24"/>
        </w:rPr>
        <w:t>str. 1-22</w:t>
      </w:r>
      <w:r w:rsidRPr="00495406">
        <w:rPr>
          <w:rFonts w:ascii="Arial" w:hAnsi="Arial" w:cs="Arial"/>
          <w:color w:val="000000" w:themeColor="text1"/>
          <w:sz w:val="24"/>
        </w:rPr>
        <w:t>]</w:t>
      </w:r>
    </w:p>
    <w:p w:rsidR="00E60E5B" w:rsidRPr="00755859" w:rsidP="009D75DD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731D50" w:rsidP="0034182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30075">
        <w:rPr>
          <w:rFonts w:ascii="Arial" w:hAnsi="Arial" w:cs="Arial"/>
          <w:sz w:val="24"/>
          <w:szCs w:val="24"/>
        </w:rPr>
        <w:t>W wyniku kontroli ujawniono</w:t>
      </w:r>
      <w:r>
        <w:rPr>
          <w:rFonts w:ascii="Arial" w:hAnsi="Arial" w:cs="Arial"/>
          <w:sz w:val="24"/>
          <w:szCs w:val="24"/>
        </w:rPr>
        <w:t>:</w:t>
      </w:r>
    </w:p>
    <w:p w:rsidR="00731D50" w:rsidP="00731D50">
      <w:pPr>
        <w:pStyle w:val="ListParagraph"/>
        <w:numPr>
          <w:ilvl w:val="3"/>
          <w:numId w:val="5"/>
        </w:numPr>
        <w:spacing w:before="120" w:after="120" w:line="360" w:lineRule="auto"/>
        <w:ind w:right="-142"/>
        <w:rPr>
          <w:rFonts w:ascii="Arial" w:hAnsi="Arial" w:cs="Arial"/>
          <w:sz w:val="24"/>
          <w:szCs w:val="24"/>
        </w:rPr>
      </w:pPr>
      <w:bookmarkStart w:id="16" w:name="_Hlk157769152"/>
      <w:r>
        <w:rPr>
          <w:rFonts w:ascii="Arial" w:hAnsi="Arial" w:cs="Arial"/>
          <w:sz w:val="24"/>
          <w:szCs w:val="24"/>
        </w:rPr>
        <w:t>Nieprawidłowości</w:t>
      </w:r>
      <w:r w:rsidRPr="00731D50">
        <w:rPr>
          <w:rFonts w:ascii="Arial" w:hAnsi="Arial" w:cs="Arial"/>
          <w:sz w:val="24"/>
          <w:szCs w:val="24"/>
        </w:rPr>
        <w:t xml:space="preserve"> w prowadzeniu </w:t>
      </w:r>
      <w:r w:rsidRPr="00731D50">
        <w:rPr>
          <w:rFonts w:ascii="Arial" w:hAnsi="Arial" w:cs="Arial"/>
          <w:sz w:val="24"/>
        </w:rPr>
        <w:t>repertorium</w:t>
      </w:r>
      <w:r w:rsidRPr="00731D50">
        <w:rPr>
          <w:rFonts w:ascii="Arial" w:hAnsi="Arial" w:cs="Arial"/>
          <w:sz w:val="24"/>
          <w:szCs w:val="24"/>
        </w:rPr>
        <w:t xml:space="preserve"> w zakresie stosowania </w:t>
      </w:r>
      <w:r w:rsidRPr="00731D50">
        <w:rPr>
          <w:rFonts w:ascii="Arial" w:hAnsi="Arial" w:cs="Arial"/>
          <w:sz w:val="24"/>
        </w:rPr>
        <w:t xml:space="preserve">art. 17 ust. 2 pkt 3 i 6 ustawy o zawodzie tłumacza przysięgłego, tj.: </w:t>
      </w:r>
      <w:bookmarkEnd w:id="16"/>
      <w:r w:rsidRPr="00731D50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 xml:space="preserve"> we wszystkich wpisach</w:t>
      </w:r>
      <w:r w:rsidRPr="00731D50">
        <w:rPr>
          <w:rFonts w:ascii="Arial" w:hAnsi="Arial" w:cs="Arial"/>
          <w:sz w:val="24"/>
          <w:szCs w:val="24"/>
        </w:rPr>
        <w:t xml:space="preserve"> odnotowania uwag o rodzaju i stanie dokumentu</w:t>
      </w:r>
      <w:r>
        <w:rPr>
          <w:rFonts w:ascii="Arial" w:hAnsi="Arial" w:cs="Arial"/>
          <w:sz w:val="24"/>
          <w:szCs w:val="24"/>
        </w:rPr>
        <w:t xml:space="preserve"> oraz w 14 przypadkach </w:t>
      </w:r>
      <w:r w:rsidRPr="00731D50">
        <w:rPr>
          <w:rFonts w:ascii="Arial" w:hAnsi="Arial" w:cs="Arial"/>
          <w:sz w:val="24"/>
          <w:szCs w:val="24"/>
        </w:rPr>
        <w:t>wysokości pobranego wynagrodzenia.</w:t>
      </w:r>
    </w:p>
    <w:p w:rsidR="005A15BC" w:rsidRPr="00872EA1" w:rsidP="00872EA1">
      <w:pPr>
        <w:pStyle w:val="ListParagraph"/>
        <w:numPr>
          <w:ilvl w:val="3"/>
          <w:numId w:val="5"/>
        </w:numPr>
        <w:spacing w:before="120" w:after="120" w:line="360" w:lineRule="au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Uchybienia w </w:t>
      </w:r>
      <w:r w:rsidRPr="00731D50">
        <w:rPr>
          <w:rFonts w:ascii="Arial" w:hAnsi="Arial" w:cs="Arial"/>
          <w:sz w:val="24"/>
          <w:szCs w:val="24"/>
        </w:rPr>
        <w:t xml:space="preserve">prowadzeniu </w:t>
      </w:r>
      <w:r w:rsidRPr="00731D50">
        <w:rPr>
          <w:rFonts w:ascii="Arial" w:hAnsi="Arial" w:cs="Arial"/>
          <w:sz w:val="24"/>
        </w:rPr>
        <w:t>repertorium</w:t>
      </w:r>
      <w:r w:rsidRPr="00731D50">
        <w:rPr>
          <w:rFonts w:ascii="Arial" w:hAnsi="Arial" w:cs="Arial"/>
          <w:sz w:val="24"/>
          <w:szCs w:val="24"/>
        </w:rPr>
        <w:t xml:space="preserve"> w zakresie stosowania </w:t>
      </w:r>
      <w:r w:rsidRPr="00731D50">
        <w:rPr>
          <w:rFonts w:ascii="Arial" w:hAnsi="Arial" w:cs="Arial"/>
          <w:sz w:val="24"/>
        </w:rPr>
        <w:t>art. 17 ust. 2 pkt 3 ustawy o zawodzie tłumacza przysięgłego, tj.:</w:t>
      </w:r>
      <w:r>
        <w:rPr>
          <w:rFonts w:ascii="Arial" w:hAnsi="Arial" w:cs="Arial"/>
          <w:sz w:val="24"/>
        </w:rPr>
        <w:t xml:space="preserve"> </w:t>
      </w:r>
      <w:r w:rsidRPr="00872EA1">
        <w:rPr>
          <w:rFonts w:ascii="Arial" w:hAnsi="Arial" w:cs="Arial"/>
          <w:sz w:val="24"/>
          <w:szCs w:val="24"/>
        </w:rPr>
        <w:t>brak odnotowania przy</w:t>
      </w:r>
      <w:r w:rsidRPr="00C60203">
        <w:t xml:space="preserve"> </w:t>
      </w:r>
      <w:r w:rsidRPr="00872EA1">
        <w:rPr>
          <w:rFonts w:ascii="Arial" w:hAnsi="Arial" w:cs="Arial"/>
          <w:sz w:val="24"/>
          <w:szCs w:val="24"/>
        </w:rPr>
        <w:t xml:space="preserve">opisie tłumaczonego dokumentu </w:t>
      </w:r>
      <w:r>
        <w:rPr>
          <w:rFonts w:ascii="Arial" w:hAnsi="Arial" w:cs="Arial"/>
          <w:sz w:val="24"/>
          <w:szCs w:val="24"/>
        </w:rPr>
        <w:t xml:space="preserve">w 13 przypadkach </w:t>
      </w:r>
      <w:r w:rsidRPr="00872EA1">
        <w:rPr>
          <w:rFonts w:ascii="Arial" w:hAnsi="Arial" w:cs="Arial"/>
          <w:sz w:val="24"/>
          <w:szCs w:val="24"/>
        </w:rPr>
        <w:t>oznaczenia dokumentu</w:t>
      </w:r>
      <w:r>
        <w:rPr>
          <w:rFonts w:ascii="Arial" w:hAnsi="Arial" w:cs="Arial"/>
          <w:sz w:val="24"/>
          <w:szCs w:val="24"/>
        </w:rPr>
        <w:t>.</w:t>
      </w:r>
      <w:r w:rsidRPr="00872EA1">
        <w:rPr>
          <w:rFonts w:ascii="Arial" w:hAnsi="Arial" w:cs="Arial"/>
          <w:sz w:val="24"/>
          <w:szCs w:val="24"/>
        </w:rPr>
        <w:t xml:space="preserve"> </w:t>
      </w:r>
    </w:p>
    <w:p w:rsidR="00341828" w:rsidRPr="00630075" w:rsidP="0034182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B691A">
        <w:rPr>
          <w:rFonts w:ascii="Arial" w:hAnsi="Arial" w:cs="Arial"/>
          <w:color w:val="000000" w:themeColor="text1"/>
          <w:sz w:val="24"/>
          <w:szCs w:val="24"/>
        </w:rPr>
        <w:t>Za przyczynę stwierdzonych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nieprawidłowości i uchybień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 uznano niezachowanie należytej staranności przy odnotowywaniu wymaganych danych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w prowadzonym </w:t>
      </w:r>
      <w:r w:rsidRPr="003B691A">
        <w:rPr>
          <w:rFonts w:ascii="Arial" w:hAnsi="Arial" w:cs="Arial"/>
          <w:color w:val="000000" w:themeColor="text1"/>
          <w:sz w:val="24"/>
        </w:rPr>
        <w:t>repertorium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8E662A" w:rsidRPr="003B691A" w:rsidP="00BF2281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Skutkiem </w:t>
      </w:r>
      <w:r w:rsidRPr="00796DA2">
        <w:rPr>
          <w:rFonts w:ascii="Arial" w:hAnsi="Arial" w:cs="Arial"/>
          <w:sz w:val="24"/>
          <w:szCs w:val="24"/>
        </w:rPr>
        <w:t xml:space="preserve">stwierdzonych nieprawidłowości i uchybień 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jest odstępstwo od stanu pożądanego w postaci nierzetelnego prowadzenia części wpisów </w:t>
      </w:r>
      <w:r w:rsidRPr="003B691A">
        <w:rPr>
          <w:rFonts w:ascii="Arial" w:hAnsi="Arial" w:cs="Arial"/>
          <w:color w:val="000000" w:themeColor="text1"/>
          <w:sz w:val="24"/>
        </w:rPr>
        <w:t>repertorium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55B5B" w:rsidRPr="003B691A" w:rsidP="00BF228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583995" w:rsidRPr="00286BC6" w:rsidP="00BF2281">
      <w:pPr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872EA1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zalecam</w:t>
      </w:r>
      <w:r w:rsidRPr="00286BC6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:</w:t>
      </w:r>
    </w:p>
    <w:p w:rsidR="004803A2" w:rsidRPr="00495406" w:rsidP="00BF2281">
      <w:pPr>
        <w:spacing w:before="120" w:after="120" w:line="360" w:lineRule="auto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BF2281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Odnotowywać w </w:t>
      </w:r>
      <w:r w:rsidRPr="00BF2281">
        <w:rPr>
          <w:rFonts w:ascii="Arial" w:hAnsi="Arial" w:cs="Arial"/>
          <w:color w:val="000000" w:themeColor="text1"/>
          <w:sz w:val="24"/>
        </w:rPr>
        <w:t>repertorium pełne</w:t>
      </w:r>
      <w:r w:rsidRPr="00BF2281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informacje, o których mowa w </w:t>
      </w:r>
      <w:r w:rsidRPr="00BF2281">
        <w:rPr>
          <w:rFonts w:ascii="Arial" w:hAnsi="Arial" w:cs="Arial"/>
          <w:color w:val="000000" w:themeColor="text1"/>
          <w:sz w:val="24"/>
        </w:rPr>
        <w:t xml:space="preserve">art. 17 ust. 2 </w:t>
      </w:r>
      <w:r w:rsidRPr="00495406">
        <w:rPr>
          <w:rFonts w:ascii="Arial" w:hAnsi="Arial" w:cs="Arial"/>
          <w:color w:val="000000" w:themeColor="text1"/>
          <w:sz w:val="24"/>
        </w:rPr>
        <w:t xml:space="preserve">pkt 3 </w:t>
      </w:r>
      <w:r>
        <w:rPr>
          <w:rFonts w:ascii="Arial" w:hAnsi="Arial" w:cs="Arial"/>
          <w:color w:val="000000" w:themeColor="text1"/>
          <w:sz w:val="24"/>
        </w:rPr>
        <w:br/>
      </w:r>
      <w:r w:rsidRPr="00495406">
        <w:rPr>
          <w:rFonts w:ascii="Arial" w:hAnsi="Arial" w:cs="Arial"/>
          <w:color w:val="000000" w:themeColor="text1"/>
          <w:sz w:val="24"/>
        </w:rPr>
        <w:t>i 6 ustawy o zawodzie tłumacza przysięgłego</w:t>
      </w:r>
      <w:r w:rsidRPr="00495406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tj.:</w:t>
      </w:r>
    </w:p>
    <w:p w:rsidR="00872EA1" w:rsidRPr="00872EA1" w:rsidP="00872EA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426" w:firstLine="141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</w:rPr>
        <w:t>w o</w:t>
      </w:r>
      <w:r w:rsidRPr="00286BC6">
        <w:rPr>
          <w:rFonts w:ascii="Arial" w:hAnsi="Arial" w:cs="Arial"/>
          <w:color w:val="000000" w:themeColor="text1"/>
          <w:sz w:val="24"/>
        </w:rPr>
        <w:t>pis</w:t>
      </w:r>
      <w:r>
        <w:rPr>
          <w:rFonts w:ascii="Arial" w:hAnsi="Arial" w:cs="Arial"/>
          <w:color w:val="000000" w:themeColor="text1"/>
          <w:sz w:val="24"/>
        </w:rPr>
        <w:t>ie</w:t>
      </w:r>
      <w:r w:rsidRPr="00286BC6">
        <w:rPr>
          <w:rFonts w:ascii="Arial" w:hAnsi="Arial" w:cs="Arial"/>
          <w:color w:val="000000" w:themeColor="text1"/>
          <w:sz w:val="24"/>
        </w:rPr>
        <w:t xml:space="preserve"> tłumaczonego dokumentu</w:t>
      </w:r>
      <w:r>
        <w:rPr>
          <w:rFonts w:ascii="Arial" w:hAnsi="Arial" w:cs="Arial"/>
          <w:color w:val="000000" w:themeColor="text1"/>
          <w:sz w:val="24"/>
        </w:rPr>
        <w:t xml:space="preserve"> - u</w:t>
      </w:r>
      <w:r w:rsidRPr="00286BC6">
        <w:rPr>
          <w:rFonts w:ascii="Arial" w:hAnsi="Arial" w:cs="Arial"/>
          <w:color w:val="000000" w:themeColor="text1"/>
          <w:sz w:val="24"/>
        </w:rPr>
        <w:t>wagi o rodzaju, formie i stanie</w:t>
      </w:r>
      <w:r>
        <w:rPr>
          <w:rFonts w:ascii="Arial" w:hAnsi="Arial" w:cs="Arial"/>
          <w:color w:val="000000" w:themeColor="text1"/>
          <w:sz w:val="24"/>
        </w:rPr>
        <w:t>;</w:t>
      </w:r>
    </w:p>
    <w:p w:rsidR="00872EA1" w:rsidRPr="00872EA1" w:rsidP="00872EA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426" w:firstLine="141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w</w:t>
      </w:r>
      <w:r w:rsidRPr="00872EA1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ysokość pobranego wynagrodzenia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;</w:t>
      </w:r>
    </w:p>
    <w:p w:rsidR="00872EA1" w:rsidRPr="00872EA1" w:rsidP="00872EA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426" w:firstLine="141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bookmarkStart w:id="17" w:name="_Hlk157769553"/>
      <w:r>
        <w:rPr>
          <w:rFonts w:ascii="Arial" w:hAnsi="Arial" w:cs="Arial"/>
          <w:color w:val="000000" w:themeColor="text1"/>
          <w:sz w:val="24"/>
        </w:rPr>
        <w:t>w o</w:t>
      </w:r>
      <w:r w:rsidRPr="00286BC6">
        <w:rPr>
          <w:rFonts w:ascii="Arial" w:hAnsi="Arial" w:cs="Arial"/>
          <w:color w:val="000000" w:themeColor="text1"/>
          <w:sz w:val="24"/>
        </w:rPr>
        <w:t>pis</w:t>
      </w:r>
      <w:r>
        <w:rPr>
          <w:rFonts w:ascii="Arial" w:hAnsi="Arial" w:cs="Arial"/>
          <w:color w:val="000000" w:themeColor="text1"/>
          <w:sz w:val="24"/>
        </w:rPr>
        <w:t>ie</w:t>
      </w:r>
      <w:r w:rsidRPr="00286BC6">
        <w:rPr>
          <w:rFonts w:ascii="Arial" w:hAnsi="Arial" w:cs="Arial"/>
          <w:color w:val="000000" w:themeColor="text1"/>
          <w:sz w:val="24"/>
        </w:rPr>
        <w:t xml:space="preserve"> tłumaczonego dokumentu</w:t>
      </w:r>
      <w:bookmarkEnd w:id="17"/>
      <w:r>
        <w:rPr>
          <w:rFonts w:ascii="Arial" w:hAnsi="Arial" w:cs="Arial"/>
          <w:color w:val="000000" w:themeColor="text1"/>
          <w:sz w:val="24"/>
        </w:rPr>
        <w:t xml:space="preserve"> -</w:t>
      </w:r>
      <w:r w:rsidRPr="00286BC6">
        <w:rPr>
          <w:rFonts w:ascii="Arial" w:hAnsi="Arial" w:cs="Arial"/>
          <w:color w:val="000000" w:themeColor="text1"/>
          <w:sz w:val="24"/>
        </w:rPr>
        <w:t xml:space="preserve"> oznaczenie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86BC6">
        <w:rPr>
          <w:rFonts w:ascii="Arial" w:hAnsi="Arial" w:cs="Arial"/>
          <w:color w:val="000000" w:themeColor="text1"/>
          <w:sz w:val="24"/>
        </w:rPr>
        <w:t>dokumentu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872EA1" w:rsidRPr="00872EA1" w:rsidP="00872EA1">
      <w:pPr>
        <w:pStyle w:val="ListParagraph"/>
        <w:spacing w:before="120" w:after="120" w:line="360" w:lineRule="auto"/>
        <w:ind w:left="426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</w:p>
    <w:p w:rsidR="00C55B5B" w:rsidRPr="000014DB" w:rsidP="00495406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(t.j.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507CE4" w:rsidRPr="00396137" w:rsidP="00507CE4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P="008F3AAF">
      <w:pPr>
        <w:keepNext/>
        <w:keepLines/>
        <w:spacing w:before="120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P="00F673C0">
      <w:pPr>
        <w:keepNext/>
        <w:keepLines/>
        <w:tabs>
          <w:tab w:val="left" w:pos="-7513"/>
          <w:tab w:val="left" w:pos="6096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ab/>
      </w:r>
      <w:r>
        <w:rPr>
          <w:rFonts w:ascii="Arial" w:eastAsia="Times New Roman" w:hAnsi="Arial" w:cs="Arial"/>
          <w:color w:val="FF0000"/>
          <w:sz w:val="24"/>
          <w:szCs w:val="20"/>
        </w:rPr>
        <w:tab/>
        <w:t>Katarzyna Piasecka</w:t>
      </w:r>
    </w:p>
    <w:p w:rsidR="001E1A87" w:rsidP="001E1A87">
      <w:pPr>
        <w:spacing w:after="0" w:line="240" w:lineRule="auto"/>
        <w:ind w:left="6237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Zastępca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  <w:r>
        <w:rPr>
          <w:rFonts w:ascii="Arial" w:eastAsia="Times New Roman" w:hAnsi="Arial" w:cs="Arial"/>
          <w:color w:val="FF0000"/>
          <w:sz w:val="24"/>
          <w:szCs w:val="20"/>
        </w:rPr>
        <w:t>a</w:t>
      </w:r>
    </w:p>
    <w:p w:rsidR="00C96B5C" w:rsidRPr="00147B84" w:rsidP="001E1A87">
      <w:pPr>
        <w:spacing w:after="0" w:line="240" w:lineRule="auto"/>
        <w:ind w:left="5812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 w:rsidR="009C2EF3"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Sect="00286BC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40DAF" w:rsidP="005E4DEB">
      <w:pPr>
        <w:spacing w:after="0" w:line="240" w:lineRule="auto"/>
      </w:pPr>
      <w:r>
        <w:separator/>
      </w:r>
    </w:p>
  </w:footnote>
  <w:footnote w:type="continuationSeparator" w:id="1">
    <w:p w:rsidR="00C40DAF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t.</w:t>
      </w:r>
      <w:r w:rsidRPr="00870BAB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 - zwana</w:t>
      </w:r>
      <w:r w:rsidRPr="00870BAB">
        <w:rPr>
          <w:rFonts w:ascii="Arial" w:hAnsi="Arial" w:cs="Arial"/>
        </w:rPr>
        <w:t xml:space="preserve"> dalej: </w:t>
      </w:r>
      <w:bookmarkStart w:id="4" w:name="_Hlk157765882"/>
      <w:r w:rsidRPr="00870BAB">
        <w:rPr>
          <w:rFonts w:ascii="Arial" w:hAnsi="Arial" w:cs="Arial"/>
        </w:rPr>
        <w:t>ustawa o zawodzie tłumacza przysięgłego</w:t>
      </w:r>
      <w:bookmarkEnd w:id="4"/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2938E6" w:rsidRPr="00D15423" w:rsidP="002938E6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</w:t>
      </w:r>
      <w:r w:rsidRPr="00A81205">
        <w:rPr>
          <w:rFonts w:ascii="Arial" w:hAnsi="Arial" w:cs="Arial"/>
        </w:rPr>
        <w:t xml:space="preserve">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5">
    <w:p w:rsidR="00D71D18" w:rsidP="00D71D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5430D"/>
    <w:multiLevelType w:val="hybridMultilevel"/>
    <w:tmpl w:val="4050D194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67F2"/>
    <w:multiLevelType w:val="hybridMultilevel"/>
    <w:tmpl w:val="C39A623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0336"/>
    <w:multiLevelType w:val="hybridMultilevel"/>
    <w:tmpl w:val="086EC9EC"/>
    <w:lvl w:ilvl="0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75158C"/>
    <w:multiLevelType w:val="hybridMultilevel"/>
    <w:tmpl w:val="039AAB2A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84592"/>
    <w:multiLevelType w:val="hybridMultilevel"/>
    <w:tmpl w:val="A6EC1E4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D1B2E"/>
    <w:multiLevelType w:val="hybridMultilevel"/>
    <w:tmpl w:val="BC34A1C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>
    <w:nsid w:val="722678B3"/>
    <w:multiLevelType w:val="hybridMultilevel"/>
    <w:tmpl w:val="D6425610"/>
    <w:lvl w:ilvl="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0"/>
  </w:num>
  <w:num w:numId="5">
    <w:abstractNumId w:val="25"/>
  </w:num>
  <w:num w:numId="6">
    <w:abstractNumId w:val="23"/>
  </w:num>
  <w:num w:numId="7">
    <w:abstractNumId w:val="14"/>
  </w:num>
  <w:num w:numId="8">
    <w:abstractNumId w:val="15"/>
  </w:num>
  <w:num w:numId="9">
    <w:abstractNumId w:val="19"/>
  </w:num>
  <w:num w:numId="10">
    <w:abstractNumId w:val="13"/>
  </w:num>
  <w:num w:numId="11">
    <w:abstractNumId w:val="22"/>
  </w:num>
  <w:num w:numId="12">
    <w:abstractNumId w:val="3"/>
  </w:num>
  <w:num w:numId="13">
    <w:abstractNumId w:val="11"/>
  </w:num>
  <w:num w:numId="14">
    <w:abstractNumId w:val="10"/>
  </w:num>
  <w:num w:numId="15">
    <w:abstractNumId w:val="17"/>
  </w:num>
  <w:num w:numId="16">
    <w:abstractNumId w:val="5"/>
  </w:num>
  <w:num w:numId="17">
    <w:abstractNumId w:val="4"/>
  </w:num>
  <w:num w:numId="18">
    <w:abstractNumId w:val="9"/>
  </w:num>
  <w:num w:numId="19">
    <w:abstractNumId w:val="26"/>
  </w:num>
  <w:num w:numId="20">
    <w:abstractNumId w:val="2"/>
  </w:num>
  <w:num w:numId="21">
    <w:abstractNumId w:val="28"/>
  </w:num>
  <w:num w:numId="22">
    <w:abstractNumId w:val="7"/>
  </w:num>
  <w:num w:numId="23">
    <w:abstractNumId w:val="27"/>
  </w:num>
  <w:num w:numId="24">
    <w:abstractNumId w:val="21"/>
  </w:num>
  <w:num w:numId="25">
    <w:abstractNumId w:val="8"/>
  </w:num>
  <w:num w:numId="26">
    <w:abstractNumId w:val="18"/>
  </w:num>
  <w:num w:numId="27">
    <w:abstractNumId w:val="24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CDE2-CC97-4AB6-9879-9B92276A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31</cp:revision>
  <cp:lastPrinted>2023-03-10T06:40:00Z</cp:lastPrinted>
  <dcterms:created xsi:type="dcterms:W3CDTF">2024-01-29T13:20:00Z</dcterms:created>
  <dcterms:modified xsi:type="dcterms:W3CDTF">2024-02-06T07:05:00Z</dcterms:modified>
</cp:coreProperties>
</file>