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05107" w14:textId="075F6F06" w:rsidR="007A0A3D" w:rsidRPr="00EE5617" w:rsidRDefault="00A1534B" w:rsidP="008927DE">
      <w:pPr>
        <w:jc w:val="center"/>
        <w:outlineLvl w:val="0"/>
        <w:rPr>
          <w:b/>
          <w:bCs/>
        </w:rPr>
      </w:pPr>
      <w:r w:rsidRPr="00EE5617">
        <w:rPr>
          <w:b/>
          <w:bCs/>
        </w:rPr>
        <w:t xml:space="preserve">Raport </w:t>
      </w:r>
      <w:r w:rsidR="009D3D41" w:rsidRPr="00EE5617">
        <w:rPr>
          <w:b/>
          <w:bCs/>
        </w:rPr>
        <w:t>końcowy z realizacji projektu</w:t>
      </w:r>
      <w:r w:rsidR="00CA79E4" w:rsidRPr="00EE5617">
        <w:rPr>
          <w:b/>
          <w:bCs/>
        </w:rPr>
        <w:t xml:space="preserve"> informatycznego</w:t>
      </w:r>
      <w:r w:rsidR="00583CF4" w:rsidRPr="00EE5617">
        <w:rPr>
          <w:b/>
          <w:bCs/>
        </w:rPr>
        <w:t xml:space="preserve"> </w:t>
      </w:r>
    </w:p>
    <w:p w14:paraId="7332F1E6" w14:textId="77777777" w:rsidR="00AB7BB3" w:rsidRDefault="00AB7BB3" w:rsidP="008927DE">
      <w:pPr>
        <w:jc w:val="center"/>
        <w:outlineLvl w:val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1925"/>
        <w:gridCol w:w="6657"/>
      </w:tblGrid>
      <w:tr w:rsidR="007A0A3D" w:rsidRPr="002450C4" w14:paraId="4F4B432B" w14:textId="77777777" w:rsidTr="003F1E43">
        <w:tc>
          <w:tcPr>
            <w:tcW w:w="480" w:type="dxa"/>
          </w:tcPr>
          <w:p w14:paraId="0BB14A0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925" w:type="dxa"/>
          </w:tcPr>
          <w:p w14:paraId="2B715871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657" w:type="dxa"/>
          </w:tcPr>
          <w:p w14:paraId="365AAA7D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448FD30F" w14:textId="77777777" w:rsidTr="003F1E43">
        <w:tc>
          <w:tcPr>
            <w:tcW w:w="480" w:type="dxa"/>
          </w:tcPr>
          <w:p w14:paraId="155CA69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1E6F736E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657" w:type="dxa"/>
          </w:tcPr>
          <w:p w14:paraId="34ABF982" w14:textId="754DDAC5" w:rsidR="007A0A3D" w:rsidRPr="00872F81" w:rsidRDefault="00A029C8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72F81">
              <w:rPr>
                <w:rFonts w:cstheme="minorHAnsi"/>
                <w:color w:val="000000" w:themeColor="text1"/>
                <w:sz w:val="18"/>
                <w:szCs w:val="18"/>
              </w:rPr>
              <w:t>e-Zamówienia – elektroniczne zamówienia publiczne</w:t>
            </w:r>
          </w:p>
        </w:tc>
      </w:tr>
      <w:tr w:rsidR="007A0A3D" w:rsidRPr="002450C4" w14:paraId="720A11DA" w14:textId="77777777" w:rsidTr="003F1E43">
        <w:trPr>
          <w:trHeight w:val="265"/>
        </w:trPr>
        <w:tc>
          <w:tcPr>
            <w:tcW w:w="480" w:type="dxa"/>
          </w:tcPr>
          <w:p w14:paraId="5CA0B054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1B99641B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657" w:type="dxa"/>
          </w:tcPr>
          <w:p w14:paraId="66A20E43" w14:textId="63AAD8EE" w:rsidR="001C611C" w:rsidRPr="00872F81" w:rsidRDefault="00C1217A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72F81">
              <w:rPr>
                <w:rFonts w:cstheme="minorHAnsi"/>
                <w:color w:val="000000" w:themeColor="text1"/>
                <w:sz w:val="18"/>
                <w:szCs w:val="18"/>
              </w:rPr>
              <w:t>Urząd Zamówień Publicznych</w:t>
            </w:r>
          </w:p>
        </w:tc>
      </w:tr>
      <w:tr w:rsidR="007A0A3D" w:rsidRPr="002450C4" w14:paraId="75F8BCA2" w14:textId="77777777" w:rsidTr="003F1E43">
        <w:tc>
          <w:tcPr>
            <w:tcW w:w="480" w:type="dxa"/>
          </w:tcPr>
          <w:p w14:paraId="075BDF85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6A9AA697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657" w:type="dxa"/>
          </w:tcPr>
          <w:p w14:paraId="49F5CE50" w14:textId="3C640297" w:rsidR="007A0A3D" w:rsidRPr="00872F81" w:rsidRDefault="008B7EAF" w:rsidP="00FD074F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72F81">
              <w:rPr>
                <w:rFonts w:cstheme="minorHAnsi"/>
                <w:color w:val="000000" w:themeColor="text1"/>
                <w:sz w:val="18"/>
                <w:szCs w:val="18"/>
              </w:rPr>
              <w:t>Ministerstwo Cyfryzacji (obecnie KPRM Cyfryzacja)</w:t>
            </w:r>
          </w:p>
        </w:tc>
      </w:tr>
      <w:tr w:rsidR="003B107D" w:rsidRPr="002450C4" w14:paraId="43728D4A" w14:textId="77777777" w:rsidTr="003F1E43">
        <w:tc>
          <w:tcPr>
            <w:tcW w:w="480" w:type="dxa"/>
          </w:tcPr>
          <w:p w14:paraId="6269906E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06D6B64A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657" w:type="dxa"/>
          </w:tcPr>
          <w:p w14:paraId="2B2A0752" w14:textId="56664EE3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Pierwotny planowany koszt realizacji </w:t>
            </w:r>
            <w:r w:rsidR="00522CD4"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projektu:</w:t>
            </w:r>
            <w:r w:rsidR="00522CD4"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 34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 607 304,00 zł </w:t>
            </w:r>
          </w:p>
          <w:p w14:paraId="0667AEEE" w14:textId="3A279016" w:rsidR="00872F81" w:rsidRPr="00BE30D3" w:rsidRDefault="00872F81" w:rsidP="00436595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Ostatni planowany koszt realizacji projektu: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 41 594 304,00 zł (</w:t>
            </w:r>
            <w:r w:rsidR="00882A2E"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zwiększenie wartości </w:t>
            </w:r>
            <w:r w:rsidR="00BE30D3" w:rsidRPr="00BE30D3">
              <w:rPr>
                <w:rFonts w:asciiTheme="minorHAnsi" w:hAnsiTheme="minorHAnsi" w:cstheme="minorHAnsi"/>
                <w:sz w:val="18"/>
                <w:szCs w:val="18"/>
              </w:rPr>
              <w:t>projektu Aneks nr 2 z dnia 26.03.2020 r.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52AEA7A4" w14:textId="16AB2F09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Faktyczny koszt projektu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656B49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  <w:r w:rsidR="00F2095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56B49">
              <w:rPr>
                <w:rFonts w:asciiTheme="minorHAnsi" w:hAnsiTheme="minorHAnsi" w:cstheme="minorHAnsi"/>
                <w:sz w:val="18"/>
                <w:szCs w:val="18"/>
              </w:rPr>
              <w:t>011</w:t>
            </w:r>
            <w:r w:rsidR="00F20951">
              <w:rPr>
                <w:rFonts w:asciiTheme="minorHAnsi" w:hAnsiTheme="minorHAnsi" w:cstheme="minorHAnsi"/>
                <w:sz w:val="18"/>
                <w:szCs w:val="18"/>
              </w:rPr>
              <w:t> 537,55 zł</w:t>
            </w:r>
          </w:p>
          <w:p w14:paraId="11622DDA" w14:textId="77777777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85AD8D" w14:textId="313B6B5C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Zakontraktowana wartość dofinansowania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942C6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42C67" w:rsidRPr="00942C6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41 594 304,00</w:t>
            </w:r>
          </w:p>
          <w:p w14:paraId="6960049D" w14:textId="5C96F3CD" w:rsidR="00872F81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środków wydatkowanych wynosi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20951">
              <w:rPr>
                <w:rFonts w:asciiTheme="minorHAnsi" w:hAnsiTheme="minorHAnsi" w:cstheme="minorHAnsi"/>
                <w:sz w:val="18"/>
                <w:szCs w:val="18"/>
              </w:rPr>
              <w:t>38 011 537,55 zł</w:t>
            </w:r>
            <w:r w:rsidR="00AA43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9316044" w14:textId="77777777" w:rsidR="00AC70B9" w:rsidRDefault="00AC70B9" w:rsidP="00A745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F213677" w14:textId="4940E6C1" w:rsidR="00A7459A" w:rsidRPr="00BE30D3" w:rsidRDefault="00A7459A" w:rsidP="00A11DF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Poziom certyfikacji w odniesieniu do zakontraktowanej wartości dofinansowania: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22A3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36719">
              <w:rPr>
                <w:rFonts w:asciiTheme="minorHAnsi" w:hAnsiTheme="minorHAnsi" w:cstheme="minorHAnsi"/>
                <w:sz w:val="18"/>
                <w:szCs w:val="18"/>
              </w:rPr>
              <w:t>91,4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%.</w:t>
            </w:r>
          </w:p>
          <w:p w14:paraId="0F306862" w14:textId="5303404C" w:rsidR="00A7459A" w:rsidRDefault="00A7459A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C694AD" w14:textId="735F4278" w:rsidR="00454EBC" w:rsidRPr="00BE30D3" w:rsidRDefault="00454EBC" w:rsidP="00454EBC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 dniu</w:t>
            </w:r>
            <w:r w:rsidR="00104834">
              <w:rPr>
                <w:rFonts w:asciiTheme="minorHAnsi" w:hAnsiTheme="minorHAnsi" w:cstheme="minorHAnsi"/>
                <w:sz w:val="18"/>
                <w:szCs w:val="18"/>
              </w:rPr>
              <w:t xml:space="preserve"> 30 stycznia 2023 r. </w:t>
            </w:r>
            <w:r w:rsidR="00B70309">
              <w:rPr>
                <w:rFonts w:asciiTheme="minorHAnsi" w:hAnsiTheme="minorHAnsi" w:cstheme="minorHAnsi"/>
                <w:sz w:val="18"/>
                <w:szCs w:val="18"/>
              </w:rPr>
              <w:t xml:space="preserve">do Centrum Projektów Polska Cyfrowa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został złożony wniosek końcowy o płatność. </w:t>
            </w:r>
          </w:p>
          <w:p w14:paraId="135A4D33" w14:textId="77777777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A505727" w14:textId="3B5143A6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Czas realizacji projektu wynosi</w:t>
            </w:r>
            <w:r w:rsidR="006D3F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6D3F52" w:rsidRPr="006D3F52">
              <w:rPr>
                <w:rFonts w:asciiTheme="minorHAnsi" w:hAnsiTheme="minorHAnsi" w:cstheme="minorHAnsi"/>
                <w:sz w:val="18"/>
                <w:szCs w:val="18"/>
              </w:rPr>
              <w:t xml:space="preserve">zrealizowano w </w:t>
            </w:r>
            <w:r w:rsidRPr="006D3F52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72C1A6E" w14:textId="7BD29E16" w:rsidR="00872F81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07BA36" w14:textId="3B4CD828" w:rsidR="006D3F52" w:rsidRPr="006D3F52" w:rsidRDefault="006D3F52" w:rsidP="00872F8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Rzeczywisty kwota wykonania zadań:</w:t>
            </w:r>
          </w:p>
          <w:p w14:paraId="01FECEB3" w14:textId="18ACCD7D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1: </w:t>
            </w:r>
            <w:r w:rsidR="00D97F2F" w:rsidRPr="001617D4">
              <w:rPr>
                <w:sz w:val="18"/>
                <w:szCs w:val="18"/>
                <w:lang w:eastAsia="pl-PL"/>
              </w:rPr>
              <w:t>26 678 774,71 zł</w:t>
            </w:r>
          </w:p>
          <w:p w14:paraId="274C4940" w14:textId="5D354679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2: </w:t>
            </w:r>
            <w:r w:rsidR="00F371F9" w:rsidRPr="001617D4">
              <w:rPr>
                <w:sz w:val="18"/>
                <w:szCs w:val="18"/>
                <w:lang w:eastAsia="pl-PL"/>
              </w:rPr>
              <w:t>3 511 404,38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 w:rsidRP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34A2D3C6" w14:textId="054FFB92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3: </w:t>
            </w:r>
            <w:r w:rsidR="00F371F9" w:rsidRPr="001617D4">
              <w:rPr>
                <w:sz w:val="18"/>
                <w:szCs w:val="18"/>
                <w:lang w:eastAsia="pl-PL"/>
              </w:rPr>
              <w:t>11 903,50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65A33442" w14:textId="16E003D3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4: </w:t>
            </w:r>
            <w:r w:rsidR="00F371F9" w:rsidRPr="001617D4">
              <w:rPr>
                <w:sz w:val="18"/>
                <w:szCs w:val="18"/>
                <w:lang w:eastAsia="pl-PL"/>
              </w:rPr>
              <w:t>92 154,06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4118C64E" w14:textId="25793141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5: </w:t>
            </w:r>
            <w:r w:rsidR="006C4363" w:rsidRPr="001617D4">
              <w:rPr>
                <w:sz w:val="18"/>
                <w:szCs w:val="18"/>
                <w:lang w:eastAsia="pl-PL"/>
              </w:rPr>
              <w:t>64 771,03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6E7C819D" w14:textId="51C4EAF1" w:rsidR="00872F81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6: </w:t>
            </w:r>
            <w:r w:rsidR="006C4363" w:rsidRPr="001617D4">
              <w:rPr>
                <w:sz w:val="18"/>
                <w:szCs w:val="18"/>
                <w:lang w:eastAsia="pl-PL"/>
              </w:rPr>
              <w:t>6 283 156,13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0A7606CE" w14:textId="67AE1FFF" w:rsidR="00224818" w:rsidRPr="001617D4" w:rsidRDefault="00224818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Koszty pośrednie: </w:t>
            </w:r>
            <w:r w:rsidR="00270563" w:rsidRPr="0027056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1 369 373,74 zł</w:t>
            </w:r>
          </w:p>
          <w:p w14:paraId="398557BA" w14:textId="77777777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253608" w14:textId="2CC709EA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Oszczędności:</w:t>
            </w: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907F5" w:rsidRPr="00AD191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3 582 766,45 zł</w:t>
            </w:r>
          </w:p>
          <w:p w14:paraId="7F9686ED" w14:textId="77777777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C330E0" w14:textId="77777777" w:rsidR="00872F81" w:rsidRPr="006D3F52" w:rsidRDefault="00872F81" w:rsidP="00872F8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Oszczędności wg zadań: </w:t>
            </w:r>
          </w:p>
          <w:p w14:paraId="7736E819" w14:textId="1DCB796F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1: </w:t>
            </w:r>
            <w:r w:rsidR="002868ED" w:rsidRPr="00AC70B9">
              <w:rPr>
                <w:sz w:val="18"/>
                <w:szCs w:val="18"/>
                <w:lang w:eastAsia="pl-PL"/>
              </w:rPr>
              <w:t>820 214,29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10730869" w14:textId="05607B88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2: </w:t>
            </w:r>
            <w:r w:rsidR="001B43CA" w:rsidRPr="00AC70B9">
              <w:rPr>
                <w:sz w:val="18"/>
                <w:szCs w:val="18"/>
                <w:lang w:eastAsia="pl-PL"/>
              </w:rPr>
              <w:t>186 951,62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28166B67" w14:textId="4419CBB7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3: </w:t>
            </w:r>
            <w:r w:rsidR="001B43CA" w:rsidRPr="00AC70B9">
              <w:rPr>
                <w:sz w:val="18"/>
                <w:szCs w:val="18"/>
                <w:lang w:eastAsia="pl-PL"/>
              </w:rPr>
              <w:t>50 060,50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7F231E4A" w14:textId="2D6C9D70" w:rsidR="00872F81" w:rsidRPr="00AC70B9" w:rsidRDefault="00872F81" w:rsidP="00872F81">
            <w:pPr>
              <w:rPr>
                <w:rFonts w:cstheme="minorHAnsi"/>
                <w:sz w:val="18"/>
                <w:szCs w:val="18"/>
              </w:rPr>
            </w:pPr>
            <w:r w:rsidRPr="00AC70B9">
              <w:rPr>
                <w:rFonts w:cstheme="minorHAnsi"/>
                <w:sz w:val="18"/>
                <w:szCs w:val="18"/>
              </w:rPr>
              <w:t>Zadanie nr 4:</w:t>
            </w:r>
            <w:r w:rsidR="001B43CA" w:rsidRPr="00AC70B9">
              <w:rPr>
                <w:color w:val="000000"/>
                <w:sz w:val="18"/>
                <w:szCs w:val="18"/>
                <w:lang w:eastAsia="pl-PL"/>
              </w:rPr>
              <w:t xml:space="preserve"> 9 999,94</w:t>
            </w:r>
            <w:r w:rsidR="00E9382F">
              <w:rPr>
                <w:color w:val="000000"/>
                <w:sz w:val="18"/>
                <w:szCs w:val="18"/>
                <w:lang w:eastAsia="pl-PL"/>
              </w:rPr>
              <w:t xml:space="preserve"> zł</w:t>
            </w:r>
          </w:p>
          <w:p w14:paraId="014DEEDA" w14:textId="7485F9E3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5: </w:t>
            </w:r>
            <w:r w:rsidR="00AC70B9" w:rsidRPr="00AC70B9">
              <w:rPr>
                <w:sz w:val="18"/>
                <w:szCs w:val="18"/>
                <w:lang w:eastAsia="pl-PL"/>
              </w:rPr>
              <w:t>502 504,97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25D0DF50" w14:textId="5FE78A1B" w:rsidR="00872F81" w:rsidRDefault="00872F81" w:rsidP="00872F81">
            <w:pPr>
              <w:pStyle w:val="Default"/>
              <w:rPr>
                <w:sz w:val="18"/>
                <w:szCs w:val="18"/>
                <w:lang w:eastAsia="pl-PL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6: </w:t>
            </w:r>
            <w:r w:rsidR="00AC70B9" w:rsidRPr="00AC70B9">
              <w:rPr>
                <w:sz w:val="18"/>
                <w:szCs w:val="18"/>
                <w:lang w:eastAsia="pl-PL"/>
              </w:rPr>
              <w:t>1 537 516,87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1A304620" w14:textId="3DE111C0" w:rsidR="00224818" w:rsidRPr="00AC70B9" w:rsidRDefault="00224818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 xml:space="preserve">Koszty pośrednie: </w:t>
            </w:r>
            <w:r w:rsidR="00AD191C" w:rsidRPr="00AD191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475 518,26 zł</w:t>
            </w:r>
          </w:p>
          <w:p w14:paraId="20648688" w14:textId="7E94E218" w:rsidR="00BE30D3" w:rsidRDefault="00BE30D3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275C68" w14:textId="37974E3A" w:rsidR="00413B3F" w:rsidRDefault="00DE4182" w:rsidP="00AD226E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Zadania, w których wskazano oszczędności, były realizowane do końca trwania projektu</w:t>
            </w:r>
            <w:r w:rsidR="00AE63C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5623D99" w14:textId="77777777" w:rsidR="0058026D" w:rsidRDefault="0058026D" w:rsidP="00AE63CD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3EB3A8B" w14:textId="4968F1CF" w:rsidR="00AE63CD" w:rsidRPr="00076B77" w:rsidRDefault="00AE63CD" w:rsidP="00AE63C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1: Wytworzenie Platformy e-Zamówienia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oszczędność wyniknęła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,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z mniejszych niż planowano kwot osiągniętych w ramach postępowań przetargowych.</w:t>
            </w:r>
          </w:p>
          <w:p w14:paraId="38CC3F01" w14:textId="7E3F0B73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2: Wsparcie realizacji projektu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oszczędność wyniknęła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,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z mniejszych niż planowano kwot osiągniętych w ramach postępowań przetargowych. </w:t>
            </w:r>
          </w:p>
          <w:p w14:paraId="3D0ABD77" w14:textId="64DB7FD1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3: Szkolenia dla zespołu projektowego i użytkowników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oszczędność wyniknęła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,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z mniejszych niż planowano kwot osiągniętych w ramach rozeznania rynku oraz mniejszą ofertą szkoleniową spowodowaną pandemią C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OVID-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19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. </w:t>
            </w:r>
            <w:r w:rsidRPr="005B4505">
              <w:rPr>
                <w:rFonts w:asciiTheme="minorHAnsi" w:eastAsia="Times New Roman" w:hAnsiTheme="minorHAnsi" w:cstheme="minorHAnsi"/>
                <w:sz w:val="18"/>
                <w:szCs w:val="18"/>
              </w:rPr>
              <w:t>Część z zaplanowanych szkoleń nie odbyła się ze względu na nieskompletowanie przez organizatora szkolenia pełnej grupy uczestników szkolenia.</w:t>
            </w:r>
          </w:p>
          <w:p w14:paraId="5FF5C9EB" w14:textId="7A2B897B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4: Zakup sprzętu biurowego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oszczędność wyniknęła z niedokonani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a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zakupu urządzenia telekonferencyjnego. </w:t>
            </w:r>
          </w:p>
          <w:p w14:paraId="6498CE75" w14:textId="3F04DAA9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5: Promocja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- oszczędność wyniknęła ze zmiany charakteru konferencji, które miały odbyć się w trybie stacjonarnym, a ze względu na pandemię 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COVID-19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odby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ły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się trybie on-line. </w:t>
            </w:r>
          </w:p>
          <w:p w14:paraId="5535466E" w14:textId="16DCF690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DBC153" w14:textId="3210B93D" w:rsidR="00AE63CD" w:rsidRPr="00076B77" w:rsidRDefault="00AE63CD" w:rsidP="00AE63CD">
            <w:pPr>
              <w:jc w:val="both"/>
              <w:rPr>
                <w:rFonts w:cstheme="minorHAnsi"/>
                <w:sz w:val="18"/>
                <w:szCs w:val="18"/>
              </w:rPr>
            </w:pPr>
            <w:r w:rsidRPr="0015370E">
              <w:rPr>
                <w:rFonts w:cstheme="minorHAnsi"/>
                <w:b/>
                <w:bCs/>
                <w:sz w:val="18"/>
                <w:szCs w:val="18"/>
              </w:rPr>
              <w:t>Zadanie nr 6: Zarządzanie i obsługa projektu</w:t>
            </w:r>
            <w:r w:rsidRPr="00076B77">
              <w:rPr>
                <w:rFonts w:cstheme="minorHAnsi"/>
                <w:sz w:val="18"/>
                <w:szCs w:val="18"/>
              </w:rPr>
              <w:t xml:space="preserve"> - oszczędność wyniknęła z wakatów </w:t>
            </w:r>
            <w:r>
              <w:rPr>
                <w:rFonts w:cstheme="minorHAnsi"/>
                <w:sz w:val="18"/>
                <w:szCs w:val="18"/>
              </w:rPr>
              <w:t>–</w:t>
            </w:r>
            <w:r w:rsidRPr="00076B7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z </w:t>
            </w:r>
            <w:r w:rsidRPr="00076B77">
              <w:rPr>
                <w:rFonts w:cstheme="minorHAnsi"/>
                <w:sz w:val="18"/>
                <w:szCs w:val="18"/>
              </w:rPr>
              <w:t>niezaangażowana całości środków na wynagrodzenia pracowników merytorycznych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076B7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494856A" w14:textId="47DA74F3" w:rsidR="00AE63CD" w:rsidRPr="00076B77" w:rsidRDefault="00AE63CD" w:rsidP="00AE63CD">
            <w:pPr>
              <w:jc w:val="both"/>
              <w:rPr>
                <w:rFonts w:cstheme="minorHAnsi"/>
                <w:sz w:val="18"/>
                <w:szCs w:val="18"/>
              </w:rPr>
            </w:pPr>
            <w:r w:rsidRPr="00076B77">
              <w:rPr>
                <w:rFonts w:cstheme="minorHAnsi"/>
                <w:b/>
                <w:bCs/>
                <w:sz w:val="18"/>
                <w:szCs w:val="18"/>
                <w:lang w:eastAsia="pl-PL"/>
              </w:rPr>
              <w:lastRenderedPageBreak/>
              <w:t>Koszty pośrednie:</w:t>
            </w:r>
            <w:r w:rsidRPr="00076B77">
              <w:rPr>
                <w:rFonts w:cstheme="minorHAnsi"/>
                <w:sz w:val="18"/>
                <w:szCs w:val="18"/>
                <w:lang w:eastAsia="pl-PL"/>
              </w:rPr>
              <w:t xml:space="preserve"> - </w:t>
            </w:r>
            <w:r w:rsidRPr="00076B77">
              <w:rPr>
                <w:rFonts w:cstheme="minorHAnsi"/>
                <w:sz w:val="18"/>
                <w:szCs w:val="18"/>
              </w:rPr>
              <w:t xml:space="preserve">oszczędność wyniknęła z wakatów </w:t>
            </w:r>
            <w:r>
              <w:rPr>
                <w:rFonts w:cstheme="minorHAnsi"/>
                <w:sz w:val="18"/>
                <w:szCs w:val="18"/>
              </w:rPr>
              <w:t>–</w:t>
            </w:r>
            <w:r w:rsidRPr="00076B7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z </w:t>
            </w:r>
            <w:r w:rsidRPr="00076B77">
              <w:rPr>
                <w:rFonts w:cstheme="minorHAnsi"/>
                <w:sz w:val="18"/>
                <w:szCs w:val="18"/>
              </w:rPr>
              <w:t xml:space="preserve">niezaangażowana całości środków na wynagrodzenia pracowników wykonujących czynności niezwiązane bezpośrednio z głównymi celami i produktami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076B77">
              <w:rPr>
                <w:rFonts w:cstheme="minorHAnsi"/>
                <w:sz w:val="18"/>
                <w:szCs w:val="18"/>
              </w:rPr>
              <w:t>rojektu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076B7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910015A" w14:textId="77777777" w:rsidR="00AE63CD" w:rsidRDefault="00AE63CD" w:rsidP="00AD226E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6E0494" w14:textId="13400CBC" w:rsidR="00B56411" w:rsidRDefault="00EF4CD7" w:rsidP="00AD226E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trakcie trwania projektu wielokrotnie </w:t>
            </w:r>
            <w:r w:rsidR="004F2268">
              <w:rPr>
                <w:rFonts w:asciiTheme="minorHAnsi" w:hAnsiTheme="minorHAnsi" w:cstheme="minorHAnsi"/>
                <w:sz w:val="18"/>
                <w:szCs w:val="18"/>
              </w:rPr>
              <w:t xml:space="preserve">przeprowadzano kontrole oraz audyty. </w:t>
            </w:r>
            <w:r w:rsidR="004F0AD8">
              <w:rPr>
                <w:rFonts w:asciiTheme="minorHAnsi" w:hAnsiTheme="minorHAnsi" w:cstheme="minorHAnsi"/>
                <w:sz w:val="18"/>
                <w:szCs w:val="18"/>
              </w:rPr>
              <w:t xml:space="preserve">Żaden nie wykazał uchybień, nie skutkował wydatkami </w:t>
            </w:r>
            <w:r w:rsidR="00B56411">
              <w:rPr>
                <w:rFonts w:asciiTheme="minorHAnsi" w:hAnsiTheme="minorHAnsi" w:cstheme="minorHAnsi"/>
                <w:sz w:val="18"/>
                <w:szCs w:val="18"/>
              </w:rPr>
              <w:t xml:space="preserve">niekwalifikowanymi ani nieprawidłowościami. </w:t>
            </w:r>
          </w:p>
          <w:p w14:paraId="0289E14C" w14:textId="7C620C56" w:rsidR="00BE30D3" w:rsidRDefault="00BE30D3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802AC3" w14:textId="50AA241F" w:rsidR="00B56411" w:rsidRDefault="00B5641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B56411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Korekty finansowe nałożone na Wykonawców</w:t>
            </w:r>
            <w:r w:rsidR="00B608C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:</w:t>
            </w:r>
          </w:p>
          <w:p w14:paraId="2A388BD6" w14:textId="77777777" w:rsidR="00E9382F" w:rsidRDefault="00E9382F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</w:p>
          <w:p w14:paraId="0FD3BC6A" w14:textId="13AC077B" w:rsidR="001C713C" w:rsidRPr="001C713C" w:rsidRDefault="001C713C" w:rsidP="001C713C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C713C">
              <w:rPr>
                <w:rFonts w:cstheme="minorHAnsi"/>
                <w:bCs/>
                <w:sz w:val="18"/>
                <w:szCs w:val="18"/>
              </w:rPr>
              <w:t>Wykonawcy</w:t>
            </w:r>
            <w:r w:rsidR="00B608CE">
              <w:rPr>
                <w:rFonts w:cstheme="minorHAnsi"/>
                <w:bCs/>
                <w:sz w:val="18"/>
                <w:szCs w:val="18"/>
              </w:rPr>
              <w:t xml:space="preserve"> Platformy e-Zamówienia</w:t>
            </w:r>
            <w:r w:rsidR="00710EBB">
              <w:rPr>
                <w:rFonts w:cstheme="minorHAnsi"/>
                <w:bCs/>
                <w:sz w:val="18"/>
                <w:szCs w:val="18"/>
              </w:rPr>
              <w:t xml:space="preserve"> firmie </w:t>
            </w:r>
            <w:proofErr w:type="spellStart"/>
            <w:r w:rsidR="00710EBB">
              <w:rPr>
                <w:rFonts w:cstheme="minorHAnsi"/>
                <w:bCs/>
                <w:sz w:val="18"/>
                <w:szCs w:val="18"/>
              </w:rPr>
              <w:t>Pentacomp</w:t>
            </w:r>
            <w:proofErr w:type="spellEnd"/>
            <w:r w:rsidR="00710E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02525">
              <w:rPr>
                <w:rFonts w:cstheme="minorHAnsi"/>
                <w:bCs/>
                <w:sz w:val="18"/>
                <w:szCs w:val="18"/>
              </w:rPr>
              <w:t>S</w:t>
            </w:r>
            <w:r w:rsidR="00710EBB">
              <w:rPr>
                <w:rFonts w:cstheme="minorHAnsi"/>
                <w:bCs/>
                <w:sz w:val="18"/>
                <w:szCs w:val="18"/>
              </w:rPr>
              <w:t xml:space="preserve">ytemu Informatyczne S.A. </w:t>
            </w:r>
            <w:r w:rsidRPr="001C713C">
              <w:rPr>
                <w:rFonts w:cstheme="minorHAnsi"/>
                <w:bCs/>
                <w:sz w:val="18"/>
                <w:szCs w:val="18"/>
              </w:rPr>
              <w:t xml:space="preserve"> zostały naliczone kary umowne w związku z opóźnieniami w realizacji poszczególnych etapów umowy tj.: </w:t>
            </w:r>
          </w:p>
          <w:p w14:paraId="48EFE1D5" w14:textId="6CA68BF6" w:rsidR="001C713C" w:rsidRPr="001C713C" w:rsidRDefault="00802525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w</w:t>
            </w:r>
            <w:r w:rsidR="00407547">
              <w:rPr>
                <w:rFonts w:cstheme="minorHAnsi"/>
                <w:bCs/>
                <w:sz w:val="18"/>
                <w:szCs w:val="18"/>
              </w:rPr>
              <w:t xml:space="preserve"> dniu </w:t>
            </w:r>
            <w:r w:rsidR="000C2ED9">
              <w:rPr>
                <w:rFonts w:cstheme="minorHAnsi"/>
                <w:bCs/>
                <w:sz w:val="18"/>
                <w:szCs w:val="18"/>
              </w:rPr>
              <w:t xml:space="preserve">12.02.2021 r. </w:t>
            </w:r>
            <w:r w:rsidR="00EE29F8">
              <w:rPr>
                <w:rFonts w:cstheme="minorHAnsi"/>
                <w:bCs/>
                <w:sz w:val="18"/>
                <w:szCs w:val="18"/>
              </w:rPr>
              <w:t xml:space="preserve">została wystawiona nota nr 2 w wysokości </w:t>
            </w:r>
            <w:r w:rsidR="00EE29F8" w:rsidRPr="001C713C">
              <w:rPr>
                <w:rFonts w:cstheme="minorHAnsi"/>
                <w:bCs/>
                <w:sz w:val="18"/>
                <w:szCs w:val="18"/>
              </w:rPr>
              <w:t xml:space="preserve">18.065,75 </w:t>
            </w:r>
            <w:r w:rsidR="00522CD4" w:rsidRPr="001C713C">
              <w:rPr>
                <w:rFonts w:cstheme="minorHAnsi"/>
                <w:bCs/>
                <w:sz w:val="18"/>
                <w:szCs w:val="18"/>
              </w:rPr>
              <w:t>zł (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>Etapu III.1</w:t>
            </w:r>
            <w:r w:rsidR="009B21B0">
              <w:rPr>
                <w:rFonts w:cstheme="minorHAnsi"/>
                <w:bCs/>
                <w:sz w:val="18"/>
                <w:szCs w:val="18"/>
              </w:rPr>
              <w:t>);</w:t>
            </w:r>
          </w:p>
          <w:p w14:paraId="35B7927A" w14:textId="347AE025" w:rsidR="001C713C" w:rsidRPr="001C713C" w:rsidRDefault="009B21B0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dniu </w:t>
            </w:r>
            <w:r w:rsidR="008A237D">
              <w:rPr>
                <w:rFonts w:cstheme="minorHAnsi"/>
                <w:bCs/>
                <w:sz w:val="18"/>
                <w:szCs w:val="18"/>
              </w:rPr>
              <w:t xml:space="preserve">16.11.2021 r. </w:t>
            </w:r>
            <w:r w:rsidR="006D60DC">
              <w:rPr>
                <w:rFonts w:cstheme="minorHAnsi"/>
                <w:bCs/>
                <w:sz w:val="18"/>
                <w:szCs w:val="18"/>
              </w:rPr>
              <w:t xml:space="preserve">została wystawiona nota nr 8 w wysokości </w:t>
            </w:r>
            <w:r w:rsidR="006D60DC" w:rsidRPr="001C713C">
              <w:rPr>
                <w:rFonts w:cstheme="minorHAnsi"/>
                <w:bCs/>
                <w:sz w:val="18"/>
                <w:szCs w:val="18"/>
              </w:rPr>
              <w:t xml:space="preserve">419.220, 40 zł </w:t>
            </w:r>
            <w:r w:rsidR="006D60DC">
              <w:rPr>
                <w:rFonts w:cstheme="minorHAnsi"/>
                <w:bCs/>
                <w:sz w:val="18"/>
                <w:szCs w:val="18"/>
              </w:rPr>
              <w:t>(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>Etapu III.2</w:t>
            </w:r>
            <w:r w:rsidR="006D60DC">
              <w:rPr>
                <w:rFonts w:cstheme="minorHAnsi"/>
                <w:bCs/>
                <w:sz w:val="18"/>
                <w:szCs w:val="18"/>
              </w:rPr>
              <w:t>);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5E7B33F3" w14:textId="4554B56D" w:rsidR="001C713C" w:rsidRPr="001C713C" w:rsidRDefault="00A91CFB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dniu </w:t>
            </w:r>
            <w:r w:rsidR="005C4B2B">
              <w:rPr>
                <w:rFonts w:cstheme="minorHAnsi"/>
                <w:bCs/>
                <w:sz w:val="18"/>
                <w:szCs w:val="18"/>
              </w:rPr>
              <w:t>4</w:t>
            </w:r>
            <w:r w:rsidR="00F0325B">
              <w:rPr>
                <w:rFonts w:cstheme="minorHAnsi"/>
                <w:bCs/>
                <w:sz w:val="18"/>
                <w:szCs w:val="18"/>
              </w:rPr>
              <w:t>.08.</w:t>
            </w:r>
            <w:r w:rsidR="005C4B2B">
              <w:rPr>
                <w:rFonts w:cstheme="minorHAnsi"/>
                <w:bCs/>
                <w:sz w:val="18"/>
                <w:szCs w:val="18"/>
              </w:rPr>
              <w:t xml:space="preserve">2022 r. została wystawiona nota nr 4 w wysokości </w:t>
            </w:r>
            <w:r w:rsidR="00BF337C" w:rsidRPr="001C713C">
              <w:rPr>
                <w:rFonts w:cstheme="minorHAnsi"/>
                <w:bCs/>
                <w:sz w:val="18"/>
                <w:szCs w:val="18"/>
              </w:rPr>
              <w:t xml:space="preserve">13.190,66 zł </w:t>
            </w:r>
            <w:r w:rsidR="00BF337C">
              <w:rPr>
                <w:rFonts w:cstheme="minorHAnsi"/>
                <w:bCs/>
                <w:sz w:val="18"/>
                <w:szCs w:val="18"/>
              </w:rPr>
              <w:t>(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>Etapu IV.2.2</w:t>
            </w:r>
            <w:r w:rsidR="00BF337C">
              <w:rPr>
                <w:rFonts w:cstheme="minorHAnsi"/>
                <w:bCs/>
                <w:sz w:val="18"/>
                <w:szCs w:val="18"/>
              </w:rPr>
              <w:t>);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3784E51E" w14:textId="3A79BE74" w:rsidR="001C713C" w:rsidRPr="001C713C" w:rsidRDefault="00BF337C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dniu </w:t>
            </w:r>
            <w:r w:rsidR="008078C6">
              <w:rPr>
                <w:rFonts w:cstheme="minorHAnsi"/>
                <w:bCs/>
                <w:sz w:val="18"/>
                <w:szCs w:val="18"/>
              </w:rPr>
              <w:t xml:space="preserve">7.11.2022 r. została wystawiona nota nr </w:t>
            </w:r>
            <w:r w:rsidR="00122AF5">
              <w:rPr>
                <w:rFonts w:cstheme="minorHAnsi"/>
                <w:bCs/>
                <w:sz w:val="18"/>
                <w:szCs w:val="18"/>
              </w:rPr>
              <w:t xml:space="preserve">6 w wysokości </w:t>
            </w:r>
            <w:r w:rsidR="00122AF5" w:rsidRPr="001C713C">
              <w:rPr>
                <w:rFonts w:cstheme="minorHAnsi"/>
                <w:bCs/>
                <w:sz w:val="18"/>
                <w:szCs w:val="18"/>
              </w:rPr>
              <w:t xml:space="preserve">5.133,96 zł </w:t>
            </w:r>
            <w:r w:rsidR="00122AF5">
              <w:rPr>
                <w:rFonts w:cstheme="minorHAnsi"/>
                <w:bCs/>
                <w:sz w:val="18"/>
                <w:szCs w:val="18"/>
              </w:rPr>
              <w:t>(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>Etapu V</w:t>
            </w:r>
            <w:r w:rsidR="0089237C">
              <w:rPr>
                <w:rFonts w:cstheme="minorHAnsi"/>
                <w:bCs/>
                <w:sz w:val="18"/>
                <w:szCs w:val="18"/>
              </w:rPr>
              <w:t>I</w:t>
            </w:r>
            <w:r w:rsidR="0051549E">
              <w:rPr>
                <w:rFonts w:cstheme="minorHAnsi"/>
                <w:bCs/>
                <w:sz w:val="18"/>
                <w:szCs w:val="18"/>
              </w:rPr>
              <w:t xml:space="preserve"> Stabilizacja</w:t>
            </w:r>
            <w:r w:rsidR="00122AF5">
              <w:rPr>
                <w:rFonts w:cstheme="minorHAnsi"/>
                <w:bCs/>
                <w:sz w:val="18"/>
                <w:szCs w:val="18"/>
              </w:rPr>
              <w:t>)</w:t>
            </w:r>
            <w:r w:rsidR="0089237C">
              <w:rPr>
                <w:rFonts w:cstheme="minorHAnsi"/>
                <w:bCs/>
                <w:sz w:val="18"/>
                <w:szCs w:val="18"/>
              </w:rPr>
              <w:t>;</w:t>
            </w:r>
          </w:p>
          <w:p w14:paraId="005682B3" w14:textId="1D929E84" w:rsidR="001C713C" w:rsidRDefault="0089237C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dniu </w:t>
            </w:r>
            <w:r w:rsidR="00216AF9">
              <w:rPr>
                <w:rFonts w:cstheme="minorHAnsi"/>
                <w:bCs/>
                <w:sz w:val="18"/>
                <w:szCs w:val="18"/>
              </w:rPr>
              <w:t xml:space="preserve">21.11.2022 r. została wystawiona nota nr 7 w wysokości </w:t>
            </w:r>
            <w:r w:rsidR="00FB7D81" w:rsidRPr="001C713C">
              <w:rPr>
                <w:rFonts w:cstheme="minorHAnsi"/>
                <w:bCs/>
                <w:sz w:val="18"/>
                <w:szCs w:val="18"/>
              </w:rPr>
              <w:t xml:space="preserve">178.632,91 zł </w:t>
            </w:r>
            <w:r w:rsidR="00FB7D81">
              <w:rPr>
                <w:rFonts w:cstheme="minorHAnsi"/>
                <w:bCs/>
                <w:sz w:val="18"/>
                <w:szCs w:val="18"/>
              </w:rPr>
              <w:t>(</w:t>
            </w:r>
            <w:r w:rsidR="00FB7D81" w:rsidRPr="001C713C">
              <w:rPr>
                <w:rFonts w:cstheme="minorHAnsi"/>
                <w:bCs/>
                <w:sz w:val="18"/>
                <w:szCs w:val="18"/>
              </w:rPr>
              <w:t>Odbiór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 xml:space="preserve"> Końcow</w:t>
            </w:r>
            <w:r w:rsidR="00FB7D81">
              <w:rPr>
                <w:rFonts w:cstheme="minorHAnsi"/>
                <w:bCs/>
                <w:sz w:val="18"/>
                <w:szCs w:val="18"/>
              </w:rPr>
              <w:t>y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 xml:space="preserve"> Platformy</w:t>
            </w:r>
            <w:r w:rsidR="00FB7D81">
              <w:rPr>
                <w:rFonts w:cstheme="minorHAnsi"/>
                <w:bCs/>
                <w:sz w:val="18"/>
                <w:szCs w:val="18"/>
              </w:rPr>
              <w:t>)</w:t>
            </w:r>
          </w:p>
          <w:p w14:paraId="1CD7FC8E" w14:textId="77777777" w:rsidR="00B23623" w:rsidRDefault="00B23623" w:rsidP="00B23623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07AF216E" w14:textId="08B88A2F" w:rsidR="005937F1" w:rsidRDefault="005937F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u w:val="single"/>
              </w:rPr>
              <w:t>Korekty finansowe nałożone na Beneficjenta:</w:t>
            </w:r>
          </w:p>
          <w:p w14:paraId="2A99E63F" w14:textId="59302CB9" w:rsidR="005937F1" w:rsidRPr="005937F1" w:rsidRDefault="005937F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937F1">
              <w:rPr>
                <w:rFonts w:asciiTheme="minorHAnsi" w:hAnsiTheme="minorHAnsi" w:cstheme="minorHAnsi"/>
                <w:sz w:val="18"/>
                <w:szCs w:val="18"/>
              </w:rPr>
              <w:t>brak</w:t>
            </w:r>
          </w:p>
          <w:p w14:paraId="263B13C7" w14:textId="7BCE0F33" w:rsidR="003B107D" w:rsidRPr="00BE30D3" w:rsidRDefault="003B107D" w:rsidP="00BC120E">
            <w:pPr>
              <w:jc w:val="both"/>
              <w:rPr>
                <w:sz w:val="18"/>
                <w:szCs w:val="20"/>
              </w:rPr>
            </w:pPr>
          </w:p>
        </w:tc>
      </w:tr>
      <w:tr w:rsidR="007A0A3D" w:rsidRPr="009E131F" w14:paraId="066EC0C8" w14:textId="77777777" w:rsidTr="003F1E43">
        <w:tc>
          <w:tcPr>
            <w:tcW w:w="480" w:type="dxa"/>
          </w:tcPr>
          <w:p w14:paraId="1CA31B1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3853E919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657" w:type="dxa"/>
          </w:tcPr>
          <w:p w14:paraId="19E2D2B6" w14:textId="77777777" w:rsidR="006D3F52" w:rsidRDefault="006D3F52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2002"/>
              <w:gridCol w:w="2002"/>
            </w:tblGrid>
            <w:tr w:rsidR="00B036F8" w14:paraId="5A832CEC" w14:textId="77777777" w:rsidTr="00355F6B">
              <w:tc>
                <w:tcPr>
                  <w:tcW w:w="2002" w:type="dxa"/>
                </w:tcPr>
                <w:p w14:paraId="25EEC54B" w14:textId="6235B950" w:rsidR="00B036F8" w:rsidRPr="00AF0673" w:rsidRDefault="00B036F8" w:rsidP="00355F6B">
                  <w:pPr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</w:pPr>
                  <w:r w:rsidRPr="00AF0673"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  <w:t>Realizacja projektu</w:t>
                  </w:r>
                </w:p>
              </w:tc>
              <w:tc>
                <w:tcPr>
                  <w:tcW w:w="2002" w:type="dxa"/>
                </w:tcPr>
                <w:p w14:paraId="541399D9" w14:textId="22DB9D8D" w:rsidR="00B036F8" w:rsidRPr="00AF0673" w:rsidRDefault="00AE0507" w:rsidP="00355F6B">
                  <w:pPr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</w:pPr>
                  <w:r w:rsidRPr="00AF0673"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  <w:t>Data rozpoczęcia</w:t>
                  </w:r>
                </w:p>
              </w:tc>
              <w:tc>
                <w:tcPr>
                  <w:tcW w:w="2002" w:type="dxa"/>
                </w:tcPr>
                <w:p w14:paraId="0F01FE3D" w14:textId="5E37E9AF" w:rsidR="00B036F8" w:rsidRPr="00AF0673" w:rsidRDefault="00AE0507" w:rsidP="00355F6B">
                  <w:pPr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</w:pPr>
                  <w:r w:rsidRPr="00AF0673"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  <w:t>Data zakończenia</w:t>
                  </w:r>
                </w:p>
              </w:tc>
            </w:tr>
            <w:tr w:rsidR="00B036F8" w14:paraId="5C5A94EB" w14:textId="77777777" w:rsidTr="00355F6B">
              <w:tc>
                <w:tcPr>
                  <w:tcW w:w="2002" w:type="dxa"/>
                </w:tcPr>
                <w:p w14:paraId="755F2D80" w14:textId="308C9AA0" w:rsidR="00B036F8" w:rsidRPr="007813DE" w:rsidRDefault="00AE0507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 w:rsidRPr="007813DE"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Pierwotna planowana</w:t>
                  </w:r>
                </w:p>
              </w:tc>
              <w:tc>
                <w:tcPr>
                  <w:tcW w:w="2002" w:type="dxa"/>
                </w:tcPr>
                <w:p w14:paraId="5F618A8C" w14:textId="007778C1" w:rsidR="00B036F8" w:rsidRPr="007813DE" w:rsidRDefault="00733B34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01.09.2019</w:t>
                  </w:r>
                </w:p>
              </w:tc>
              <w:tc>
                <w:tcPr>
                  <w:tcW w:w="2002" w:type="dxa"/>
                </w:tcPr>
                <w:p w14:paraId="3C0D1139" w14:textId="60D2D0D8" w:rsidR="00B036F8" w:rsidRPr="007813DE" w:rsidRDefault="003C60D1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31.08.2022 r.</w:t>
                  </w:r>
                </w:p>
              </w:tc>
            </w:tr>
            <w:tr w:rsidR="00B036F8" w14:paraId="389A51AD" w14:textId="77777777" w:rsidTr="00355F6B">
              <w:tc>
                <w:tcPr>
                  <w:tcW w:w="2002" w:type="dxa"/>
                </w:tcPr>
                <w:p w14:paraId="1A0FD3B7" w14:textId="150DA057" w:rsidR="00B036F8" w:rsidRPr="007813DE" w:rsidRDefault="00AE0507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 w:rsidRPr="007813DE"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Ostatnia planowana</w:t>
                  </w:r>
                </w:p>
              </w:tc>
              <w:tc>
                <w:tcPr>
                  <w:tcW w:w="2002" w:type="dxa"/>
                </w:tcPr>
                <w:p w14:paraId="6C39CCE0" w14:textId="12C3D651" w:rsidR="00B036F8" w:rsidRPr="007813DE" w:rsidRDefault="00733B34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01.09.2019</w:t>
                  </w:r>
                </w:p>
              </w:tc>
              <w:tc>
                <w:tcPr>
                  <w:tcW w:w="2002" w:type="dxa"/>
                </w:tcPr>
                <w:p w14:paraId="00758C77" w14:textId="2FFD093E" w:rsidR="00B036F8" w:rsidRPr="007813DE" w:rsidRDefault="003C60D1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29.11.2022 r.</w:t>
                  </w:r>
                </w:p>
              </w:tc>
            </w:tr>
            <w:tr w:rsidR="00B036F8" w14:paraId="3284F304" w14:textId="77777777" w:rsidTr="00355F6B">
              <w:tc>
                <w:tcPr>
                  <w:tcW w:w="2002" w:type="dxa"/>
                </w:tcPr>
                <w:p w14:paraId="133C2647" w14:textId="12A2CDB5" w:rsidR="00B036F8" w:rsidRPr="007813DE" w:rsidRDefault="00AE0507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 w:rsidRPr="007813DE"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Faktyczna</w:t>
                  </w:r>
                </w:p>
              </w:tc>
              <w:tc>
                <w:tcPr>
                  <w:tcW w:w="2002" w:type="dxa"/>
                </w:tcPr>
                <w:p w14:paraId="05953B3A" w14:textId="7E01A515" w:rsidR="00B036F8" w:rsidRPr="007813DE" w:rsidRDefault="00733B34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01.09.2019</w:t>
                  </w:r>
                </w:p>
              </w:tc>
              <w:tc>
                <w:tcPr>
                  <w:tcW w:w="2002" w:type="dxa"/>
                </w:tcPr>
                <w:p w14:paraId="490DD3D8" w14:textId="030C6A12" w:rsidR="00B036F8" w:rsidRPr="007813DE" w:rsidRDefault="003C60D1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29.11.2022 r.</w:t>
                  </w:r>
                </w:p>
              </w:tc>
            </w:tr>
          </w:tbl>
          <w:p w14:paraId="79C22C3A" w14:textId="4181B5F9" w:rsidR="009E47AD" w:rsidRDefault="009E47AD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2808F6AF" w14:textId="79D1021B" w:rsidR="00C74231" w:rsidRPr="00A82705" w:rsidRDefault="00C74231" w:rsidP="00C74231">
            <w:pPr>
              <w:pStyle w:val="Other0"/>
              <w:jc w:val="both"/>
              <w:rPr>
                <w:rFonts w:asciiTheme="minorHAnsi" w:eastAsia="Times New Roman" w:hAnsiTheme="minorHAnsi" w:cstheme="minorHAnsi"/>
                <w:iCs/>
                <w:lang w:eastAsia="pl-PL"/>
              </w:rPr>
            </w:pPr>
            <w:r w:rsidRPr="00A82705">
              <w:rPr>
                <w:rFonts w:asciiTheme="minorHAnsi" w:hAnsiTheme="minorHAnsi" w:cstheme="minorHAnsi"/>
                <w:color w:val="000000"/>
              </w:rPr>
              <w:t xml:space="preserve">Przyczyną zmiany terminu zakończenia projektu w stosunku do pierwotnego planu było wejście w życie ustawy z dnia 03.04.2020 r. o szczególnych rozwiązaniach wspierających realizację programów operacyjnych (Dz.U. 2020 poz. 694 z </w:t>
            </w:r>
            <w:proofErr w:type="spellStart"/>
            <w:r w:rsidRPr="00A82705">
              <w:rPr>
                <w:rFonts w:asciiTheme="minorHAnsi" w:hAnsiTheme="minorHAnsi" w:cstheme="minorHAnsi"/>
                <w:color w:val="000000"/>
              </w:rPr>
              <w:t>późn</w:t>
            </w:r>
            <w:proofErr w:type="spellEnd"/>
            <w:r w:rsidRPr="00A82705">
              <w:rPr>
                <w:rFonts w:asciiTheme="minorHAnsi" w:hAnsiTheme="minorHAnsi" w:cstheme="minorHAnsi"/>
                <w:color w:val="000000"/>
              </w:rPr>
              <w:t xml:space="preserve">. zm.), na </w:t>
            </w:r>
            <w:proofErr w:type="gramStart"/>
            <w:r w:rsidRPr="00A82705">
              <w:rPr>
                <w:rFonts w:asciiTheme="minorHAnsi" w:hAnsiTheme="minorHAnsi" w:cstheme="minorHAnsi"/>
                <w:color w:val="000000"/>
              </w:rPr>
              <w:t>podstawie</w:t>
            </w:r>
            <w:proofErr w:type="gramEnd"/>
            <w:r w:rsidRPr="00A82705">
              <w:rPr>
                <w:rFonts w:asciiTheme="minorHAnsi" w:hAnsiTheme="minorHAnsi" w:cstheme="minorHAnsi"/>
                <w:color w:val="000000"/>
              </w:rPr>
              <w:t xml:space="preserve"> której </w:t>
            </w:r>
            <w:r w:rsidR="00224399">
              <w:rPr>
                <w:rFonts w:asciiTheme="minorHAnsi" w:hAnsiTheme="minorHAnsi" w:cstheme="minorHAnsi"/>
                <w:color w:val="000000"/>
              </w:rPr>
              <w:t xml:space="preserve">Beneficjent </w:t>
            </w:r>
            <w:r w:rsidR="007E77DA">
              <w:rPr>
                <w:rFonts w:asciiTheme="minorHAnsi" w:hAnsiTheme="minorHAnsi" w:cstheme="minorHAnsi"/>
                <w:color w:val="000000"/>
              </w:rPr>
              <w:t xml:space="preserve">(Urząd Zamówień Publicznych) </w:t>
            </w:r>
            <w:r w:rsidR="00EB6EB5" w:rsidRPr="00A82705">
              <w:rPr>
                <w:rFonts w:asciiTheme="minorHAnsi" w:hAnsiTheme="minorHAnsi" w:cstheme="minorHAnsi"/>
                <w:color w:val="000000"/>
              </w:rPr>
              <w:t>zawar</w:t>
            </w:r>
            <w:r w:rsidR="007E77DA">
              <w:rPr>
                <w:rFonts w:asciiTheme="minorHAnsi" w:hAnsiTheme="minorHAnsi" w:cstheme="minorHAnsi"/>
                <w:color w:val="000000"/>
              </w:rPr>
              <w:t>ł</w:t>
            </w:r>
            <w:r w:rsidR="00EB6EB5">
              <w:rPr>
                <w:rFonts w:asciiTheme="minorHAnsi" w:hAnsiTheme="minorHAnsi" w:cstheme="minorHAnsi"/>
                <w:color w:val="000000"/>
              </w:rPr>
              <w:t xml:space="preserve"> z C</w:t>
            </w:r>
            <w:r w:rsidR="007E77DA">
              <w:rPr>
                <w:rFonts w:asciiTheme="minorHAnsi" w:hAnsiTheme="minorHAnsi" w:cstheme="minorHAnsi"/>
                <w:color w:val="000000"/>
              </w:rPr>
              <w:t xml:space="preserve">entrum </w:t>
            </w:r>
            <w:r w:rsidR="00EB6EB5">
              <w:rPr>
                <w:rFonts w:asciiTheme="minorHAnsi" w:hAnsiTheme="minorHAnsi" w:cstheme="minorHAnsi"/>
                <w:color w:val="000000"/>
              </w:rPr>
              <w:t>P</w:t>
            </w:r>
            <w:r w:rsidR="007E77DA">
              <w:rPr>
                <w:rFonts w:asciiTheme="minorHAnsi" w:hAnsiTheme="minorHAnsi" w:cstheme="minorHAnsi"/>
                <w:color w:val="000000"/>
              </w:rPr>
              <w:t xml:space="preserve">rojektów </w:t>
            </w:r>
            <w:r w:rsidR="00EB6EB5">
              <w:rPr>
                <w:rFonts w:asciiTheme="minorHAnsi" w:hAnsiTheme="minorHAnsi" w:cstheme="minorHAnsi"/>
                <w:color w:val="000000"/>
              </w:rPr>
              <w:t>P</w:t>
            </w:r>
            <w:r w:rsidR="007E77DA">
              <w:rPr>
                <w:rFonts w:asciiTheme="minorHAnsi" w:hAnsiTheme="minorHAnsi" w:cstheme="minorHAnsi"/>
                <w:color w:val="000000"/>
              </w:rPr>
              <w:t xml:space="preserve">olska </w:t>
            </w:r>
            <w:r w:rsidR="00EB6EB5">
              <w:rPr>
                <w:rFonts w:asciiTheme="minorHAnsi" w:hAnsiTheme="minorHAnsi" w:cstheme="minorHAnsi"/>
                <w:color w:val="000000"/>
              </w:rPr>
              <w:t>C</w:t>
            </w:r>
            <w:r w:rsidR="007E77DA">
              <w:rPr>
                <w:rFonts w:asciiTheme="minorHAnsi" w:hAnsiTheme="minorHAnsi" w:cstheme="minorHAnsi"/>
                <w:color w:val="000000"/>
              </w:rPr>
              <w:t>yfrowa</w:t>
            </w:r>
            <w:r w:rsidRPr="00A82705">
              <w:rPr>
                <w:rFonts w:asciiTheme="minorHAnsi" w:hAnsiTheme="minorHAnsi" w:cstheme="minorHAnsi"/>
                <w:color w:val="000000"/>
              </w:rPr>
              <w:t xml:space="preserve"> Aneks nr 2</w:t>
            </w:r>
            <w:r w:rsidR="00EB6EB5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7AEC60A0" w14:textId="77777777" w:rsidR="00C74231" w:rsidRPr="00A82705" w:rsidRDefault="00C74231" w:rsidP="00C74231">
            <w:pPr>
              <w:pStyle w:val="Other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FCFA0CF" w14:textId="75953F60" w:rsidR="00CC64F3" w:rsidRDefault="00CC64F3" w:rsidP="00C74231">
            <w:pPr>
              <w:spacing w:after="160" w:line="259" w:lineRule="auto"/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A82705">
              <w:rPr>
                <w:rFonts w:cstheme="minorHAnsi"/>
                <w:sz w:val="18"/>
                <w:szCs w:val="18"/>
              </w:rPr>
              <w:t xml:space="preserve">Wydłużono okres realizacji projektu (do </w:t>
            </w:r>
            <w:r>
              <w:rPr>
                <w:rFonts w:cstheme="minorHAnsi"/>
                <w:sz w:val="18"/>
                <w:szCs w:val="18"/>
              </w:rPr>
              <w:t>29.11.2022 r</w:t>
            </w:r>
            <w:r w:rsidRPr="00A82705">
              <w:rPr>
                <w:rFonts w:cstheme="minorHAnsi"/>
                <w:sz w:val="18"/>
                <w:szCs w:val="18"/>
              </w:rPr>
              <w:t>.) oraz daty osiągnięcia K</w:t>
            </w:r>
            <w:r w:rsidR="00A75AB5">
              <w:rPr>
                <w:rFonts w:cstheme="minorHAnsi"/>
                <w:sz w:val="18"/>
                <w:szCs w:val="18"/>
              </w:rPr>
              <w:t xml:space="preserve">amieni </w:t>
            </w:r>
            <w:r w:rsidRPr="00A82705">
              <w:rPr>
                <w:rFonts w:cstheme="minorHAnsi"/>
                <w:sz w:val="18"/>
                <w:szCs w:val="18"/>
              </w:rPr>
              <w:t>M</w:t>
            </w:r>
            <w:r w:rsidR="00A75AB5">
              <w:rPr>
                <w:rFonts w:cstheme="minorHAnsi"/>
                <w:sz w:val="18"/>
                <w:szCs w:val="18"/>
              </w:rPr>
              <w:t>ilowych</w:t>
            </w:r>
            <w:r w:rsidRPr="00A82705">
              <w:rPr>
                <w:rFonts w:cstheme="minorHAnsi"/>
                <w:sz w:val="18"/>
                <w:szCs w:val="18"/>
              </w:rPr>
              <w:t xml:space="preserve"> o 90 dni na mocy ww. ustawy. </w:t>
            </w:r>
            <w:r w:rsidRPr="00A8270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A82705">
              <w:rPr>
                <w:rFonts w:cstheme="minorHAnsi"/>
                <w:sz w:val="18"/>
                <w:szCs w:val="18"/>
              </w:rPr>
              <w:t xml:space="preserve">Wydłużono okres kwalifikowalności wydatków do </w:t>
            </w:r>
            <w:r>
              <w:rPr>
                <w:rFonts w:cstheme="minorHAnsi"/>
                <w:sz w:val="18"/>
                <w:szCs w:val="18"/>
              </w:rPr>
              <w:t>13.01</w:t>
            </w:r>
            <w:r w:rsidRPr="00A82705">
              <w:rPr>
                <w:rFonts w:cstheme="minorHAnsi"/>
                <w:sz w:val="18"/>
                <w:szCs w:val="18"/>
              </w:rPr>
              <w:t>.202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A82705">
              <w:rPr>
                <w:rFonts w:cstheme="minorHAnsi"/>
                <w:sz w:val="18"/>
                <w:szCs w:val="18"/>
              </w:rPr>
              <w:t xml:space="preserve"> r.</w:t>
            </w:r>
          </w:p>
          <w:p w14:paraId="76361CF3" w14:textId="63FBF9FB" w:rsidR="00247384" w:rsidRPr="00A75AB5" w:rsidRDefault="00C74231" w:rsidP="00C74231">
            <w:pPr>
              <w:spacing w:after="160" w:line="259" w:lineRule="auto"/>
              <w:jc w:val="both"/>
              <w:rPr>
                <w:rFonts w:cstheme="minorHAnsi"/>
                <w:sz w:val="18"/>
                <w:szCs w:val="18"/>
                <w:u w:val="single"/>
              </w:rPr>
            </w:pPr>
            <w:r w:rsidRPr="00A75AB5">
              <w:rPr>
                <w:rFonts w:cstheme="minorHAnsi"/>
                <w:sz w:val="18"/>
                <w:szCs w:val="18"/>
                <w:u w:val="single"/>
              </w:rPr>
              <w:t>Wszystkie zaplanowane zadania</w:t>
            </w:r>
            <w:r w:rsidR="00CC64F3" w:rsidRPr="00A75AB5">
              <w:rPr>
                <w:rFonts w:cstheme="minorHAnsi"/>
                <w:sz w:val="18"/>
                <w:szCs w:val="18"/>
                <w:u w:val="single"/>
              </w:rPr>
              <w:t xml:space="preserve"> zostały zrealizowane:</w:t>
            </w:r>
          </w:p>
          <w:p w14:paraId="122266B1" w14:textId="5993EAD3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1: </w:t>
            </w:r>
            <w:r w:rsidR="00A23864">
              <w:rPr>
                <w:rFonts w:asciiTheme="minorHAnsi" w:hAnsiTheme="minorHAnsi" w:cstheme="minorHAnsi"/>
                <w:sz w:val="18"/>
                <w:szCs w:val="18"/>
              </w:rPr>
              <w:t xml:space="preserve">Wytworzenie Platformy e-Zamówienia </w:t>
            </w:r>
          </w:p>
          <w:p w14:paraId="4CCA5FAE" w14:textId="3EAB632C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2: </w:t>
            </w:r>
            <w:r w:rsidR="00A23864">
              <w:rPr>
                <w:rFonts w:asciiTheme="minorHAnsi" w:hAnsiTheme="minorHAnsi" w:cstheme="minorHAnsi"/>
                <w:sz w:val="18"/>
                <w:szCs w:val="18"/>
              </w:rPr>
              <w:t xml:space="preserve">Wsparcie realizacji projektu </w:t>
            </w:r>
          </w:p>
          <w:p w14:paraId="0AC57CB7" w14:textId="516D6CFC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3: </w:t>
            </w:r>
            <w:r w:rsidR="00A23864">
              <w:rPr>
                <w:rFonts w:asciiTheme="minorHAnsi" w:hAnsiTheme="minorHAnsi" w:cstheme="minorHAnsi"/>
                <w:sz w:val="18"/>
                <w:szCs w:val="18"/>
              </w:rPr>
              <w:t xml:space="preserve">Szkolenia dla zespołu </w:t>
            </w:r>
            <w:r w:rsidR="004F4232">
              <w:rPr>
                <w:rFonts w:asciiTheme="minorHAnsi" w:hAnsiTheme="minorHAnsi" w:cstheme="minorHAnsi"/>
                <w:sz w:val="18"/>
                <w:szCs w:val="18"/>
              </w:rPr>
              <w:t>projektowego i użytkowników</w:t>
            </w:r>
          </w:p>
          <w:p w14:paraId="554E3E8A" w14:textId="66173EEA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4: </w:t>
            </w:r>
            <w:r w:rsidR="004F4232">
              <w:rPr>
                <w:rFonts w:asciiTheme="minorHAnsi" w:hAnsiTheme="minorHAnsi" w:cstheme="minorHAnsi"/>
                <w:sz w:val="18"/>
                <w:szCs w:val="18"/>
              </w:rPr>
              <w:t>Zakup sprzętu biurowego</w:t>
            </w:r>
          </w:p>
          <w:p w14:paraId="35C2079B" w14:textId="33F49314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5: </w:t>
            </w:r>
            <w:r w:rsidR="004F4232">
              <w:rPr>
                <w:rFonts w:asciiTheme="minorHAnsi" w:hAnsiTheme="minorHAnsi" w:cstheme="minorHAnsi"/>
                <w:sz w:val="18"/>
                <w:szCs w:val="18"/>
              </w:rPr>
              <w:t>Promocja</w:t>
            </w:r>
          </w:p>
          <w:p w14:paraId="53546468" w14:textId="1EA8EE26" w:rsidR="00224818" w:rsidRDefault="00CC64F3" w:rsidP="00CC64F3">
            <w:p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BE30D3">
              <w:rPr>
                <w:rFonts w:cstheme="minorHAnsi"/>
                <w:sz w:val="18"/>
                <w:szCs w:val="18"/>
              </w:rPr>
              <w:t xml:space="preserve">Zadanie nr 6: </w:t>
            </w:r>
            <w:r w:rsidR="00C2395D">
              <w:rPr>
                <w:rFonts w:cstheme="minorHAnsi"/>
                <w:sz w:val="18"/>
                <w:szCs w:val="18"/>
              </w:rPr>
              <w:t xml:space="preserve">Zarządzanie i obsługa projektu </w:t>
            </w:r>
            <w:r w:rsidRPr="00BE30D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943DE26" w14:textId="2A07D227" w:rsidR="00C74231" w:rsidRPr="00355F6B" w:rsidRDefault="00320BDB" w:rsidP="00CC64F3">
            <w:pPr>
              <w:spacing w:after="160" w:line="259" w:lineRule="auto"/>
              <w:jc w:val="both"/>
              <w:rPr>
                <w:rFonts w:cstheme="minorHAnsi"/>
                <w:sz w:val="18"/>
                <w:szCs w:val="18"/>
                <w:u w:val="single"/>
              </w:rPr>
            </w:pPr>
            <w:r w:rsidRPr="00355F6B">
              <w:rPr>
                <w:rFonts w:cstheme="minorHAnsi"/>
                <w:sz w:val="18"/>
                <w:szCs w:val="18"/>
                <w:u w:val="single"/>
              </w:rPr>
              <w:t xml:space="preserve">Wszystkie </w:t>
            </w:r>
            <w:r w:rsidR="00C74231" w:rsidRPr="00355F6B">
              <w:rPr>
                <w:rFonts w:cstheme="minorHAnsi"/>
                <w:sz w:val="18"/>
                <w:szCs w:val="18"/>
                <w:u w:val="single"/>
              </w:rPr>
              <w:t xml:space="preserve">kamienie milowe </w:t>
            </w:r>
            <w:r w:rsidRPr="00355F6B">
              <w:rPr>
                <w:rFonts w:cstheme="minorHAnsi"/>
                <w:sz w:val="18"/>
                <w:szCs w:val="18"/>
                <w:u w:val="single"/>
              </w:rPr>
              <w:t>zostały osiągnięte</w:t>
            </w:r>
            <w:r w:rsidR="006D3F52">
              <w:rPr>
                <w:rFonts w:cstheme="minorHAnsi"/>
                <w:sz w:val="18"/>
                <w:szCs w:val="18"/>
                <w:u w:val="single"/>
              </w:rPr>
              <w:t xml:space="preserve"> i </w:t>
            </w:r>
            <w:r w:rsidR="00B47C16">
              <w:rPr>
                <w:rFonts w:cstheme="minorHAnsi"/>
                <w:sz w:val="18"/>
                <w:szCs w:val="18"/>
                <w:u w:val="single"/>
              </w:rPr>
              <w:t>zrealizowane</w:t>
            </w:r>
            <w:r w:rsidR="006D3F52">
              <w:rPr>
                <w:rFonts w:cstheme="minorHAnsi"/>
                <w:sz w:val="18"/>
                <w:szCs w:val="18"/>
                <w:u w:val="single"/>
              </w:rPr>
              <w:t xml:space="preserve"> </w:t>
            </w:r>
            <w:r w:rsidR="00B47C16">
              <w:rPr>
                <w:rFonts w:cstheme="minorHAnsi"/>
                <w:sz w:val="18"/>
                <w:szCs w:val="18"/>
                <w:u w:val="single"/>
              </w:rPr>
              <w:t>terminowo</w:t>
            </w:r>
            <w:r w:rsidRPr="00355F6B">
              <w:rPr>
                <w:rFonts w:cstheme="minorHAnsi"/>
                <w:sz w:val="18"/>
                <w:szCs w:val="18"/>
                <w:u w:val="single"/>
              </w:rPr>
              <w:t>:</w:t>
            </w:r>
            <w:r w:rsidR="00C74231" w:rsidRPr="00355F6B">
              <w:rPr>
                <w:rFonts w:cstheme="minorHAnsi"/>
                <w:sz w:val="18"/>
                <w:szCs w:val="18"/>
                <w:u w:val="single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01"/>
              <w:gridCol w:w="952"/>
              <w:gridCol w:w="1038"/>
              <w:gridCol w:w="1196"/>
              <w:gridCol w:w="1219"/>
            </w:tblGrid>
            <w:tr w:rsidR="00B558E2" w14:paraId="3ED8C76C" w14:textId="77777777" w:rsidTr="00320BDB">
              <w:tc>
                <w:tcPr>
                  <w:tcW w:w="1601" w:type="dxa"/>
                </w:tcPr>
                <w:p w14:paraId="668A0BD1" w14:textId="799B7952" w:rsidR="00B558E2" w:rsidRPr="00C66149" w:rsidRDefault="00B558E2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66149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Nazwa</w:t>
                  </w:r>
                  <w:r w:rsidR="00082EB8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 KM</w:t>
                  </w:r>
                </w:p>
              </w:tc>
              <w:tc>
                <w:tcPr>
                  <w:tcW w:w="952" w:type="dxa"/>
                </w:tcPr>
                <w:p w14:paraId="0FA2DE65" w14:textId="733174F8" w:rsidR="00B558E2" w:rsidRPr="00CD5EA7" w:rsidRDefault="00680195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Pierwotny planowany termin osiągnięcia </w:t>
                  </w:r>
                </w:p>
              </w:tc>
              <w:tc>
                <w:tcPr>
                  <w:tcW w:w="1038" w:type="dxa"/>
                </w:tcPr>
                <w:p w14:paraId="58F45074" w14:textId="54BDC7B2" w:rsidR="00B558E2" w:rsidRPr="00C66149" w:rsidRDefault="00B558E2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66149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Planowany termin osiągnięcia </w:t>
                  </w:r>
                </w:p>
              </w:tc>
              <w:tc>
                <w:tcPr>
                  <w:tcW w:w="1196" w:type="dxa"/>
                </w:tcPr>
                <w:p w14:paraId="2FBF51D3" w14:textId="55F441BB" w:rsidR="00B558E2" w:rsidRPr="00C66149" w:rsidRDefault="00B558E2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66149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Rzeczywisty termin osiągnięcia </w:t>
                  </w:r>
                </w:p>
              </w:tc>
              <w:tc>
                <w:tcPr>
                  <w:tcW w:w="1219" w:type="dxa"/>
                </w:tcPr>
                <w:p w14:paraId="59B2E3C4" w14:textId="18F4C6ED" w:rsidR="00B558E2" w:rsidRPr="00C66149" w:rsidRDefault="00B558E2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66149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Status realizacji kamienia milowego </w:t>
                  </w:r>
                </w:p>
              </w:tc>
            </w:tr>
            <w:tr w:rsidR="00B558E2" w14:paraId="5C5A8E12" w14:textId="77777777" w:rsidTr="00320BDB">
              <w:tc>
                <w:tcPr>
                  <w:tcW w:w="1601" w:type="dxa"/>
                </w:tcPr>
                <w:p w14:paraId="1D673F52" w14:textId="31A09558" w:rsidR="00B558E2" w:rsidRPr="00C260CD" w:rsidRDefault="00866585" w:rsidP="00C260CD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KM1.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Udostępnienie usług Rejestracji podmiotów, Komunikacji Interesariuszy, przygotowania, składania i otwarcia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lastRenderedPageBreak/>
                    <w:t>ofert/wniosków/prac konkursowych</w:t>
                  </w:r>
                </w:p>
              </w:tc>
              <w:tc>
                <w:tcPr>
                  <w:tcW w:w="952" w:type="dxa"/>
                </w:tcPr>
                <w:p w14:paraId="633FD35A" w14:textId="534C8763" w:rsidR="00B558E2" w:rsidRPr="00CD5EA7" w:rsidRDefault="000F6FAA" w:rsidP="00C74231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lastRenderedPageBreak/>
                    <w:t>12-2020</w:t>
                  </w:r>
                </w:p>
              </w:tc>
              <w:tc>
                <w:tcPr>
                  <w:tcW w:w="1038" w:type="dxa"/>
                </w:tcPr>
                <w:p w14:paraId="1CF4F266" w14:textId="48A0FE12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08-2022</w:t>
                  </w:r>
                </w:p>
              </w:tc>
              <w:tc>
                <w:tcPr>
                  <w:tcW w:w="1196" w:type="dxa"/>
                </w:tcPr>
                <w:p w14:paraId="7C040313" w14:textId="60E0B363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10-2021</w:t>
                  </w:r>
                </w:p>
              </w:tc>
              <w:tc>
                <w:tcPr>
                  <w:tcW w:w="1219" w:type="dxa"/>
                </w:tcPr>
                <w:p w14:paraId="40F6EFCE" w14:textId="10D5BE31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B558E2" w14:paraId="4520AD2C" w14:textId="77777777" w:rsidTr="00320BDB">
              <w:tc>
                <w:tcPr>
                  <w:tcW w:w="1601" w:type="dxa"/>
                </w:tcPr>
                <w:p w14:paraId="19093962" w14:textId="2726CB4C" w:rsidR="00B558E2" w:rsidRPr="00C260CD" w:rsidRDefault="00082EB8" w:rsidP="00A51332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KM2.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Udostępnienie Modułu Ogłoszeń w zakresie ogłoszeń poniżej progów unijnych</w:t>
                  </w:r>
                </w:p>
              </w:tc>
              <w:tc>
                <w:tcPr>
                  <w:tcW w:w="952" w:type="dxa"/>
                </w:tcPr>
                <w:p w14:paraId="3FDF06B0" w14:textId="73CC53AF" w:rsidR="00B558E2" w:rsidRPr="00CD5EA7" w:rsidRDefault="000F6FAA" w:rsidP="00C74231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03</w:t>
                  </w:r>
                  <w:r w:rsidR="00866585"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-2021</w:t>
                  </w:r>
                </w:p>
              </w:tc>
              <w:tc>
                <w:tcPr>
                  <w:tcW w:w="1038" w:type="dxa"/>
                </w:tcPr>
                <w:p w14:paraId="11EB2D36" w14:textId="3F9B3222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03-2021</w:t>
                  </w:r>
                </w:p>
              </w:tc>
              <w:tc>
                <w:tcPr>
                  <w:tcW w:w="1196" w:type="dxa"/>
                </w:tcPr>
                <w:p w14:paraId="06322479" w14:textId="33A32ECB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01-2021</w:t>
                  </w:r>
                </w:p>
              </w:tc>
              <w:tc>
                <w:tcPr>
                  <w:tcW w:w="1219" w:type="dxa"/>
                </w:tcPr>
                <w:p w14:paraId="4CADDDBE" w14:textId="20A5A825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B558E2" w14:paraId="307EEC24" w14:textId="77777777" w:rsidTr="00320BDB">
              <w:tc>
                <w:tcPr>
                  <w:tcW w:w="1601" w:type="dxa"/>
                </w:tcPr>
                <w:p w14:paraId="11A04116" w14:textId="54A5DE9A" w:rsidR="00B558E2" w:rsidRPr="00C260CD" w:rsidRDefault="00082EB8" w:rsidP="00A51332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KM3.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Udostępnienie Modułu Ogłoszeń w zakresie ogłoszeń powyżej progów unijnych, usługa </w:t>
                  </w:r>
                  <w:proofErr w:type="spellStart"/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eSender</w:t>
                  </w:r>
                  <w:proofErr w:type="spellEnd"/>
                </w:p>
              </w:tc>
              <w:tc>
                <w:tcPr>
                  <w:tcW w:w="952" w:type="dxa"/>
                </w:tcPr>
                <w:p w14:paraId="522096CD" w14:textId="4A794076" w:rsidR="00B558E2" w:rsidRPr="00CD5EA7" w:rsidRDefault="00866585" w:rsidP="00C74231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12-2021</w:t>
                  </w:r>
                </w:p>
              </w:tc>
              <w:tc>
                <w:tcPr>
                  <w:tcW w:w="1038" w:type="dxa"/>
                </w:tcPr>
                <w:p w14:paraId="4BEDA323" w14:textId="3964265D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08-2022</w:t>
                  </w:r>
                </w:p>
              </w:tc>
              <w:tc>
                <w:tcPr>
                  <w:tcW w:w="1196" w:type="dxa"/>
                </w:tcPr>
                <w:p w14:paraId="76984DC1" w14:textId="798D5719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08-2022</w:t>
                  </w:r>
                </w:p>
              </w:tc>
              <w:tc>
                <w:tcPr>
                  <w:tcW w:w="1219" w:type="dxa"/>
                </w:tcPr>
                <w:p w14:paraId="4BEBCF5C" w14:textId="0E3060EC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B558E2" w14:paraId="214FE12E" w14:textId="77777777" w:rsidTr="00320BDB">
              <w:tc>
                <w:tcPr>
                  <w:tcW w:w="1601" w:type="dxa"/>
                </w:tcPr>
                <w:p w14:paraId="1035F440" w14:textId="1C03A99D" w:rsidR="00B558E2" w:rsidRPr="00C260CD" w:rsidRDefault="00082EB8" w:rsidP="00A51332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KM4.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Udostępnienie modułu Monitorowania i Analiz</w:t>
                  </w:r>
                </w:p>
              </w:tc>
              <w:tc>
                <w:tcPr>
                  <w:tcW w:w="952" w:type="dxa"/>
                </w:tcPr>
                <w:p w14:paraId="45083744" w14:textId="06E928F7" w:rsidR="00B558E2" w:rsidRPr="00CD5EA7" w:rsidRDefault="00866585" w:rsidP="00C74231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05-2022</w:t>
                  </w:r>
                </w:p>
              </w:tc>
              <w:tc>
                <w:tcPr>
                  <w:tcW w:w="1038" w:type="dxa"/>
                </w:tcPr>
                <w:p w14:paraId="00E8068F" w14:textId="3BDDBF7F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08-2022</w:t>
                  </w:r>
                </w:p>
              </w:tc>
              <w:tc>
                <w:tcPr>
                  <w:tcW w:w="1196" w:type="dxa"/>
                </w:tcPr>
                <w:p w14:paraId="60503E1D" w14:textId="1A999189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04-2022</w:t>
                  </w:r>
                </w:p>
              </w:tc>
              <w:tc>
                <w:tcPr>
                  <w:tcW w:w="1219" w:type="dxa"/>
                </w:tcPr>
                <w:p w14:paraId="016BD826" w14:textId="7102EA2A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14:paraId="1846E1D4" w14:textId="77777777" w:rsidR="00202951" w:rsidRDefault="00202951" w:rsidP="009F68B7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8E4A645" w14:textId="26AFE227" w:rsidR="009F68B7" w:rsidRDefault="009F68B7" w:rsidP="009F68B7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FA15A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W wyniki realizacji projektu powstały poniżej wymienione produkty:</w:t>
            </w:r>
          </w:p>
          <w:p w14:paraId="4483B6CD" w14:textId="77777777" w:rsidR="00B73901" w:rsidRPr="00FA15AE" w:rsidRDefault="00B73901" w:rsidP="009F68B7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</w:p>
          <w:p w14:paraId="26CB9B4E" w14:textId="2123C489" w:rsidR="009F68B7" w:rsidRPr="00F9475B" w:rsidRDefault="009F68B7" w:rsidP="00DC407A">
            <w:pPr>
              <w:pStyle w:val="Default"/>
              <w:numPr>
                <w:ilvl w:val="0"/>
                <w:numId w:val="8"/>
              </w:num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9475B">
              <w:rPr>
                <w:rFonts w:asciiTheme="minorHAnsi" w:hAnsiTheme="minorHAnsi" w:cstheme="minorHAnsi"/>
                <w:sz w:val="18"/>
                <w:szCs w:val="18"/>
              </w:rPr>
              <w:t>Moduł Tożsamości (MT) - termin wdrożenia 11-2020</w:t>
            </w:r>
          </w:p>
          <w:p w14:paraId="6C11CAF0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Moduł Ogłoszeń (MO) - termin wdrożenia 01-2021 (BZP w zakresie ogłoszeń krajowych); 08-2022 (ogłoszenia unijne)</w:t>
            </w:r>
          </w:p>
          <w:p w14:paraId="01A33D98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Przygotowanie ogłoszeń i planów postępowań,</w:t>
            </w:r>
          </w:p>
          <w:p w14:paraId="6E7EB2FA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Biuletyn Zamówień Publicznych (BZP);</w:t>
            </w:r>
          </w:p>
          <w:p w14:paraId="0DA51AF5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Moduł Postępowań (MP) – termin wdrożenia 10-2021</w:t>
            </w:r>
          </w:p>
          <w:p w14:paraId="1207EADE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Inicjacja postępowania, aktualizacja statusu postępowania,</w:t>
            </w:r>
          </w:p>
          <w:p w14:paraId="54CA1386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Komunikacja interesariuszy postępowania (pytania/odpowiedzi, zaproszenia, wyjaśnienia, odwołania, zawiadomienia, powiadomienia);</w:t>
            </w:r>
          </w:p>
          <w:p w14:paraId="675BE374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Moduł Ofert/Wniosków (MOW) – termin wdrożenia 10-2021</w:t>
            </w:r>
          </w:p>
          <w:p w14:paraId="4B31C8EF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Przygotowanie, składanie ofert/wniosków/prac konkursowych,</w:t>
            </w:r>
          </w:p>
          <w:p w14:paraId="4FF652F6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Przechowywanie i zabezpieczenie ofert/wniosków/prac konkursowych,</w:t>
            </w:r>
          </w:p>
          <w:p w14:paraId="37D994EA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Otwarcie ofert/wniosków/prac konkursowych;</w:t>
            </w:r>
          </w:p>
          <w:p w14:paraId="31329DEA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Moduł Monitorowania i Analiz (</w:t>
            </w:r>
            <w:proofErr w:type="spellStart"/>
            <w:r w:rsidRPr="00F9475B">
              <w:rPr>
                <w:rFonts w:cstheme="minorHAnsi"/>
                <w:sz w:val="18"/>
                <w:szCs w:val="18"/>
              </w:rPr>
              <w:t>MMiA</w:t>
            </w:r>
            <w:proofErr w:type="spellEnd"/>
            <w:r w:rsidRPr="00F9475B">
              <w:rPr>
                <w:rFonts w:cstheme="minorHAnsi"/>
                <w:sz w:val="18"/>
                <w:szCs w:val="18"/>
              </w:rPr>
              <w:t>) – termin wdrożenia 04-2022</w:t>
            </w:r>
          </w:p>
          <w:p w14:paraId="7DE0E9BA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 xml:space="preserve">Moduł </w:t>
            </w:r>
            <w:proofErr w:type="spellStart"/>
            <w:r w:rsidRPr="00F9475B">
              <w:rPr>
                <w:rFonts w:cstheme="minorHAnsi"/>
                <w:sz w:val="18"/>
                <w:szCs w:val="18"/>
              </w:rPr>
              <w:t>eSender</w:t>
            </w:r>
            <w:proofErr w:type="spellEnd"/>
            <w:r w:rsidRPr="00F9475B">
              <w:rPr>
                <w:rFonts w:cstheme="minorHAnsi"/>
                <w:sz w:val="18"/>
                <w:szCs w:val="18"/>
              </w:rPr>
              <w:t xml:space="preserve"> – termin wdrożenia 08-2022</w:t>
            </w:r>
          </w:p>
          <w:p w14:paraId="6F0F1ACA" w14:textId="77777777" w:rsidR="004415E9" w:rsidRDefault="004415E9" w:rsidP="009F68B7">
            <w:pPr>
              <w:rPr>
                <w:rFonts w:cstheme="minorHAnsi"/>
                <w:sz w:val="18"/>
                <w:szCs w:val="18"/>
              </w:rPr>
            </w:pPr>
            <w:bookmarkStart w:id="0" w:name="_Toc5282635"/>
          </w:p>
          <w:p w14:paraId="44406017" w14:textId="43174717" w:rsidR="009F68B7" w:rsidRPr="00F9475B" w:rsidRDefault="009F68B7" w:rsidP="009F68B7">
            <w:pPr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 xml:space="preserve">wraz z </w:t>
            </w:r>
            <w:bookmarkEnd w:id="0"/>
            <w:r w:rsidRPr="00F9475B">
              <w:rPr>
                <w:rFonts w:cstheme="minorHAnsi"/>
                <w:sz w:val="18"/>
                <w:szCs w:val="18"/>
              </w:rPr>
              <w:t>komponentami wspierającymi:</w:t>
            </w:r>
          </w:p>
          <w:p w14:paraId="2B9EB483" w14:textId="4B4232F4" w:rsidR="00C96AE2" w:rsidRDefault="00C96AE2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Centralne Repozytorium Danych (CRD),</w:t>
            </w:r>
          </w:p>
          <w:p w14:paraId="45A9A5DD" w14:textId="0518F0D0" w:rsidR="00C96AE2" w:rsidRDefault="00C96AE2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Komponent Komunikacji (KOM),</w:t>
            </w:r>
          </w:p>
          <w:p w14:paraId="28DB2119" w14:textId="78EA12E0" w:rsidR="00C96AE2" w:rsidRDefault="00C96AE2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System </w:t>
            </w:r>
            <w:r w:rsidR="004415E9">
              <w:rPr>
                <w:rFonts w:cstheme="minorHAnsi"/>
                <w:sz w:val="18"/>
                <w:szCs w:val="18"/>
              </w:rPr>
              <w:t>mailingowy (SM),</w:t>
            </w:r>
          </w:p>
          <w:p w14:paraId="46E3191B" w14:textId="567A37CF" w:rsidR="004415E9" w:rsidRDefault="004415E9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Koordynator powiadomień (KP),</w:t>
            </w:r>
          </w:p>
          <w:p w14:paraId="678CA162" w14:textId="3BFB1D45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Komponent Kryptograficzny (KK),</w:t>
            </w:r>
          </w:p>
          <w:p w14:paraId="191819A0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Zarządca Kluczy (ZK),</w:t>
            </w:r>
          </w:p>
          <w:p w14:paraId="4C9BCD9D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Zarządca Logów (ZL),</w:t>
            </w:r>
          </w:p>
          <w:p w14:paraId="102BEC9C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Zarządca API (ZA),</w:t>
            </w:r>
          </w:p>
          <w:p w14:paraId="0020D7B8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 xml:space="preserve">Portal Deweloperski (PD), </w:t>
            </w:r>
          </w:p>
          <w:p w14:paraId="0700666B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e-</w:t>
            </w:r>
            <w:proofErr w:type="spellStart"/>
            <w:r w:rsidRPr="00F9475B">
              <w:rPr>
                <w:rFonts w:cstheme="minorHAnsi"/>
                <w:sz w:val="18"/>
                <w:szCs w:val="18"/>
              </w:rPr>
              <w:t>Sender</w:t>
            </w:r>
            <w:proofErr w:type="spellEnd"/>
            <w:r w:rsidRPr="00F9475B">
              <w:rPr>
                <w:rFonts w:cstheme="minorHAnsi"/>
                <w:sz w:val="18"/>
                <w:szCs w:val="18"/>
              </w:rPr>
              <w:t>,</w:t>
            </w:r>
          </w:p>
          <w:p w14:paraId="3565CFAB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Komponent Administracyjny (KA),</w:t>
            </w:r>
          </w:p>
          <w:p w14:paraId="1DDCAF33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Komponent Edukacyjny (KE),</w:t>
            </w:r>
          </w:p>
          <w:p w14:paraId="363A0B26" w14:textId="7E63534B" w:rsidR="009F68B7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System Obsługi Zgłoszeń (SOZ),</w:t>
            </w:r>
          </w:p>
          <w:p w14:paraId="6BCA7F8D" w14:textId="0B617264" w:rsidR="009F68B7" w:rsidRPr="00DF03BC" w:rsidRDefault="00DF03BC" w:rsidP="00DF03BC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DF03BC">
              <w:rPr>
                <w:rFonts w:cstheme="minorHAnsi"/>
                <w:sz w:val="18"/>
                <w:szCs w:val="18"/>
                <w:lang w:val="en-US"/>
              </w:rPr>
              <w:t xml:space="preserve">Portal </w:t>
            </w: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d</w:t>
            </w:r>
            <w:r w:rsidRPr="00DF03BC">
              <w:rPr>
                <w:rFonts w:cstheme="minorHAnsi"/>
                <w:sz w:val="18"/>
                <w:szCs w:val="18"/>
                <w:lang w:val="en-US"/>
              </w:rPr>
              <w:t>ostępowy</w:t>
            </w:r>
            <w:proofErr w:type="spellEnd"/>
            <w:r w:rsidRPr="00DF03BC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2C3F8C">
              <w:rPr>
                <w:rFonts w:cstheme="minorHAnsi"/>
                <w:sz w:val="18"/>
                <w:szCs w:val="18"/>
                <w:lang w:val="en-US"/>
              </w:rPr>
              <w:t>(front-end WEB GUI).</w:t>
            </w:r>
          </w:p>
          <w:p w14:paraId="6A4F7CAC" w14:textId="3E302802" w:rsidR="002450C4" w:rsidRPr="009F68B7" w:rsidRDefault="002450C4" w:rsidP="009D3D41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</w:tr>
      <w:tr w:rsidR="004D135D" w:rsidRPr="002450C4" w14:paraId="24E53698" w14:textId="77777777" w:rsidTr="003F1E43">
        <w:tc>
          <w:tcPr>
            <w:tcW w:w="480" w:type="dxa"/>
          </w:tcPr>
          <w:p w14:paraId="61E67A84" w14:textId="77777777" w:rsidR="004D135D" w:rsidRPr="009F68B7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  <w:lang w:val="en-US"/>
              </w:rPr>
            </w:pPr>
          </w:p>
        </w:tc>
        <w:tc>
          <w:tcPr>
            <w:tcW w:w="1925" w:type="dxa"/>
          </w:tcPr>
          <w:p w14:paraId="61F70D31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657" w:type="dxa"/>
          </w:tcPr>
          <w:p w14:paraId="168ABA8A" w14:textId="3E1D4DE4" w:rsidR="00B8603A" w:rsidRPr="00B47C16" w:rsidRDefault="00B8603A" w:rsidP="007738BC">
            <w:pPr>
              <w:jc w:val="both"/>
              <w:rPr>
                <w:b/>
                <w:iCs/>
                <w:sz w:val="18"/>
                <w:szCs w:val="20"/>
              </w:rPr>
            </w:pPr>
            <w:r w:rsidRPr="00B47C16">
              <w:rPr>
                <w:b/>
                <w:iCs/>
                <w:sz w:val="18"/>
                <w:szCs w:val="20"/>
              </w:rPr>
              <w:t xml:space="preserve">W ramach realizacji projektu </w:t>
            </w:r>
            <w:r w:rsidR="00864AFF" w:rsidRPr="00B47C16">
              <w:rPr>
                <w:b/>
                <w:iCs/>
                <w:sz w:val="18"/>
                <w:szCs w:val="20"/>
              </w:rPr>
              <w:t xml:space="preserve">zostały uruchomione niżej wymienione usługi publiczne: </w:t>
            </w:r>
          </w:p>
          <w:p w14:paraId="177A853B" w14:textId="6F2DACC5" w:rsidR="008F2EC0" w:rsidRDefault="008F2EC0" w:rsidP="004D135D">
            <w:pPr>
              <w:rPr>
                <w:bCs/>
                <w:iCs/>
                <w:sz w:val="18"/>
                <w:szCs w:val="20"/>
              </w:rPr>
            </w:pPr>
          </w:p>
          <w:p w14:paraId="1E9A86AE" w14:textId="550EBB96" w:rsidR="00F668F1" w:rsidRPr="00F668F1" w:rsidRDefault="00F668F1" w:rsidP="00E20058">
            <w:pPr>
              <w:pStyle w:val="Akapitzlist"/>
              <w:numPr>
                <w:ilvl w:val="0"/>
                <w:numId w:val="11"/>
              </w:numPr>
              <w:ind w:left="567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>Udział wykonawcy w postępowaniu o udzielenie zamówienia publicznego na różnych etapach</w:t>
            </w:r>
            <w:r w:rsidR="00D833BF">
              <w:rPr>
                <w:rFonts w:cstheme="minorHAnsi"/>
                <w:color w:val="000000" w:themeColor="text1"/>
                <w:sz w:val="18"/>
                <w:szCs w:val="18"/>
              </w:rPr>
              <w:t xml:space="preserve"> (typ A2B)</w:t>
            </w:r>
            <w:r w:rsidR="00436D2F">
              <w:rPr>
                <w:rFonts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E82388" w:rsidRPr="00247AD1">
              <w:rPr>
                <w:rFonts w:cstheme="minorHAnsi"/>
                <w:color w:val="000000" w:themeColor="text1"/>
                <w:sz w:val="18"/>
                <w:szCs w:val="18"/>
              </w:rPr>
              <w:t>osiągnięty</w:t>
            </w:r>
            <w:r w:rsidR="00436D2F" w:rsidRPr="00247AD1">
              <w:rPr>
                <w:rFonts w:cstheme="minorHAnsi"/>
                <w:color w:val="000000" w:themeColor="text1"/>
                <w:sz w:val="18"/>
                <w:szCs w:val="18"/>
              </w:rPr>
              <w:t xml:space="preserve"> poziom e-dojrzałości -</w:t>
            </w:r>
            <w:r w:rsidR="00E82388" w:rsidRPr="00247AD1">
              <w:rPr>
                <w:rFonts w:cstheme="minorHAnsi"/>
                <w:color w:val="000000" w:themeColor="text1"/>
                <w:sz w:val="18"/>
                <w:szCs w:val="18"/>
              </w:rPr>
              <w:t>5;</w:t>
            </w:r>
          </w:p>
          <w:p w14:paraId="292D84F3" w14:textId="39E40AA3" w:rsidR="00F668F1" w:rsidRPr="00F668F1" w:rsidRDefault="00F668F1" w:rsidP="00E20058">
            <w:pPr>
              <w:pStyle w:val="Akapitzlist"/>
              <w:numPr>
                <w:ilvl w:val="0"/>
                <w:numId w:val="11"/>
              </w:numPr>
              <w:ind w:left="567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>Monitorowanie rynku zamówień publicznych na podstawie zgromadzonych w CRD danych</w:t>
            </w:r>
            <w:r w:rsidR="004D774E">
              <w:rPr>
                <w:rFonts w:cstheme="minorHAnsi"/>
                <w:color w:val="000000" w:themeColor="text1"/>
                <w:sz w:val="18"/>
                <w:szCs w:val="18"/>
              </w:rPr>
              <w:t xml:space="preserve"> (typ A2C/A2B), </w:t>
            </w:r>
            <w:r w:rsidR="00C176DF" w:rsidRPr="00247AD1">
              <w:rPr>
                <w:rFonts w:cstheme="minorHAnsi"/>
                <w:color w:val="000000" w:themeColor="text1"/>
                <w:sz w:val="18"/>
                <w:szCs w:val="18"/>
              </w:rPr>
              <w:t xml:space="preserve">osiągnięty </w:t>
            </w:r>
            <w:r w:rsidR="004D774E" w:rsidRPr="00247AD1">
              <w:rPr>
                <w:rFonts w:cstheme="minorHAnsi"/>
                <w:color w:val="000000" w:themeColor="text1"/>
                <w:sz w:val="18"/>
                <w:szCs w:val="18"/>
              </w:rPr>
              <w:t>poziom</w:t>
            </w:r>
            <w:r w:rsidR="00D85970" w:rsidRPr="00247AD1">
              <w:rPr>
                <w:rFonts w:cstheme="minorHAnsi"/>
                <w:color w:val="000000" w:themeColor="text1"/>
                <w:sz w:val="18"/>
                <w:szCs w:val="18"/>
              </w:rPr>
              <w:t xml:space="preserve"> e-dojrzałości </w:t>
            </w:r>
            <w:r w:rsidR="008B7681" w:rsidRPr="00247AD1">
              <w:rPr>
                <w:rFonts w:cstheme="minorHAnsi"/>
                <w:color w:val="000000" w:themeColor="text1"/>
                <w:sz w:val="18"/>
                <w:szCs w:val="18"/>
              </w:rPr>
              <w:t>–</w:t>
            </w:r>
            <w:r w:rsidR="00D85970" w:rsidRPr="00247AD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C176DF" w:rsidRPr="00247AD1">
              <w:rPr>
                <w:rFonts w:cstheme="minorHAnsi"/>
                <w:color w:val="000000" w:themeColor="text1"/>
                <w:sz w:val="18"/>
                <w:szCs w:val="18"/>
              </w:rPr>
              <w:t>4;</w:t>
            </w:r>
          </w:p>
          <w:p w14:paraId="5252198B" w14:textId="79BD5B52" w:rsidR="00F668F1" w:rsidRPr="00F668F1" w:rsidRDefault="00F668F1" w:rsidP="00E20058">
            <w:pPr>
              <w:pStyle w:val="Akapitzlist"/>
              <w:numPr>
                <w:ilvl w:val="0"/>
                <w:numId w:val="11"/>
              </w:numPr>
              <w:ind w:left="567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>Przygotowanie i prowadzenie postępow</w:t>
            </w:r>
            <w:r w:rsidR="00134E62">
              <w:rPr>
                <w:rFonts w:cstheme="minorHAnsi"/>
                <w:color w:val="000000" w:themeColor="text1"/>
                <w:sz w:val="18"/>
                <w:szCs w:val="18"/>
              </w:rPr>
              <w:t>ań krajowych i unijnych</w:t>
            </w: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 xml:space="preserve"> o udzielenie zamówienia publicznego przez zamawiającego;</w:t>
            </w:r>
          </w:p>
          <w:p w14:paraId="32AADD56" w14:textId="1C41F3A5" w:rsidR="00F668F1" w:rsidRPr="00F668F1" w:rsidRDefault="00F668F1" w:rsidP="00E20058">
            <w:pPr>
              <w:pStyle w:val="Akapitzlist"/>
              <w:numPr>
                <w:ilvl w:val="0"/>
                <w:numId w:val="11"/>
              </w:numPr>
              <w:ind w:left="567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 xml:space="preserve">Zamieszczanie ogłoszeń </w:t>
            </w:r>
            <w:r w:rsidR="00E20058">
              <w:rPr>
                <w:rFonts w:cstheme="minorHAnsi"/>
                <w:color w:val="000000" w:themeColor="text1"/>
                <w:sz w:val="18"/>
                <w:szCs w:val="18"/>
              </w:rPr>
              <w:t xml:space="preserve">krajowych i unijnych </w:t>
            </w: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 xml:space="preserve">i składanie rocznego sprawozdania </w:t>
            </w:r>
            <w:r w:rsidR="000F7412">
              <w:rPr>
                <w:rFonts w:cstheme="minorHAnsi"/>
                <w:color w:val="000000" w:themeColor="text1"/>
                <w:sz w:val="18"/>
                <w:szCs w:val="18"/>
              </w:rPr>
              <w:t xml:space="preserve">z udzielonych zamówień publicznych </w:t>
            </w: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 xml:space="preserve">przez </w:t>
            </w:r>
            <w:r w:rsidR="00D27B0B">
              <w:rPr>
                <w:rFonts w:cstheme="minorHAnsi"/>
                <w:color w:val="000000" w:themeColor="text1"/>
                <w:sz w:val="18"/>
                <w:szCs w:val="18"/>
              </w:rPr>
              <w:t>z</w:t>
            </w: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>amawiających.</w:t>
            </w:r>
          </w:p>
          <w:p w14:paraId="00D5CB4F" w14:textId="16EA7E7A" w:rsidR="004D135D" w:rsidRDefault="004D135D" w:rsidP="00E30008">
            <w:pPr>
              <w:rPr>
                <w:bCs/>
                <w:i/>
                <w:sz w:val="18"/>
                <w:szCs w:val="20"/>
              </w:rPr>
            </w:pPr>
          </w:p>
        </w:tc>
      </w:tr>
      <w:tr w:rsidR="00920CE8" w:rsidRPr="002450C4" w14:paraId="2823960F" w14:textId="77777777" w:rsidTr="003F1E43">
        <w:tc>
          <w:tcPr>
            <w:tcW w:w="480" w:type="dxa"/>
          </w:tcPr>
          <w:p w14:paraId="086C3519" w14:textId="77777777" w:rsidR="00920CE8" w:rsidRPr="00002F8B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3A3DB0D3" w14:textId="77777777" w:rsidR="00920CE8" w:rsidRPr="00002F8B" w:rsidRDefault="00920CE8" w:rsidP="0092099A">
            <w:pPr>
              <w:rPr>
                <w:sz w:val="18"/>
                <w:szCs w:val="20"/>
              </w:rPr>
            </w:pPr>
            <w:r w:rsidRPr="00002F8B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657" w:type="dxa"/>
          </w:tcPr>
          <w:p w14:paraId="764AAC1D" w14:textId="6701358C" w:rsidR="00CF5297" w:rsidRPr="00B47C16" w:rsidRDefault="000B720A" w:rsidP="0050076A">
            <w:pPr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B47C16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Realizacja projektu odbywała się na podstawie celów strategicznych </w:t>
            </w:r>
            <w:r w:rsidR="00B402CA" w:rsidRPr="00B47C16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zawartych w niżej wymienionych dokumentach/programach:</w:t>
            </w:r>
          </w:p>
          <w:p w14:paraId="347031F3" w14:textId="77777777" w:rsidR="00F32EBB" w:rsidRDefault="00F32EBB" w:rsidP="0050076A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71F9B151" w14:textId="3182E8F9" w:rsidR="00F214D6" w:rsidRPr="00F214D6" w:rsidRDefault="00164E4A" w:rsidP="00F214D6">
            <w:pPr>
              <w:pStyle w:val="Akapitzlist"/>
              <w:widowControl w:val="0"/>
              <w:numPr>
                <w:ilvl w:val="3"/>
                <w:numId w:val="9"/>
              </w:numPr>
              <w:ind w:left="473"/>
              <w:jc w:val="both"/>
              <w:rPr>
                <w:rFonts w:eastAsiaTheme="majorEastAsia" w:cstheme="minorHAnsi"/>
                <w:sz w:val="18"/>
                <w:szCs w:val="18"/>
              </w:rPr>
            </w:pPr>
            <w:r w:rsidRPr="00F214D6">
              <w:rPr>
                <w:rFonts w:cstheme="minorHAnsi"/>
                <w:color w:val="000000" w:themeColor="text1"/>
                <w:sz w:val="18"/>
                <w:szCs w:val="18"/>
              </w:rPr>
              <w:t>Strategia Sprawne Państwo 2020</w:t>
            </w:r>
            <w:r w:rsidR="00D115A2" w:rsidRPr="00F214D6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="00F214D6" w:rsidRPr="00F214D6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F214D6" w:rsidRPr="00F214D6">
              <w:rPr>
                <w:rFonts w:eastAsiaTheme="majorEastAsia" w:cstheme="minorHAnsi"/>
                <w:sz w:val="18"/>
                <w:szCs w:val="18"/>
              </w:rPr>
              <w:t>Projekt przyczynia się do realizacji następujących celów:</w:t>
            </w:r>
          </w:p>
          <w:p w14:paraId="131476A0" w14:textId="77777777" w:rsidR="00F214D6" w:rsidRPr="00D95DD7" w:rsidRDefault="00F214D6" w:rsidP="00002F8B">
            <w:pPr>
              <w:ind w:left="454"/>
              <w:rPr>
                <w:rFonts w:cstheme="minorHAnsi"/>
                <w:sz w:val="18"/>
                <w:szCs w:val="18"/>
                <w:u w:val="single"/>
              </w:rPr>
            </w:pPr>
            <w:r w:rsidRPr="00D95DD7">
              <w:rPr>
                <w:rFonts w:cstheme="minorHAnsi"/>
                <w:sz w:val="18"/>
                <w:szCs w:val="18"/>
                <w:u w:val="single"/>
              </w:rPr>
              <w:t>CEL OTWARTY RZĄD</w:t>
            </w:r>
          </w:p>
          <w:p w14:paraId="131797E4" w14:textId="77777777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>1.1 Otwarcie zasobów sektora publicznego poprzez udostępnienie ustrukturyzowanych danych z obszaru zamówień publicznych wraz z API oraz narzędzi (BI) umożliwiających analizę zintegrowanych danych</w:t>
            </w:r>
          </w:p>
          <w:p w14:paraId="0B2ACF69" w14:textId="77777777" w:rsidR="00F214D6" w:rsidRPr="00D95DD7" w:rsidRDefault="00F214D6" w:rsidP="00002F8B">
            <w:pPr>
              <w:ind w:left="454"/>
              <w:rPr>
                <w:rFonts w:cstheme="minorHAnsi"/>
                <w:sz w:val="18"/>
                <w:szCs w:val="18"/>
                <w:u w:val="single"/>
              </w:rPr>
            </w:pPr>
            <w:r w:rsidRPr="00D95DD7">
              <w:rPr>
                <w:rFonts w:cstheme="minorHAnsi"/>
                <w:sz w:val="18"/>
                <w:szCs w:val="18"/>
                <w:u w:val="single"/>
              </w:rPr>
              <w:t>CEL ZWIĘKSZENIE SPRAWNOŚCI INSTYTUCJONALNEJ PAŃSTWA</w:t>
            </w:r>
          </w:p>
          <w:p w14:paraId="0463B0DC" w14:textId="77777777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>2.3. Efektywne i funkcjonalne urzędy administracji publicznej poprzez udostępnienie jednolitego systemu w chmurze, tworzonego we współpracy z interesariuszami procesu udzielania zamówień publicznych</w:t>
            </w:r>
          </w:p>
          <w:p w14:paraId="7F84A6DC" w14:textId="77777777" w:rsidR="00F214D6" w:rsidRPr="00D95DD7" w:rsidRDefault="00F214D6" w:rsidP="00002F8B">
            <w:pPr>
              <w:ind w:left="454"/>
              <w:rPr>
                <w:rFonts w:cstheme="minorHAnsi"/>
                <w:sz w:val="18"/>
                <w:szCs w:val="18"/>
                <w:u w:val="single"/>
              </w:rPr>
            </w:pPr>
            <w:r w:rsidRPr="00D95DD7">
              <w:rPr>
                <w:rFonts w:cstheme="minorHAnsi"/>
                <w:sz w:val="18"/>
                <w:szCs w:val="18"/>
                <w:u w:val="single"/>
              </w:rPr>
              <w:t>CEL DOBRE PRAWO</w:t>
            </w:r>
          </w:p>
          <w:p w14:paraId="1F0235F1" w14:textId="77777777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>4.1. Optymalizacja procedur administracyjnych - poprzez optymalizację procesów w obszarze zamówień publicznych</w:t>
            </w:r>
          </w:p>
          <w:p w14:paraId="32DC274F" w14:textId="7341E3F8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 xml:space="preserve">4.2. Procedury nastawione na realizację celów – </w:t>
            </w:r>
            <w:r w:rsidR="00522CD4" w:rsidRPr="00D95DD7">
              <w:rPr>
                <w:rFonts w:cstheme="minorHAnsi"/>
                <w:sz w:val="18"/>
                <w:szCs w:val="18"/>
              </w:rPr>
              <w:t>poprzez udostępnienie</w:t>
            </w:r>
            <w:r w:rsidRPr="00D95DD7">
              <w:rPr>
                <w:rFonts w:cstheme="minorHAnsi"/>
                <w:sz w:val="18"/>
                <w:szCs w:val="18"/>
              </w:rPr>
              <w:t xml:space="preserve"> aplikacji biznesowych i standardów zapewniających efektywną elektronizację procesu zamówień publicznych w fazie </w:t>
            </w:r>
            <w:proofErr w:type="spellStart"/>
            <w:r w:rsidRPr="00D95DD7">
              <w:rPr>
                <w:rFonts w:cstheme="minorHAnsi"/>
                <w:sz w:val="18"/>
                <w:szCs w:val="18"/>
              </w:rPr>
              <w:t>pre-award</w:t>
            </w:r>
            <w:proofErr w:type="spellEnd"/>
            <w:r w:rsidRPr="00D95DD7">
              <w:rPr>
                <w:rFonts w:cstheme="minorHAnsi"/>
                <w:sz w:val="18"/>
                <w:szCs w:val="18"/>
              </w:rPr>
              <w:t>.</w:t>
            </w:r>
          </w:p>
          <w:p w14:paraId="42DCC37D" w14:textId="77777777" w:rsidR="00F214D6" w:rsidRPr="00D95DD7" w:rsidRDefault="00F214D6" w:rsidP="00002F8B">
            <w:pPr>
              <w:ind w:left="454"/>
              <w:rPr>
                <w:rFonts w:cstheme="minorHAnsi"/>
                <w:sz w:val="18"/>
                <w:szCs w:val="18"/>
                <w:u w:val="single"/>
              </w:rPr>
            </w:pPr>
            <w:r w:rsidRPr="00D95DD7">
              <w:rPr>
                <w:rFonts w:cstheme="minorHAnsi"/>
                <w:sz w:val="18"/>
                <w:szCs w:val="18"/>
                <w:u w:val="single"/>
              </w:rPr>
              <w:t>CEL EFEKTYWNE ŚWIADCZENIE USŁUG PUBLICZNYCH</w:t>
            </w:r>
          </w:p>
          <w:p w14:paraId="2A445852" w14:textId="77777777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>5.5. Standaryzacja i zarządzanie usługami publicznymi ze szczególnym uwzględnieniem technologii cyfrowych - poprzez udostępnienie jednolitych usług w chmurze oraz stworzenie standardów dokumentów używanych w procesie udzielania zamówienia publicznego, a tym samym zwiększenie efektywności działania administracji.</w:t>
            </w:r>
          </w:p>
          <w:p w14:paraId="3DDA6751" w14:textId="265779A7" w:rsidR="00B402CA" w:rsidRPr="005E3D6D" w:rsidRDefault="000C3D73" w:rsidP="00164E4A">
            <w:pPr>
              <w:pStyle w:val="Akapitzlist"/>
              <w:numPr>
                <w:ilvl w:val="3"/>
                <w:numId w:val="9"/>
              </w:numPr>
              <w:ind w:left="53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Program Zintegrowanej Informatyzacji Państwa. </w:t>
            </w:r>
            <w:r w:rsidR="00F319B4">
              <w:rPr>
                <w:rFonts w:cstheme="minorHAnsi"/>
                <w:color w:val="000000" w:themeColor="text1"/>
                <w:sz w:val="18"/>
                <w:szCs w:val="18"/>
              </w:rPr>
              <w:t xml:space="preserve">Usługi utworzone </w:t>
            </w:r>
            <w:r w:rsidR="00263B05">
              <w:rPr>
                <w:rFonts w:cstheme="minorHAnsi"/>
                <w:color w:val="000000" w:themeColor="text1"/>
                <w:sz w:val="18"/>
                <w:szCs w:val="18"/>
              </w:rPr>
              <w:t xml:space="preserve">i ustandaryzowane </w:t>
            </w:r>
            <w:r w:rsidR="005E3D6D" w:rsidRPr="00D95DD7">
              <w:rPr>
                <w:sz w:val="18"/>
                <w:szCs w:val="18"/>
              </w:rPr>
              <w:t xml:space="preserve">w ramach Projektu są zgodne z Katalogiem rekomendowanych usług określonych w załączniku nr 2 do PZIP, pkt 6 </w:t>
            </w:r>
            <w:proofErr w:type="spellStart"/>
            <w:r w:rsidR="005E3D6D" w:rsidRPr="00D95DD7">
              <w:rPr>
                <w:sz w:val="18"/>
                <w:szCs w:val="18"/>
              </w:rPr>
              <w:t>ppkt</w:t>
            </w:r>
            <w:proofErr w:type="spellEnd"/>
            <w:r w:rsidR="005E3D6D" w:rsidRPr="00D95DD7">
              <w:rPr>
                <w:sz w:val="18"/>
                <w:szCs w:val="18"/>
              </w:rPr>
              <w:t xml:space="preserve"> Zamówienia publiczne</w:t>
            </w:r>
            <w:r w:rsidR="005E3D6D">
              <w:rPr>
                <w:sz w:val="18"/>
                <w:szCs w:val="18"/>
              </w:rPr>
              <w:t>.</w:t>
            </w:r>
          </w:p>
          <w:p w14:paraId="04E2C5A0" w14:textId="4F980BB6" w:rsidR="005E3D6D" w:rsidRPr="00CC4F53" w:rsidRDefault="005E3D6D" w:rsidP="00164E4A">
            <w:pPr>
              <w:pStyle w:val="Akapitzlist"/>
              <w:numPr>
                <w:ilvl w:val="3"/>
                <w:numId w:val="9"/>
              </w:numPr>
              <w:ind w:left="53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C4F53">
              <w:rPr>
                <w:rFonts w:cstheme="minorHAnsi"/>
                <w:sz w:val="18"/>
                <w:szCs w:val="18"/>
              </w:rPr>
              <w:t xml:space="preserve">Program Operacyjny Polska Cyfrowa </w:t>
            </w:r>
            <w:r w:rsidR="00B57C24" w:rsidRPr="00CC4F53">
              <w:rPr>
                <w:rFonts w:cstheme="minorHAnsi"/>
                <w:color w:val="000000" w:themeColor="text1"/>
                <w:sz w:val="18"/>
                <w:szCs w:val="18"/>
              </w:rPr>
              <w:t>na lata 2014-2020, Oś Priorytetowa nr 2</w:t>
            </w:r>
            <w:r w:rsidR="00CC4F53">
              <w:rPr>
                <w:rFonts w:cstheme="minorHAnsi"/>
                <w:color w:val="000000" w:themeColor="text1"/>
                <w:sz w:val="18"/>
                <w:szCs w:val="18"/>
              </w:rPr>
              <w:br/>
            </w:r>
            <w:r w:rsidR="00B57C24" w:rsidRPr="00CC4F53">
              <w:rPr>
                <w:rFonts w:cstheme="minorHAnsi"/>
                <w:color w:val="000000" w:themeColor="text1"/>
                <w:sz w:val="18"/>
                <w:szCs w:val="18"/>
              </w:rPr>
              <w:t xml:space="preserve"> „E-administracja i otwarty rząd”, Działanie nr 2.1 „Wysoka dostępność i jakość </w:t>
            </w:r>
            <w:r w:rsidR="00CC4F53">
              <w:rPr>
                <w:rFonts w:cstheme="minorHAnsi"/>
                <w:color w:val="000000" w:themeColor="text1"/>
                <w:sz w:val="18"/>
                <w:szCs w:val="18"/>
              </w:rPr>
              <w:br/>
            </w:r>
            <w:r w:rsidR="00B57C24" w:rsidRPr="00CC4F53">
              <w:rPr>
                <w:rFonts w:cstheme="minorHAnsi"/>
                <w:color w:val="000000" w:themeColor="text1"/>
                <w:sz w:val="18"/>
                <w:szCs w:val="18"/>
              </w:rPr>
              <w:t>e-usług publicznych”</w:t>
            </w:r>
            <w:r w:rsidR="000C7119">
              <w:rPr>
                <w:rFonts w:cstheme="minorHAnsi"/>
                <w:color w:val="000000" w:themeColor="text1"/>
                <w:sz w:val="18"/>
                <w:szCs w:val="18"/>
              </w:rPr>
              <w:t>. C</w:t>
            </w:r>
            <w:r w:rsidR="000C7119" w:rsidRPr="00D95DD7">
              <w:rPr>
                <w:rFonts w:eastAsiaTheme="majorEastAsia" w:cstheme="minorHAnsi"/>
                <w:sz w:val="18"/>
                <w:szCs w:val="18"/>
              </w:rPr>
              <w:t xml:space="preserve">el szczegółowy - Udostępnienie wykonawcom dojrzałych narzędzi do udziału w postępowaniu; cel szczegółowy - Udostępnienie ustandaryzowanych procedur w zakresie </w:t>
            </w:r>
            <w:r w:rsidR="00522CD4" w:rsidRPr="00D95DD7">
              <w:rPr>
                <w:rFonts w:eastAsiaTheme="majorEastAsia" w:cstheme="minorHAnsi"/>
                <w:sz w:val="18"/>
                <w:szCs w:val="18"/>
              </w:rPr>
              <w:t>przygotowywania dokumentów</w:t>
            </w:r>
            <w:r w:rsidR="000C7119" w:rsidRPr="00D95DD7">
              <w:rPr>
                <w:rFonts w:eastAsiaTheme="majorEastAsia" w:cstheme="minorHAnsi"/>
                <w:sz w:val="18"/>
                <w:szCs w:val="18"/>
              </w:rPr>
              <w:t xml:space="preserve"> zamówienia, a w konsekwencji ujednolicenie stosowania przepisów </w:t>
            </w:r>
            <w:proofErr w:type="spellStart"/>
            <w:r w:rsidR="000C7119" w:rsidRPr="00D95DD7">
              <w:rPr>
                <w:rFonts w:eastAsiaTheme="majorEastAsia" w:cstheme="minorHAnsi"/>
                <w:sz w:val="18"/>
                <w:szCs w:val="18"/>
              </w:rPr>
              <w:t>Pzp</w:t>
            </w:r>
            <w:proofErr w:type="spellEnd"/>
            <w:r w:rsidR="000C7119" w:rsidRPr="00D95DD7">
              <w:rPr>
                <w:rFonts w:eastAsiaTheme="majorEastAsia" w:cstheme="minorHAnsi"/>
                <w:sz w:val="18"/>
                <w:szCs w:val="18"/>
              </w:rPr>
              <w:t xml:space="preserve">; </w:t>
            </w:r>
            <w:bookmarkStart w:id="1" w:name="_Toc478724586"/>
            <w:r w:rsidR="000C7119" w:rsidRPr="00D95DD7">
              <w:rPr>
                <w:rFonts w:eastAsiaTheme="majorEastAsia" w:cstheme="minorHAnsi"/>
                <w:sz w:val="18"/>
                <w:szCs w:val="18"/>
              </w:rPr>
              <w:t xml:space="preserve">Cel szczegółowy – Optymalizacja </w:t>
            </w:r>
            <w:bookmarkEnd w:id="1"/>
            <w:r w:rsidR="000C7119" w:rsidRPr="00D95DD7">
              <w:rPr>
                <w:rFonts w:eastAsiaTheme="majorEastAsia" w:cstheme="minorHAnsi"/>
                <w:sz w:val="18"/>
                <w:szCs w:val="18"/>
              </w:rPr>
              <w:t>usługi składania rocznego sprawozdania przez zamawiających; Cel szczegółowy – Możliwość efektywnego wyszukiwania informacji oraz monitorowania procesu postępowania o udzielenie zamówienia publiczneg</w:t>
            </w:r>
            <w:r w:rsidR="000C7119">
              <w:rPr>
                <w:rFonts w:eastAsiaTheme="majorEastAsia" w:cstheme="minorHAnsi"/>
                <w:sz w:val="18"/>
                <w:szCs w:val="18"/>
              </w:rPr>
              <w:t>o.</w:t>
            </w:r>
          </w:p>
          <w:p w14:paraId="588ACF56" w14:textId="77777777" w:rsidR="00CF5297" w:rsidRDefault="00CF5297" w:rsidP="0050076A">
            <w:pPr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  <w:p w14:paraId="046CAA98" w14:textId="216D3D32" w:rsidR="0050076A" w:rsidRDefault="0050076A" w:rsidP="0050076A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  <w:r w:rsidRPr="00E1586D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W ramach projektu osiągnięto następujące wskaźniki:</w:t>
            </w:r>
          </w:p>
          <w:p w14:paraId="76D15BC3" w14:textId="77777777" w:rsidR="00E1586D" w:rsidRPr="00E1586D" w:rsidRDefault="00E1586D" w:rsidP="0050076A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39"/>
              <w:gridCol w:w="664"/>
              <w:gridCol w:w="859"/>
              <w:gridCol w:w="1410"/>
              <w:gridCol w:w="1459"/>
            </w:tblGrid>
            <w:tr w:rsidR="00BA1DA0" w:rsidRPr="00475668" w14:paraId="3D2218B2" w14:textId="77777777" w:rsidTr="00122E57">
              <w:tc>
                <w:tcPr>
                  <w:tcW w:w="2039" w:type="dxa"/>
                </w:tcPr>
                <w:p w14:paraId="2CDDF63D" w14:textId="77777777" w:rsidR="003F1E43" w:rsidRPr="00475668" w:rsidRDefault="003F1E43" w:rsidP="003F1E43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Nazwa wskaźnika</w:t>
                  </w:r>
                </w:p>
              </w:tc>
              <w:tc>
                <w:tcPr>
                  <w:tcW w:w="674" w:type="dxa"/>
                </w:tcPr>
                <w:p w14:paraId="5A3C4DFC" w14:textId="77777777" w:rsidR="003F1E43" w:rsidRPr="00475668" w:rsidRDefault="003F1E43" w:rsidP="003F1E43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Jedn. miary</w:t>
                  </w:r>
                </w:p>
              </w:tc>
              <w:tc>
                <w:tcPr>
                  <w:tcW w:w="722" w:type="dxa"/>
                </w:tcPr>
                <w:p w14:paraId="5688B5DB" w14:textId="77777777" w:rsidR="003F1E43" w:rsidRPr="00475668" w:rsidRDefault="003F1E43" w:rsidP="003F1E43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Wartość docelowa</w:t>
                  </w:r>
                </w:p>
              </w:tc>
              <w:tc>
                <w:tcPr>
                  <w:tcW w:w="1484" w:type="dxa"/>
                </w:tcPr>
                <w:p w14:paraId="55B56F52" w14:textId="77777777" w:rsidR="003F1E43" w:rsidRPr="00475668" w:rsidRDefault="003F1E43" w:rsidP="003F1E43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12" w:type="dxa"/>
                </w:tcPr>
                <w:p w14:paraId="2C7C71AF" w14:textId="77777777" w:rsidR="003F1E43" w:rsidRPr="00475668" w:rsidRDefault="003F1E43" w:rsidP="00122E57">
                  <w:pPr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Wartość osiągnięta od początku realizacji projektu (narastająco)</w:t>
                  </w:r>
                </w:p>
              </w:tc>
            </w:tr>
            <w:tr w:rsidR="00BA1DA0" w:rsidRPr="0058509C" w14:paraId="13AE64C2" w14:textId="77777777" w:rsidTr="00122E57">
              <w:tc>
                <w:tcPr>
                  <w:tcW w:w="2039" w:type="dxa"/>
                </w:tcPr>
                <w:p w14:paraId="601A4180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1. Liczba usług publicznych udostępnionych on-line o stopniu dojrzałości co najmniej 4 – transakcje</w:t>
                  </w:r>
                </w:p>
              </w:tc>
              <w:tc>
                <w:tcPr>
                  <w:tcW w:w="674" w:type="dxa"/>
                </w:tcPr>
                <w:p w14:paraId="6A4FA75C" w14:textId="77777777" w:rsidR="003F1E43" w:rsidRDefault="003F1E43" w:rsidP="003F1E43">
                  <w:pP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  <w:t xml:space="preserve">szt. </w:t>
                  </w:r>
                </w:p>
                <w:p w14:paraId="0CD468CA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22" w:type="dxa"/>
                </w:tcPr>
                <w:p w14:paraId="4BC4C43B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84" w:type="dxa"/>
                </w:tcPr>
                <w:p w14:paraId="56A8E3C6" w14:textId="7E3BF5BE" w:rsidR="003F1E43" w:rsidRPr="00122E57" w:rsidRDefault="003F1E43" w:rsidP="003F1E43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22E57">
                    <w:rPr>
                      <w:rFonts w:cstheme="minorHAnsi"/>
                      <w:sz w:val="16"/>
                      <w:szCs w:val="16"/>
                    </w:rPr>
                    <w:t>1 usługa</w:t>
                  </w:r>
                  <w:r w:rsidR="00E915FB" w:rsidRPr="00122E57">
                    <w:rPr>
                      <w:rFonts w:cstheme="minorHAnsi"/>
                      <w:sz w:val="16"/>
                      <w:szCs w:val="16"/>
                    </w:rPr>
                    <w:t>–</w:t>
                  </w:r>
                  <w:r w:rsidRPr="00122E57">
                    <w:rPr>
                      <w:rFonts w:cstheme="minorHAnsi"/>
                      <w:sz w:val="16"/>
                      <w:szCs w:val="16"/>
                    </w:rPr>
                    <w:t>12.2020</w:t>
                  </w:r>
                </w:p>
                <w:p w14:paraId="283702B1" w14:textId="33765CC9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122E57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E915FB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Pr="00122E57">
                    <w:rPr>
                      <w:rFonts w:cstheme="minorHAnsi"/>
                      <w:sz w:val="16"/>
                      <w:szCs w:val="16"/>
                    </w:rPr>
                    <w:t>usługa</w:t>
                  </w:r>
                  <w:r w:rsidR="00E915FB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Pr="00122E57">
                    <w:rPr>
                      <w:rFonts w:cstheme="minorHAnsi"/>
                      <w:sz w:val="16"/>
                      <w:szCs w:val="16"/>
                    </w:rPr>
                    <w:t>– 05.2022</w:t>
                  </w:r>
                </w:p>
              </w:tc>
              <w:tc>
                <w:tcPr>
                  <w:tcW w:w="1512" w:type="dxa"/>
                </w:tcPr>
                <w:p w14:paraId="795421E9" w14:textId="7489D25D" w:rsidR="003F1E43" w:rsidRDefault="00F92F24" w:rsidP="003F1E43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2</w:t>
                  </w:r>
                </w:p>
                <w:p w14:paraId="2BA5D378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BA1DA0" w:rsidRPr="0058509C" w14:paraId="66D7D36C" w14:textId="77777777" w:rsidTr="00122E57">
              <w:tc>
                <w:tcPr>
                  <w:tcW w:w="2039" w:type="dxa"/>
                </w:tcPr>
                <w:p w14:paraId="245C28DD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 xml:space="preserve">2.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Liczba udostępnionych usług wewnątrzadministracyjnych (A2A)</w:t>
                  </w:r>
                </w:p>
              </w:tc>
              <w:tc>
                <w:tcPr>
                  <w:tcW w:w="674" w:type="dxa"/>
                </w:tcPr>
                <w:p w14:paraId="7E987D93" w14:textId="77777777" w:rsidR="003F1E43" w:rsidRDefault="003F1E43" w:rsidP="003F1E43">
                  <w:pP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  <w:t xml:space="preserve">szt. </w:t>
                  </w:r>
                </w:p>
                <w:p w14:paraId="3B1661B2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22" w:type="dxa"/>
                </w:tcPr>
                <w:p w14:paraId="64AEB5B7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84" w:type="dxa"/>
                </w:tcPr>
                <w:p w14:paraId="1D7E1555" w14:textId="77777777" w:rsidR="003F1E43" w:rsidRDefault="003F1E43" w:rsidP="003F1E43">
                  <w:pPr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1 usługa - 12.2021</w:t>
                  </w:r>
                </w:p>
                <w:p w14:paraId="09052E48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1 usługa – 05.2022</w:t>
                  </w:r>
                </w:p>
              </w:tc>
              <w:tc>
                <w:tcPr>
                  <w:tcW w:w="1512" w:type="dxa"/>
                </w:tcPr>
                <w:p w14:paraId="28B0061F" w14:textId="4F86393D" w:rsidR="003F1E43" w:rsidRDefault="00F92F24" w:rsidP="003F1E43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</w:t>
                  </w:r>
                </w:p>
                <w:p w14:paraId="03E798A6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BA1DA0" w:rsidRPr="0058509C" w14:paraId="2E6171FE" w14:textId="77777777" w:rsidTr="00122E57">
              <w:tc>
                <w:tcPr>
                  <w:tcW w:w="2039" w:type="dxa"/>
                </w:tcPr>
                <w:p w14:paraId="00D6BC24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 xml:space="preserve">3.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Liczba uruchomionych systemów teleinformatycznych w podmiotach wykonujących zadania publiczne</w:t>
                  </w:r>
                </w:p>
              </w:tc>
              <w:tc>
                <w:tcPr>
                  <w:tcW w:w="674" w:type="dxa"/>
                </w:tcPr>
                <w:p w14:paraId="48FC65C1" w14:textId="77777777" w:rsidR="003F1E43" w:rsidRDefault="003F1E43" w:rsidP="003F1E43">
                  <w:pP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  <w:t xml:space="preserve">szt. </w:t>
                  </w:r>
                </w:p>
                <w:p w14:paraId="15D86B31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22" w:type="dxa"/>
                </w:tcPr>
                <w:p w14:paraId="2A950015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84" w:type="dxa"/>
                </w:tcPr>
                <w:p w14:paraId="3130F1D5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07.2022</w:t>
                  </w:r>
                </w:p>
              </w:tc>
              <w:tc>
                <w:tcPr>
                  <w:tcW w:w="1512" w:type="dxa"/>
                </w:tcPr>
                <w:p w14:paraId="3DBA47CE" w14:textId="3E7BFE72" w:rsidR="003F1E43" w:rsidRPr="0058509C" w:rsidRDefault="00F92F24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1</w:t>
                  </w:r>
                </w:p>
              </w:tc>
            </w:tr>
            <w:tr w:rsidR="00BA1DA0" w:rsidRPr="0058509C" w14:paraId="1F3FCB1E" w14:textId="77777777" w:rsidTr="00122E57">
              <w:tc>
                <w:tcPr>
                  <w:tcW w:w="2039" w:type="dxa"/>
                </w:tcPr>
                <w:p w14:paraId="6B5EF40A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4.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Liczba pracowników podmiotów wykonujących zadania publiczne niebędących pracownikami IT, objętych wsparciem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lastRenderedPageBreak/>
                    <w:t>szkoleniowym, wartość docelowa</w:t>
                  </w:r>
                </w:p>
              </w:tc>
              <w:tc>
                <w:tcPr>
                  <w:tcW w:w="674" w:type="dxa"/>
                </w:tcPr>
                <w:p w14:paraId="34C50A83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lastRenderedPageBreak/>
                    <w:t>osoby</w:t>
                  </w:r>
                </w:p>
              </w:tc>
              <w:tc>
                <w:tcPr>
                  <w:tcW w:w="722" w:type="dxa"/>
                </w:tcPr>
                <w:p w14:paraId="06310634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1484" w:type="dxa"/>
                </w:tcPr>
                <w:p w14:paraId="21C7BEBA" w14:textId="77777777" w:rsidR="003F1E43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08.2022</w:t>
                  </w:r>
                </w:p>
                <w:p w14:paraId="06ECA424" w14:textId="77777777" w:rsidR="003F1E43" w:rsidRPr="00F33607" w:rsidRDefault="003F1E43" w:rsidP="003F1E4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2" w:type="dxa"/>
                </w:tcPr>
                <w:p w14:paraId="3F619FE4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938</w:t>
                  </w:r>
                </w:p>
              </w:tc>
            </w:tr>
            <w:tr w:rsidR="00BA1DA0" w:rsidRPr="0058509C" w14:paraId="2C2C0EFF" w14:textId="77777777" w:rsidTr="00122E57">
              <w:tc>
                <w:tcPr>
                  <w:tcW w:w="2039" w:type="dxa"/>
                </w:tcPr>
                <w:p w14:paraId="6D5FF6D7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5.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Liczba pracowników podmiotów wykonujących zadania publiczne niebędących pracownikami IT, objętych wsparciem szkoleniowym – kobiety</w:t>
                  </w:r>
                </w:p>
              </w:tc>
              <w:tc>
                <w:tcPr>
                  <w:tcW w:w="674" w:type="dxa"/>
                </w:tcPr>
                <w:p w14:paraId="158D981C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osoby</w:t>
                  </w:r>
                </w:p>
              </w:tc>
              <w:tc>
                <w:tcPr>
                  <w:tcW w:w="722" w:type="dxa"/>
                </w:tcPr>
                <w:p w14:paraId="74112357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400</w:t>
                  </w:r>
                </w:p>
              </w:tc>
              <w:tc>
                <w:tcPr>
                  <w:tcW w:w="1484" w:type="dxa"/>
                </w:tcPr>
                <w:p w14:paraId="5085B126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08.2022</w:t>
                  </w:r>
                </w:p>
              </w:tc>
              <w:tc>
                <w:tcPr>
                  <w:tcW w:w="1512" w:type="dxa"/>
                </w:tcPr>
                <w:p w14:paraId="33E9D20D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676</w:t>
                  </w:r>
                </w:p>
              </w:tc>
            </w:tr>
            <w:tr w:rsidR="00BA1DA0" w:rsidRPr="0058509C" w14:paraId="38166CB5" w14:textId="77777777" w:rsidTr="00122E57">
              <w:trPr>
                <w:trHeight w:val="836"/>
              </w:trPr>
              <w:tc>
                <w:tcPr>
                  <w:tcW w:w="2039" w:type="dxa"/>
                </w:tcPr>
                <w:p w14:paraId="3148110C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6.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Liczba pracowników podmiotów wykonujących zadania publiczne niebędących pracownikami IT, objętych wsparciem szkoleniowym – mężczyźni</w:t>
                  </w:r>
                </w:p>
              </w:tc>
              <w:tc>
                <w:tcPr>
                  <w:tcW w:w="674" w:type="dxa"/>
                </w:tcPr>
                <w:p w14:paraId="34C2CCFB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osoby</w:t>
                  </w:r>
                </w:p>
              </w:tc>
              <w:tc>
                <w:tcPr>
                  <w:tcW w:w="722" w:type="dxa"/>
                </w:tcPr>
                <w:p w14:paraId="303E87EF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484" w:type="dxa"/>
                </w:tcPr>
                <w:p w14:paraId="69F1B1FD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08.2022</w:t>
                  </w:r>
                </w:p>
              </w:tc>
              <w:tc>
                <w:tcPr>
                  <w:tcW w:w="1512" w:type="dxa"/>
                </w:tcPr>
                <w:p w14:paraId="213D00A2" w14:textId="77777777" w:rsidR="003F1E43" w:rsidRDefault="003F1E43" w:rsidP="00BF06C0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262</w:t>
                  </w:r>
                </w:p>
                <w:p w14:paraId="784632C3" w14:textId="03198EAE" w:rsidR="00126565" w:rsidRPr="0058509C" w:rsidRDefault="00372681" w:rsidP="00BF06C0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Niższa wartość </w:t>
                  </w:r>
                  <w:r w:rsidR="00856DF4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wskaźnika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od </w:t>
                  </w:r>
                  <w:r w:rsidR="00BF06C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wartości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docelowej wynika </w:t>
                  </w:r>
                  <w:r w:rsidR="00A7283A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z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F739C9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tego, że </w:t>
                  </w:r>
                  <w:r w:rsidR="00BF06C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wśród pracowników </w:t>
                  </w:r>
                  <w:r w:rsidR="001A01D9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podmiotów 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wykonujących</w:t>
                  </w:r>
                  <w:r w:rsidR="001A01D9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zadania publiczne</w:t>
                  </w:r>
                  <w:r w:rsidR="00063B4E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,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w zakresie zamówień publicznych</w:t>
                  </w:r>
                  <w:r w:rsidR="00063B4E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,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B47C16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większość stanowią 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kobiety. </w:t>
                  </w:r>
                  <w:r w:rsidR="004020A9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277E021B" w14:textId="1B9B26B6" w:rsidR="00920CE8" w:rsidRPr="00A82FEF" w:rsidRDefault="00632AA0" w:rsidP="00BC120E">
            <w:pPr>
              <w:jc w:val="both"/>
              <w:rPr>
                <w:i/>
                <w:sz w:val="18"/>
                <w:szCs w:val="20"/>
                <w:highlight w:val="yellow"/>
              </w:rPr>
            </w:pPr>
            <w:r w:rsidRPr="00A82FEF">
              <w:rPr>
                <w:i/>
                <w:sz w:val="18"/>
                <w:szCs w:val="20"/>
                <w:highlight w:val="yellow"/>
              </w:rPr>
              <w:t xml:space="preserve"> </w:t>
            </w:r>
          </w:p>
        </w:tc>
      </w:tr>
      <w:tr w:rsidR="007A0A3D" w:rsidRPr="002450C4" w14:paraId="41FC9FDC" w14:textId="77777777" w:rsidTr="003F1E43">
        <w:tc>
          <w:tcPr>
            <w:tcW w:w="480" w:type="dxa"/>
          </w:tcPr>
          <w:p w14:paraId="78408587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5E4F8234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657" w:type="dxa"/>
          </w:tcPr>
          <w:p w14:paraId="0C97C15D" w14:textId="77777777" w:rsidR="00EC5E75" w:rsidRPr="00953580" w:rsidRDefault="00EC5E75" w:rsidP="00953580">
            <w:pPr>
              <w:jc w:val="both"/>
              <w:rPr>
                <w:rFonts w:cstheme="minorHAnsi"/>
                <w:sz w:val="18"/>
                <w:szCs w:val="18"/>
              </w:rPr>
            </w:pPr>
            <w:r w:rsidRPr="00953580">
              <w:rPr>
                <w:rFonts w:cstheme="minorHAnsi"/>
                <w:sz w:val="18"/>
                <w:szCs w:val="18"/>
              </w:rPr>
              <w:t>W przebiegu realizacji Projektu zostały zdefiniowane następujące zagrożenia i ryzyka, które były na bieżąco monitorowane i poprzez podejmowane działania minimalizowane do akceptowanego poziomu.</w:t>
            </w:r>
          </w:p>
          <w:p w14:paraId="54E70D02" w14:textId="697F0CE4" w:rsidR="00EC5E75" w:rsidRPr="00953580" w:rsidRDefault="00EC5E75" w:rsidP="00EC5E75">
            <w:pPr>
              <w:rPr>
                <w:rFonts w:cstheme="minorHAnsi"/>
                <w:sz w:val="18"/>
                <w:szCs w:val="18"/>
                <w:u w:val="single"/>
              </w:rPr>
            </w:pPr>
            <w:r w:rsidRPr="00953580">
              <w:rPr>
                <w:rFonts w:cstheme="minorHAnsi"/>
                <w:sz w:val="18"/>
                <w:szCs w:val="18"/>
                <w:u w:val="single"/>
              </w:rPr>
              <w:t>Ryzyka zamknięte:</w:t>
            </w:r>
          </w:p>
          <w:p w14:paraId="3EEAF3CC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Przedłużające się postępowanie o udzielenie zamówienia.</w:t>
            </w:r>
          </w:p>
          <w:p w14:paraId="5697AC6E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Ryzyko Organizacyjne. Projekt jest dużym przedsięwzięciem organizacyjnym. Zaangażowanych w jego organizację jest wiele osób, z wielu zespołów.</w:t>
            </w:r>
          </w:p>
          <w:p w14:paraId="13BED134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Fluktuacja zasobów po stronie Beneficjenta i Partnera.</w:t>
            </w:r>
          </w:p>
          <w:p w14:paraId="1A6C782F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Otrzymanie Produktów nieodpowiadających wymaganiom biznesowym określonych w dokumentach projektu i opisie przedmiotu zamówienia w postępowaniu o zamówienie publiczne lub niższy poziom dostarczanych produktów Projektu.</w:t>
            </w:r>
          </w:p>
          <w:p w14:paraId="4E4B50B4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Brak produkcyjnego uruchomienia systemu w terminie wyznaczonego kamienia milowego.</w:t>
            </w:r>
          </w:p>
          <w:p w14:paraId="3A63FAFC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Kwoty złożonych ofert w postępowaniu na budowę i wdrożenie Platformy oraz na Inżyniera Kontraktu (cz. 1 i cz.2) mogą przewyższać kwoty przeznaczone na realizację tych zadań.</w:t>
            </w:r>
          </w:p>
          <w:p w14:paraId="28A0571C" w14:textId="63CA73F4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Przedłużające się czynności dot. wyboru najkorzystniejszej oferty i zawarcia umowy z wybranym wykonawcą w ramach najkorzystniejszej oferty </w:t>
            </w:r>
            <w:r w:rsidR="00522CD4" w:rsidRPr="0053594A">
              <w:rPr>
                <w:rFonts w:cstheme="minorHAnsi"/>
                <w:color w:val="000000" w:themeColor="text1"/>
                <w:sz w:val="18"/>
                <w:szCs w:val="18"/>
              </w:rPr>
              <w:t>w postępowaniu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 o udzielenie zamówienia publicznego.</w:t>
            </w:r>
          </w:p>
          <w:p w14:paraId="2A3AA48A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Brak realizacji zapisów Porozumienia o Partnerstwie przez Partnera Projektu.</w:t>
            </w:r>
          </w:p>
          <w:p w14:paraId="26C71408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Możliwość wystąpienia opóźnień w bieżącej pracy projektowej ze względu na brak kontaktu bezpośredniego i realizacji wszystkich prac w trybie pracy zdalnej z ograniczonym dostępem lub niepełnym dostępem osobowym, bezpośrednio zasygnalizowane przez Wykonawcę Platformy ze względu ogłoszony stan epidemiczny związany z COVID-19.</w:t>
            </w:r>
          </w:p>
          <w:p w14:paraId="3E583ED6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Możliwość wystąpienia opóźnień w realizacji zadań Etapu II i III.1 ze względu na niezgodną z oczekiwaniami wydajność zespołu realizacyjnego Wykonawcy - ograniczoną pracą zdalną, która jest wymuszona przez ogłoszony stan epidemiczny związany 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br/>
              <w:t>z COVID-19.</w:t>
            </w:r>
          </w:p>
          <w:p w14:paraId="5A6F7FF7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Potencjalne wydłużenie okresu procedury odbiorowej i tym samym terminu odbioru Etapu II.</w:t>
            </w:r>
          </w:p>
          <w:p w14:paraId="028D19F9" w14:textId="75FF056D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Możliwość wystąpienia opóźnienia w realizacji zadań Etapu III. </w:t>
            </w:r>
            <w:r w:rsidR="00522CD4" w:rsidRPr="0053594A">
              <w:rPr>
                <w:rFonts w:cstheme="minorHAnsi"/>
                <w:color w:val="000000" w:themeColor="text1"/>
                <w:sz w:val="18"/>
                <w:szCs w:val="18"/>
              </w:rPr>
              <w:t>2 w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 tym przekazania produktów do odbioru w terminie zgodnym z harmonogramem projektu.</w:t>
            </w:r>
          </w:p>
          <w:p w14:paraId="7A2A26DE" w14:textId="769C955F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Możliwość wystąpienia opóźnienia w realizacji zadań Etapu III. </w:t>
            </w:r>
            <w:r w:rsidR="00522CD4" w:rsidRPr="0053594A">
              <w:rPr>
                <w:rFonts w:cstheme="minorHAnsi"/>
                <w:color w:val="000000" w:themeColor="text1"/>
                <w:sz w:val="18"/>
                <w:szCs w:val="18"/>
              </w:rPr>
              <w:t>2 w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 tym przekazania produktów do odbioru w terminie zgodnym z harmonogramem projektu wynikająca z wstrzymania prac projektowych przez podwykonawcę 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odpowiedzialnego za dostarczenie Modułu Postepowań, Modułu Ogłoszeń i Modułu Ofert i Wniosków</w:t>
            </w:r>
          </w:p>
          <w:p w14:paraId="3E220272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sz w:val="18"/>
                <w:szCs w:val="18"/>
              </w:rPr>
            </w:pPr>
            <w:r w:rsidRPr="0053594A">
              <w:rPr>
                <w:rFonts w:cstheme="minorHAnsi"/>
                <w:sz w:val="18"/>
                <w:szCs w:val="18"/>
              </w:rPr>
              <w:t>Opóźnienia w realizacji etapu III.2 potencjalnie wpływa na terminy realizacji kolejnych etapów zgodnie z umową w tym na niedotrzymanie terminów dla pozostałych kamieni milowych zgodnie z Porozumieniem o dofinasowanie projektu.</w:t>
            </w:r>
          </w:p>
          <w:p w14:paraId="465F0E26" w14:textId="4B2A4D3F" w:rsidR="00EC5E75" w:rsidRPr="008F046B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sz w:val="18"/>
                <w:szCs w:val="18"/>
              </w:rPr>
            </w:pPr>
            <w:r w:rsidRPr="008F046B">
              <w:rPr>
                <w:rFonts w:cstheme="minorHAnsi"/>
                <w:sz w:val="18"/>
                <w:szCs w:val="18"/>
              </w:rPr>
              <w:t>Ryzyko przekazania przez wykonawcę w dniu 10.06.2022 r. nieskończonych produktów etapu IV.2.2 do procedury odbiorowej- niespełnienie tym samym kryteriów gotowego, skończonego oprogramowania do procedury odbiorowej.</w:t>
            </w:r>
          </w:p>
          <w:p w14:paraId="1433A952" w14:textId="06C14911" w:rsidR="00EC5E75" w:rsidRPr="008F046B" w:rsidRDefault="00EC5E75" w:rsidP="008F046B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F046B">
              <w:rPr>
                <w:rFonts w:cstheme="minorHAnsi"/>
                <w:color w:val="000000" w:themeColor="text1"/>
                <w:sz w:val="18"/>
                <w:szCs w:val="18"/>
              </w:rPr>
              <w:t>Ryzyko awarii spowodowane błędami dostawców (np. błędy aplikacyjne i bazodanowe), niewykrytymi w trakcie testowania (luki bezpieczeństwa, ukryte błędy, niska wydajność aplikacji), co może wpłynąć na dostępność i bezpieczeństwo danych przechowywanych przez system.</w:t>
            </w:r>
          </w:p>
          <w:p w14:paraId="1CF361F8" w14:textId="77777777" w:rsidR="00EC5E75" w:rsidRPr="0053594A" w:rsidRDefault="00EC5E75" w:rsidP="00EC5E75">
            <w:p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40021CE5" w14:textId="1D855BFE" w:rsidR="00EC5E75" w:rsidRPr="00CB0453" w:rsidRDefault="00EC5E75" w:rsidP="00EC5E75">
            <w:p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Ryzyka wpływające na utrzymanie efektów projektu:</w:t>
            </w:r>
          </w:p>
          <w:p w14:paraId="2C1B40B4" w14:textId="77777777" w:rsidR="00EC5E75" w:rsidRPr="0053594A" w:rsidRDefault="00EC5E75" w:rsidP="00EC5E75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t>Wprowadzenie dużych zmian legislacyjnych w obszarze zamówień publicznych.</w:t>
            </w:r>
          </w:p>
          <w:p w14:paraId="2C8E061E" w14:textId="77777777" w:rsidR="00EC5E75" w:rsidRPr="0053594A" w:rsidRDefault="00EC5E75" w:rsidP="00EC5E75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Utrata zaufania do systemu w wyniku cyberataków, awarii systemu. </w:t>
            </w:r>
          </w:p>
          <w:p w14:paraId="5F8D86BC" w14:textId="77777777" w:rsidR="00EC5E75" w:rsidRPr="0053594A" w:rsidRDefault="00EC5E75" w:rsidP="00EC5E75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Ryzyko braku zabezpieczenia środków finansowych na utrzymanie sytemu po jego zdrożeniu.</w:t>
            </w:r>
          </w:p>
          <w:p w14:paraId="2B42EFF7" w14:textId="73653463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49BD8422" w14:textId="77777777" w:rsidTr="003F1E43">
        <w:tc>
          <w:tcPr>
            <w:tcW w:w="480" w:type="dxa"/>
          </w:tcPr>
          <w:p w14:paraId="138D9F8E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3B2EBBE4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657" w:type="dxa"/>
          </w:tcPr>
          <w:p w14:paraId="2BD55430" w14:textId="7A9A986E" w:rsidR="00981367" w:rsidRDefault="00981367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 xml:space="preserve">Korzyści z efektów projektu osiągają następujące grupy </w:t>
            </w:r>
            <w:r w:rsidR="00CD008B"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interesariuszy:</w:t>
            </w:r>
          </w:p>
          <w:p w14:paraId="17D6ABB3" w14:textId="77777777" w:rsidR="001D0F20" w:rsidRPr="00CB0453" w:rsidRDefault="001D0F20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</w:p>
          <w:p w14:paraId="46E86A49" w14:textId="38E09A4E" w:rsidR="00D90FA4" w:rsidRDefault="00BE74D8" w:rsidP="00D90FA4">
            <w:pPr>
              <w:pStyle w:val="Akapitzlist"/>
              <w:ind w:left="36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1. </w:t>
            </w:r>
            <w:r w:rsidR="00CD008B" w:rsidRPr="00BE74D8">
              <w:rPr>
                <w:rFonts w:cstheme="minorHAnsi"/>
                <w:color w:val="000000" w:themeColor="text1"/>
                <w:sz w:val="18"/>
                <w:szCs w:val="18"/>
              </w:rPr>
              <w:t xml:space="preserve">Jednostki sektora </w:t>
            </w:r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>finansów publicznych prowadząc</w:t>
            </w:r>
            <w:r w:rsidR="00D90FA4">
              <w:rPr>
                <w:rFonts w:cstheme="minorHAnsi"/>
                <w:color w:val="000000" w:themeColor="text1"/>
                <w:sz w:val="18"/>
                <w:szCs w:val="18"/>
              </w:rPr>
              <w:t>e</w:t>
            </w:r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 xml:space="preserve"> postępowania zgodnie </w:t>
            </w:r>
            <w:r w:rsidR="00D90FA4">
              <w:rPr>
                <w:rFonts w:cstheme="minorHAnsi"/>
                <w:color w:val="000000" w:themeColor="text1"/>
                <w:sz w:val="18"/>
                <w:szCs w:val="18"/>
              </w:rPr>
              <w:br/>
            </w:r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>z ustaw</w:t>
            </w:r>
            <w:r w:rsidR="00D90FA4">
              <w:rPr>
                <w:rFonts w:cstheme="minorHAnsi"/>
                <w:color w:val="000000" w:themeColor="text1"/>
                <w:sz w:val="18"/>
                <w:szCs w:val="18"/>
              </w:rPr>
              <w:t>ą</w:t>
            </w:r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>Pzp</w:t>
            </w:r>
            <w:proofErr w:type="spellEnd"/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 xml:space="preserve"> (zamawiający)</w:t>
            </w:r>
            <w:r w:rsidRPr="00BE74D8">
              <w:rPr>
                <w:rFonts w:cstheme="minorHAnsi"/>
                <w:color w:val="000000" w:themeColor="text1"/>
                <w:sz w:val="18"/>
                <w:szCs w:val="18"/>
              </w:rPr>
              <w:t>;</w:t>
            </w:r>
          </w:p>
          <w:p w14:paraId="5D435988" w14:textId="300E43EA" w:rsidR="00D90FA4" w:rsidRDefault="00AE1B6A" w:rsidP="00D90FA4">
            <w:pPr>
              <w:pStyle w:val="Akapitzlist"/>
              <w:ind w:left="36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2. </w:t>
            </w:r>
            <w:r w:rsidR="00501DD5">
              <w:rPr>
                <w:rFonts w:cstheme="minorHAnsi"/>
                <w:color w:val="000000" w:themeColor="text1"/>
                <w:sz w:val="18"/>
                <w:szCs w:val="18"/>
              </w:rPr>
              <w:t>Przedsiębiorcy (wykonawcy)</w:t>
            </w:r>
            <w:r w:rsidR="00EC1956">
              <w:rPr>
                <w:rFonts w:cstheme="minorHAnsi"/>
                <w:color w:val="000000" w:themeColor="text1"/>
                <w:sz w:val="18"/>
                <w:szCs w:val="18"/>
              </w:rPr>
              <w:t>;</w:t>
            </w:r>
          </w:p>
          <w:p w14:paraId="124D45D8" w14:textId="5876B1DD" w:rsidR="001A4EF9" w:rsidRPr="00AE1B6A" w:rsidRDefault="001A4EF9" w:rsidP="00D90FA4">
            <w:pPr>
              <w:pStyle w:val="Akapitzlist"/>
              <w:ind w:left="36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3. Pozostali interesariusze </w:t>
            </w:r>
            <w:r w:rsidR="0095709C">
              <w:rPr>
                <w:rFonts w:cstheme="minorHAnsi"/>
                <w:color w:val="000000" w:themeColor="text1"/>
                <w:sz w:val="18"/>
                <w:szCs w:val="18"/>
              </w:rPr>
              <w:t>niebiorący bezpośrednio udziału w procesie</w:t>
            </w:r>
            <w:r w:rsidR="0048100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522CD4">
              <w:rPr>
                <w:rFonts w:cstheme="minorHAnsi"/>
                <w:color w:val="000000" w:themeColor="text1"/>
                <w:sz w:val="18"/>
                <w:szCs w:val="18"/>
              </w:rPr>
              <w:t>udzielania zamówień</w:t>
            </w:r>
            <w:r w:rsidR="0095709C">
              <w:rPr>
                <w:rFonts w:cstheme="minorHAnsi"/>
                <w:color w:val="000000" w:themeColor="text1"/>
                <w:sz w:val="18"/>
                <w:szCs w:val="18"/>
              </w:rPr>
              <w:t xml:space="preserve"> publicznych.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7BFB1CB6" w14:textId="77777777" w:rsidR="00981367" w:rsidRDefault="00981367" w:rsidP="004D0864">
            <w:pPr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  <w:p w14:paraId="11464FDA" w14:textId="2185AFB2" w:rsidR="004D0864" w:rsidRDefault="004D0864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W projekcie zdefiniowano następujące korzyści</w:t>
            </w:r>
            <w:r w:rsidR="00A27390"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:</w:t>
            </w:r>
            <w:r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 xml:space="preserve"> </w:t>
            </w:r>
          </w:p>
          <w:p w14:paraId="20B205F3" w14:textId="77777777" w:rsidR="001D0F20" w:rsidRPr="00CB0453" w:rsidRDefault="001D0F20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</w:p>
          <w:p w14:paraId="2322025F" w14:textId="501122B9" w:rsidR="004D0864" w:rsidRPr="0053594A" w:rsidRDefault="004D0864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Zaimplementowane na Platformie e-Zamówienia funkcjonalności przyniosły wiele korzyści dla zamawiających, jak i wykonawców w procesie udzielania zamówień publicznych zgodnie z ustawą </w:t>
            </w:r>
            <w:proofErr w:type="spellStart"/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Pzp</w:t>
            </w:r>
            <w:proofErr w:type="spellEnd"/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 oraz dla innych zainteresowanych niebiorących bezpośredniego udziału w procesie zamówień publicznych:</w:t>
            </w:r>
          </w:p>
          <w:p w14:paraId="6AC1AD82" w14:textId="77777777" w:rsidR="004D0864" w:rsidRPr="007A73EE" w:rsidRDefault="004D0864" w:rsidP="004D0864">
            <w:pPr>
              <w:pStyle w:val="Akapitzlist"/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zwiększenie zaawansowania elektronizacji procesu udzielania zamówień publicznych,</w:t>
            </w:r>
          </w:p>
          <w:p w14:paraId="232A3A81" w14:textId="67F092B5" w:rsidR="004D0864" w:rsidRPr="007A73EE" w:rsidRDefault="004D0864" w:rsidP="004D0864">
            <w:pPr>
              <w:pStyle w:val="Akapitzlist"/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t>zapewnienie szybkiej i bezpiecznej komunikacji pomiędzy uczestnikami postępowania</w:t>
            </w:r>
            <w:r w:rsidR="0064145C">
              <w:rPr>
                <w:rFonts w:cstheme="minorHAnsi"/>
                <w:sz w:val="18"/>
                <w:szCs w:val="18"/>
              </w:rPr>
              <w:t xml:space="preserve"> o udzielenie zamówienia publicznego</w:t>
            </w:r>
            <w:r w:rsidRPr="007A73EE">
              <w:rPr>
                <w:rFonts w:cstheme="minorHAnsi"/>
                <w:sz w:val="18"/>
                <w:szCs w:val="18"/>
              </w:rPr>
              <w:t>,</w:t>
            </w:r>
          </w:p>
          <w:p w14:paraId="26133E62" w14:textId="11071CF7" w:rsidR="004D0864" w:rsidRPr="007A73EE" w:rsidRDefault="004D0864" w:rsidP="004D0864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ograniczenie czasu potrzebnego na przygotowanie ogłoszeń</w:t>
            </w:r>
            <w:r w:rsidR="0064145C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krajowych i unijnych</w:t>
            </w: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, dokumentów zamówienia oraz ich aktualizacje,</w:t>
            </w:r>
          </w:p>
          <w:p w14:paraId="4B4CEF12" w14:textId="7C1B642C" w:rsidR="004D0864" w:rsidRPr="007A73EE" w:rsidRDefault="00E27A64" w:rsidP="004D0864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minimalizacja popełniania</w:t>
            </w:r>
            <w:r w:rsidR="004D0864"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błędów o charakterze formalnym w publikowanych dokumentach,</w:t>
            </w:r>
          </w:p>
          <w:p w14:paraId="617C6B97" w14:textId="77777777" w:rsidR="004D0864" w:rsidRPr="007A73EE" w:rsidRDefault="004D0864" w:rsidP="004D0864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zapewnienie kompletności wymaganych danych,</w:t>
            </w:r>
          </w:p>
          <w:p w14:paraId="7D3868D4" w14:textId="77777777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zgodność zaimplementowanych funkcjonalności z aktualnym stanem prawnym,</w:t>
            </w:r>
          </w:p>
          <w:p w14:paraId="781A7935" w14:textId="77777777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natychmiastowy dostęp do kompletnych danych dotyczących rynku zamówień publicznych,</w:t>
            </w:r>
          </w:p>
          <w:p w14:paraId="2AA8F18C" w14:textId="67D0F7DE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ponowne/wielokrotne wykorzystanie raz wprowadzonych danych przez użytkowników</w:t>
            </w:r>
            <w:r w:rsidR="003949EC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(re-użycie wprowadzonych danych)</w:t>
            </w: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,</w:t>
            </w:r>
          </w:p>
          <w:p w14:paraId="2E47551D" w14:textId="77777777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skrócenie czasu przygotowania pojedynczego ogłoszenia do Biuletynu Zamówień Publicznych i Suplementu do Dziennika Urzędowego Unii Europejskiej, w którym zamawiający z Państw Członkowskich Unii Europejskiej zobowiązani są do publikowania określonych ogłoszeń o zamówieniach publicznych TED (ang. </w:t>
            </w:r>
            <w:proofErr w:type="spellStart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Tenders</w:t>
            </w:r>
            <w:proofErr w:type="spellEnd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Electronic</w:t>
            </w:r>
            <w:proofErr w:type="spellEnd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Daily</w:t>
            </w:r>
            <w:proofErr w:type="spellEnd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) - automatyczna publikacja w TED na podstawie wprowadzonych danych,</w:t>
            </w:r>
          </w:p>
          <w:p w14:paraId="0198F76E" w14:textId="291C0F65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t>ograniczenie barier geograficznych w dostępie do zamówień</w:t>
            </w:r>
            <w:r w:rsidR="0047621B">
              <w:rPr>
                <w:rFonts w:cstheme="minorHAnsi"/>
                <w:sz w:val="18"/>
                <w:szCs w:val="18"/>
              </w:rPr>
              <w:t xml:space="preserve"> publicznych</w:t>
            </w:r>
            <w:r w:rsidRPr="007A73EE">
              <w:rPr>
                <w:rFonts w:cstheme="minorHAnsi"/>
                <w:sz w:val="18"/>
                <w:szCs w:val="18"/>
              </w:rPr>
              <w:t>,</w:t>
            </w:r>
          </w:p>
          <w:p w14:paraId="6458EBC9" w14:textId="1CACA29F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t>zmniejszenie obciążeń związanych z przygotowaniem oferty</w:t>
            </w:r>
            <w:r w:rsidR="0047621B">
              <w:rPr>
                <w:rFonts w:cstheme="minorHAnsi"/>
                <w:sz w:val="18"/>
                <w:szCs w:val="18"/>
              </w:rPr>
              <w:t xml:space="preserve"> przez wykonawców</w:t>
            </w:r>
            <w:r w:rsidRPr="007A73EE">
              <w:rPr>
                <w:rFonts w:cstheme="minorHAnsi"/>
                <w:sz w:val="18"/>
                <w:szCs w:val="18"/>
              </w:rPr>
              <w:t>,</w:t>
            </w:r>
          </w:p>
          <w:p w14:paraId="1F3CCC4F" w14:textId="2501998F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skrócenie </w:t>
            </w:r>
            <w:r w:rsidR="00582A5A">
              <w:rPr>
                <w:rFonts w:cstheme="minorHAnsi"/>
                <w:sz w:val="18"/>
                <w:szCs w:val="18"/>
              </w:rPr>
              <w:t>procesu</w:t>
            </w:r>
            <w:r w:rsidRPr="007A73EE">
              <w:rPr>
                <w:rFonts w:cstheme="minorHAnsi"/>
                <w:sz w:val="18"/>
                <w:szCs w:val="18"/>
              </w:rPr>
              <w:t xml:space="preserve"> </w:t>
            </w:r>
            <w:r w:rsidR="00EF79E8">
              <w:rPr>
                <w:rFonts w:cstheme="minorHAnsi"/>
                <w:sz w:val="18"/>
                <w:szCs w:val="18"/>
              </w:rPr>
              <w:t xml:space="preserve">wypełniania i składania </w:t>
            </w:r>
            <w:r w:rsidRPr="007A73EE">
              <w:rPr>
                <w:rFonts w:cstheme="minorHAnsi"/>
                <w:sz w:val="18"/>
                <w:szCs w:val="18"/>
              </w:rPr>
              <w:t xml:space="preserve">sprawozdania </w:t>
            </w:r>
            <w:r w:rsidR="00EF79E8">
              <w:rPr>
                <w:rFonts w:cstheme="minorHAnsi"/>
                <w:sz w:val="18"/>
                <w:szCs w:val="18"/>
              </w:rPr>
              <w:t xml:space="preserve">z udzielonych zamówień publicznych </w:t>
            </w:r>
            <w:r w:rsidRPr="007A73EE">
              <w:rPr>
                <w:rFonts w:cstheme="minorHAnsi"/>
                <w:sz w:val="18"/>
                <w:szCs w:val="18"/>
              </w:rPr>
              <w:t>przez zamawiających</w:t>
            </w:r>
            <w:r w:rsidR="00B92787">
              <w:rPr>
                <w:rFonts w:cstheme="minorHAnsi"/>
                <w:sz w:val="18"/>
                <w:szCs w:val="18"/>
              </w:rPr>
              <w:t>,</w:t>
            </w:r>
            <w:r w:rsidR="00582A5A">
              <w:rPr>
                <w:rFonts w:cstheme="minorHAnsi"/>
                <w:sz w:val="18"/>
                <w:szCs w:val="18"/>
              </w:rPr>
              <w:t xml:space="preserve"> dzięki wykorzystaniu danych </w:t>
            </w:r>
            <w:r w:rsidR="00CD35FD">
              <w:rPr>
                <w:rFonts w:cstheme="minorHAnsi"/>
                <w:sz w:val="18"/>
                <w:szCs w:val="18"/>
              </w:rPr>
              <w:t xml:space="preserve">o udzielonych zamówieniach, </w:t>
            </w:r>
            <w:r w:rsidR="00582A5A">
              <w:rPr>
                <w:rFonts w:cstheme="minorHAnsi"/>
                <w:sz w:val="18"/>
                <w:szCs w:val="18"/>
              </w:rPr>
              <w:t>zgromadzonych</w:t>
            </w:r>
            <w:r w:rsidR="00CD35FD">
              <w:rPr>
                <w:rFonts w:cstheme="minorHAnsi"/>
                <w:sz w:val="18"/>
                <w:szCs w:val="18"/>
              </w:rPr>
              <w:t xml:space="preserve"> w CRD</w:t>
            </w:r>
            <w:r w:rsidR="00582A5A">
              <w:rPr>
                <w:rFonts w:cstheme="minorHAnsi"/>
                <w:sz w:val="18"/>
                <w:szCs w:val="18"/>
              </w:rPr>
              <w:t xml:space="preserve"> </w:t>
            </w:r>
            <w:r w:rsidR="00CD35FD">
              <w:rPr>
                <w:rFonts w:cstheme="minorHAnsi"/>
                <w:sz w:val="18"/>
                <w:szCs w:val="18"/>
              </w:rPr>
              <w:t>Platfo</w:t>
            </w:r>
            <w:r w:rsidR="00B92787">
              <w:rPr>
                <w:rFonts w:cstheme="minorHAnsi"/>
                <w:sz w:val="18"/>
                <w:szCs w:val="18"/>
              </w:rPr>
              <w:t>rmy</w:t>
            </w:r>
            <w:r w:rsidR="00582A5A">
              <w:rPr>
                <w:rFonts w:cstheme="minorHAnsi"/>
                <w:sz w:val="18"/>
                <w:szCs w:val="18"/>
              </w:rPr>
              <w:t xml:space="preserve"> e-Zamówienia;</w:t>
            </w:r>
          </w:p>
          <w:p w14:paraId="7A76BFA6" w14:textId="77777777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lastRenderedPageBreak/>
              <w:t>umożliwienie wykonawcom śledzenia na bieżąco informacji na temat wszystkich planowanych i toczących się postępowań o udzielenie zamówienia publicznego,</w:t>
            </w:r>
          </w:p>
          <w:p w14:paraId="38A3320D" w14:textId="5C3150AB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t>umożliwienie wszystkim zainteresowanym podmiotom i obywatelom szerokiego dostępu do jednostkowych i zagregowanych danych na temat wykonawców, zamawiających i postępowań oraz do informacji na temat wydatków w sferze zamówień publicznych w Polsce z funkcjonalnością analityki biznesowej</w:t>
            </w:r>
            <w:r w:rsidR="00C93566">
              <w:rPr>
                <w:rFonts w:cstheme="minorHAnsi"/>
                <w:sz w:val="18"/>
                <w:szCs w:val="18"/>
              </w:rPr>
              <w:t>- narzędzie BI.</w:t>
            </w:r>
          </w:p>
          <w:p w14:paraId="67C3E22E" w14:textId="77777777" w:rsidR="004D0864" w:rsidRPr="0053594A" w:rsidRDefault="004D0864" w:rsidP="004D0864">
            <w:pPr>
              <w:shd w:val="clear" w:color="auto" w:fill="FFFFFF"/>
              <w:ind w:left="720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</w:p>
          <w:p w14:paraId="0C7D30B8" w14:textId="266D3370" w:rsidR="00983993" w:rsidRDefault="00983993" w:rsidP="0001568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Na dzień złożenia raportu nie zidentyfikowano </w:t>
            </w:r>
            <w:r w:rsidR="00A25F2E">
              <w:rPr>
                <w:rFonts w:cstheme="minorHAnsi"/>
                <w:bCs/>
                <w:sz w:val="18"/>
                <w:szCs w:val="18"/>
              </w:rPr>
              <w:t xml:space="preserve">rozbieżności w zakresie osiągniętych i oczekiwanych korzyści w stosunku do pierwotnie </w:t>
            </w:r>
            <w:r w:rsidR="00ED478E">
              <w:rPr>
                <w:rFonts w:cstheme="minorHAnsi"/>
                <w:bCs/>
                <w:sz w:val="18"/>
                <w:szCs w:val="18"/>
              </w:rPr>
              <w:t>planowanych</w:t>
            </w:r>
            <w:r w:rsidR="00A4036C">
              <w:rPr>
                <w:rFonts w:cstheme="minorHAnsi"/>
                <w:bCs/>
                <w:sz w:val="18"/>
                <w:szCs w:val="18"/>
              </w:rPr>
              <w:t xml:space="preserve">. </w:t>
            </w:r>
            <w:r w:rsidR="006759C4">
              <w:rPr>
                <w:rFonts w:cstheme="minorHAnsi"/>
                <w:bCs/>
                <w:sz w:val="18"/>
                <w:szCs w:val="18"/>
              </w:rPr>
              <w:t xml:space="preserve">Powyższe korzyści będą mierzone poprzez monitorowanie </w:t>
            </w:r>
            <w:r w:rsidR="008A4B96">
              <w:rPr>
                <w:rFonts w:cstheme="minorHAnsi"/>
                <w:bCs/>
                <w:sz w:val="18"/>
                <w:szCs w:val="18"/>
              </w:rPr>
              <w:t xml:space="preserve">poziomu wykorzystania usług zaimplementowanych na Platformie </w:t>
            </w:r>
            <w:r w:rsidR="00B24ECA">
              <w:rPr>
                <w:rFonts w:cstheme="minorHAnsi"/>
                <w:bCs/>
                <w:sz w:val="18"/>
                <w:szCs w:val="18"/>
              </w:rPr>
              <w:t xml:space="preserve">– zgodnie z założeniami określonymi w studium wykonalności projektu i </w:t>
            </w:r>
            <w:r w:rsidR="002E4409">
              <w:rPr>
                <w:rFonts w:cstheme="minorHAnsi"/>
                <w:bCs/>
                <w:sz w:val="18"/>
                <w:szCs w:val="18"/>
              </w:rPr>
              <w:t xml:space="preserve">porozumieniu o dofinansowaniu. Zakłada się, że każde </w:t>
            </w:r>
            <w:r w:rsidR="00B679B8">
              <w:rPr>
                <w:rFonts w:cstheme="minorHAnsi"/>
                <w:bCs/>
                <w:sz w:val="18"/>
                <w:szCs w:val="18"/>
              </w:rPr>
              <w:t xml:space="preserve">wykorzystanie e-usługi wiąże się </w:t>
            </w:r>
            <w:r w:rsidR="00295AA0">
              <w:rPr>
                <w:rFonts w:cstheme="minorHAnsi"/>
                <w:bCs/>
                <w:sz w:val="18"/>
                <w:szCs w:val="18"/>
              </w:rPr>
              <w:br/>
            </w:r>
            <w:r w:rsidR="00B679B8">
              <w:rPr>
                <w:rFonts w:cstheme="minorHAnsi"/>
                <w:bCs/>
                <w:sz w:val="18"/>
                <w:szCs w:val="18"/>
              </w:rPr>
              <w:t>z uzyskaniem ww. korzyści</w:t>
            </w:r>
            <w:r w:rsidR="008E264D">
              <w:rPr>
                <w:rFonts w:cstheme="minorHAnsi"/>
                <w:bCs/>
                <w:sz w:val="18"/>
                <w:szCs w:val="18"/>
              </w:rPr>
              <w:t xml:space="preserve">, zgodnie z założeniami studium wykonalności projektu. </w:t>
            </w:r>
            <w:r w:rsidR="007C6834">
              <w:rPr>
                <w:rFonts w:cstheme="minorHAnsi"/>
                <w:bCs/>
                <w:sz w:val="18"/>
                <w:szCs w:val="18"/>
              </w:rPr>
              <w:t xml:space="preserve">Poziom usług będzie monitorowany z poziomu raportów generowanych </w:t>
            </w:r>
            <w:r w:rsidR="00C7204F">
              <w:rPr>
                <w:rFonts w:cstheme="minorHAnsi"/>
                <w:bCs/>
                <w:sz w:val="18"/>
                <w:szCs w:val="18"/>
              </w:rPr>
              <w:t>bezpośrednio</w:t>
            </w:r>
            <w:r w:rsidR="00295AA0">
              <w:rPr>
                <w:rFonts w:cstheme="minorHAnsi"/>
                <w:bCs/>
                <w:sz w:val="18"/>
                <w:szCs w:val="18"/>
              </w:rPr>
              <w:br/>
            </w:r>
            <w:r w:rsidR="00FF3897">
              <w:rPr>
                <w:rFonts w:cstheme="minorHAnsi"/>
                <w:bCs/>
                <w:sz w:val="18"/>
                <w:szCs w:val="18"/>
              </w:rPr>
              <w:t xml:space="preserve">z </w:t>
            </w:r>
            <w:r w:rsidR="00C7204F">
              <w:rPr>
                <w:rFonts w:cstheme="minorHAnsi"/>
                <w:bCs/>
                <w:sz w:val="18"/>
                <w:szCs w:val="18"/>
              </w:rPr>
              <w:t>Platform</w:t>
            </w:r>
            <w:r w:rsidR="00FF3897">
              <w:rPr>
                <w:rFonts w:cstheme="minorHAnsi"/>
                <w:bCs/>
                <w:sz w:val="18"/>
                <w:szCs w:val="18"/>
              </w:rPr>
              <w:t>y</w:t>
            </w:r>
            <w:r w:rsidR="00C7204F">
              <w:rPr>
                <w:rFonts w:cstheme="minorHAnsi"/>
                <w:bCs/>
                <w:sz w:val="18"/>
                <w:szCs w:val="18"/>
              </w:rPr>
              <w:t xml:space="preserve"> e-Zamówienia. </w:t>
            </w:r>
          </w:p>
          <w:p w14:paraId="60C8E729" w14:textId="24ED7EB6" w:rsidR="004D0864" w:rsidRPr="0053594A" w:rsidRDefault="004D0864" w:rsidP="0001568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53594A">
              <w:rPr>
                <w:rFonts w:cstheme="minorHAnsi"/>
                <w:bCs/>
                <w:sz w:val="18"/>
                <w:szCs w:val="18"/>
              </w:rPr>
              <w:t xml:space="preserve">Korzyści wynikające z zakończenia projektu będą mierzone </w:t>
            </w:r>
            <w:r w:rsidR="00C7204F">
              <w:rPr>
                <w:rFonts w:cstheme="minorHAnsi"/>
                <w:bCs/>
                <w:sz w:val="18"/>
                <w:szCs w:val="18"/>
              </w:rPr>
              <w:t xml:space="preserve">również </w:t>
            </w:r>
            <w:r w:rsidRPr="0053594A">
              <w:rPr>
                <w:rFonts w:cstheme="minorHAnsi"/>
                <w:bCs/>
                <w:sz w:val="18"/>
                <w:szCs w:val="18"/>
              </w:rPr>
              <w:t xml:space="preserve">poprzez monitorowanie wskaźnika: </w:t>
            </w:r>
          </w:p>
          <w:p w14:paraId="1658F1AE" w14:textId="4B243FB5" w:rsidR="004D0864" w:rsidRPr="0053594A" w:rsidRDefault="004D0864" w:rsidP="0001568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53594A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 xml:space="preserve">Liczba załatwionych spraw poprzez udostępnioną on-line usługę publiczną 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60 000,00 szt./rok (liczba złożonych ofert/wniosków/prac konkursowych)</w:t>
            </w:r>
          </w:p>
          <w:p w14:paraId="7F9EB1DD" w14:textId="77777777" w:rsidR="00015683" w:rsidRDefault="004D0864" w:rsidP="0001568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53594A">
              <w:rPr>
                <w:rFonts w:cstheme="minorHAnsi"/>
                <w:bCs/>
                <w:sz w:val="18"/>
                <w:szCs w:val="18"/>
              </w:rPr>
              <w:t>Liczenie wartości wskaźnika rozpocznie się po zatwierdzeniu końcowego wniosku o płatność.</w:t>
            </w:r>
            <w:r w:rsidR="00015683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3E9FB5E5" w14:textId="3F3FAD1B" w:rsidR="004D0864" w:rsidRDefault="00015683" w:rsidP="0001568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C741A">
              <w:rPr>
                <w:rFonts w:cstheme="minorHAnsi"/>
                <w:bCs/>
                <w:sz w:val="18"/>
                <w:szCs w:val="18"/>
              </w:rPr>
              <w:t xml:space="preserve">Planowane jest udostępnianie danych o wykorzystaniu usług Platformy </w:t>
            </w:r>
            <w:r w:rsidR="00F43D34">
              <w:rPr>
                <w:rFonts w:cstheme="minorHAnsi"/>
                <w:bCs/>
                <w:sz w:val="18"/>
                <w:szCs w:val="18"/>
              </w:rPr>
              <w:t xml:space="preserve">e-Zamówienia </w:t>
            </w:r>
            <w:r w:rsidRPr="008C741A">
              <w:rPr>
                <w:rFonts w:cstheme="minorHAnsi"/>
                <w:bCs/>
                <w:sz w:val="18"/>
                <w:szCs w:val="18"/>
              </w:rPr>
              <w:t xml:space="preserve">na </w:t>
            </w:r>
            <w:r w:rsidR="008C741A" w:rsidRPr="008C741A">
              <w:rPr>
                <w:rFonts w:cstheme="minorHAnsi"/>
                <w:bCs/>
                <w:sz w:val="18"/>
                <w:szCs w:val="18"/>
              </w:rPr>
              <w:t>portalu dane.gov.pl</w:t>
            </w:r>
          </w:p>
          <w:p w14:paraId="0A1E5C09" w14:textId="098D6AC9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53FABB9B" w14:textId="77777777" w:rsidTr="003F1E43">
        <w:tc>
          <w:tcPr>
            <w:tcW w:w="480" w:type="dxa"/>
          </w:tcPr>
          <w:p w14:paraId="0682F568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690D3D38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657" w:type="dxa"/>
          </w:tcPr>
          <w:p w14:paraId="1B2D09B8" w14:textId="554B196A" w:rsidR="00F82254" w:rsidRDefault="001A54BC" w:rsidP="00DB70A5">
            <w:pPr>
              <w:jc w:val="both"/>
              <w:rPr>
                <w:bCs/>
                <w:iCs/>
                <w:sz w:val="18"/>
                <w:szCs w:val="20"/>
              </w:rPr>
            </w:pPr>
            <w:r w:rsidRPr="009B1367">
              <w:rPr>
                <w:bCs/>
                <w:iCs/>
                <w:sz w:val="18"/>
                <w:szCs w:val="20"/>
              </w:rPr>
              <w:t xml:space="preserve">Udostępnione w ramach projektu </w:t>
            </w:r>
            <w:r w:rsidR="009B1367">
              <w:rPr>
                <w:bCs/>
                <w:iCs/>
                <w:sz w:val="18"/>
                <w:szCs w:val="20"/>
              </w:rPr>
              <w:t xml:space="preserve">usługi są powiązane </w:t>
            </w:r>
            <w:r w:rsidR="008D1B70">
              <w:rPr>
                <w:bCs/>
                <w:iCs/>
                <w:sz w:val="18"/>
                <w:szCs w:val="20"/>
              </w:rPr>
              <w:t>z następującymi zewnętrznymi rejestrami i systemami teleinformatycznymi:</w:t>
            </w:r>
          </w:p>
          <w:p w14:paraId="13063425" w14:textId="77777777" w:rsidR="003B0022" w:rsidRDefault="003A440E" w:rsidP="004D297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Baza Internetowa Regon (GUS)</w:t>
            </w:r>
            <w:r w:rsidR="00436AC4" w:rsidRPr="003B0022">
              <w:rPr>
                <w:rFonts w:cstheme="minorHAnsi"/>
                <w:sz w:val="18"/>
                <w:szCs w:val="18"/>
              </w:rPr>
              <w:t>.</w:t>
            </w:r>
            <w:r w:rsidRPr="003B0022">
              <w:rPr>
                <w:rFonts w:cstheme="minorHAnsi"/>
                <w:sz w:val="18"/>
                <w:szCs w:val="18"/>
              </w:rPr>
              <w:t xml:space="preserve"> </w:t>
            </w:r>
            <w:r w:rsidR="00436AC4" w:rsidRPr="003B0022">
              <w:rPr>
                <w:rFonts w:cstheme="minorHAnsi"/>
                <w:sz w:val="18"/>
                <w:szCs w:val="18"/>
              </w:rPr>
              <w:t>Pobieranie jednostronnych danych rejestracyjnych podmiotu gospodarki narodowej z bazy REGON do Modułu Tożsamości na Platformie</w:t>
            </w:r>
            <w:r w:rsidR="003B0022" w:rsidRPr="003B0022">
              <w:rPr>
                <w:rFonts w:cstheme="minorHAnsi"/>
                <w:sz w:val="18"/>
                <w:szCs w:val="18"/>
              </w:rPr>
              <w:t xml:space="preserve"> </w:t>
            </w:r>
            <w:r w:rsidR="00436AC4" w:rsidRPr="003B0022">
              <w:rPr>
                <w:rFonts w:cstheme="minorHAnsi"/>
                <w:sz w:val="18"/>
                <w:szCs w:val="18"/>
              </w:rPr>
              <w:t>e-Zamówienia. Zależność jednostronna.</w:t>
            </w:r>
          </w:p>
          <w:p w14:paraId="39C27C71" w14:textId="379C9E60" w:rsidR="00436AC4" w:rsidRPr="00522CD4" w:rsidRDefault="00436AC4" w:rsidP="004D297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bCs/>
                <w:iCs/>
                <w:sz w:val="18"/>
                <w:szCs w:val="20"/>
              </w:rPr>
              <w:t>Węzeł Krajowy: Platforma e-Zamówienia udostępnia funkcję wykorzystania Profilu Zaufanego</w:t>
            </w:r>
            <w:r w:rsidR="00CD7027" w:rsidRPr="003B0022">
              <w:rPr>
                <w:bCs/>
                <w:iCs/>
                <w:sz w:val="18"/>
                <w:szCs w:val="20"/>
              </w:rPr>
              <w:t xml:space="preserve"> jako dodatkow</w:t>
            </w:r>
            <w:r w:rsidR="000C21E8" w:rsidRPr="003B0022">
              <w:rPr>
                <w:bCs/>
                <w:iCs/>
                <w:sz w:val="18"/>
                <w:szCs w:val="20"/>
              </w:rPr>
              <w:t>ą</w:t>
            </w:r>
            <w:r w:rsidR="00CD7027" w:rsidRPr="003B0022">
              <w:rPr>
                <w:bCs/>
                <w:iCs/>
                <w:sz w:val="18"/>
                <w:szCs w:val="20"/>
              </w:rPr>
              <w:t xml:space="preserve"> metod</w:t>
            </w:r>
            <w:r w:rsidR="000C21E8" w:rsidRPr="003B0022">
              <w:rPr>
                <w:bCs/>
                <w:iCs/>
                <w:sz w:val="18"/>
                <w:szCs w:val="20"/>
              </w:rPr>
              <w:t>ę</w:t>
            </w:r>
            <w:r w:rsidR="00CD7027" w:rsidRPr="003B0022">
              <w:rPr>
                <w:bCs/>
                <w:iCs/>
                <w:sz w:val="18"/>
                <w:szCs w:val="20"/>
              </w:rPr>
              <w:t xml:space="preserve"> logowania do Platformy. </w:t>
            </w:r>
          </w:p>
          <w:p w14:paraId="0E74A93C" w14:textId="5F2703D0" w:rsidR="00522CD4" w:rsidRPr="003B0022" w:rsidRDefault="00522CD4" w:rsidP="004D297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D4">
              <w:rPr>
                <w:rFonts w:cstheme="minorHAnsi"/>
                <w:sz w:val="18"/>
                <w:szCs w:val="18"/>
              </w:rPr>
              <w:t>Zostało zbudowane i wystawione API umożliwiające integrację PEF z Platformą e-Zamówienia w zakresie Modułu Tożsamości.</w:t>
            </w:r>
          </w:p>
          <w:p w14:paraId="5E789BB8" w14:textId="64C491E5" w:rsidR="00B03424" w:rsidRPr="008D1B70" w:rsidRDefault="00B03424" w:rsidP="008D1B70">
            <w:pPr>
              <w:jc w:val="both"/>
              <w:rPr>
                <w:bCs/>
                <w:iCs/>
                <w:sz w:val="18"/>
                <w:szCs w:val="20"/>
              </w:rPr>
            </w:pPr>
          </w:p>
        </w:tc>
      </w:tr>
      <w:tr w:rsidR="007C54F9" w:rsidRPr="002450C4" w14:paraId="404A1A33" w14:textId="77777777" w:rsidTr="003F1E43">
        <w:tc>
          <w:tcPr>
            <w:tcW w:w="480" w:type="dxa"/>
          </w:tcPr>
          <w:p w14:paraId="54FC1A60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668CB262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657" w:type="dxa"/>
          </w:tcPr>
          <w:p w14:paraId="0D17E871" w14:textId="664D0D57" w:rsidR="00503794" w:rsidRDefault="007047A7" w:rsidP="00503794">
            <w:pPr>
              <w:spacing w:line="256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bookmarkStart w:id="2" w:name="_Hlk108675186"/>
            <w:r>
              <w:rPr>
                <w:rFonts w:cstheme="minorHAnsi"/>
                <w:bCs/>
                <w:sz w:val="18"/>
                <w:szCs w:val="18"/>
              </w:rPr>
              <w:t>Wydatki</w:t>
            </w:r>
            <w:r w:rsidR="00503794">
              <w:rPr>
                <w:rFonts w:cstheme="minorHAnsi"/>
                <w:bCs/>
                <w:sz w:val="18"/>
                <w:szCs w:val="18"/>
              </w:rPr>
              <w:t xml:space="preserve"> na utrzymanie </w:t>
            </w:r>
            <w:r w:rsidR="00A83AD0">
              <w:rPr>
                <w:rFonts w:cstheme="minorHAnsi"/>
                <w:bCs/>
                <w:sz w:val="18"/>
                <w:szCs w:val="18"/>
              </w:rPr>
              <w:t>projektu</w:t>
            </w:r>
            <w:r w:rsidR="008E553E">
              <w:rPr>
                <w:rFonts w:cstheme="minorHAnsi"/>
                <w:bCs/>
                <w:sz w:val="18"/>
                <w:szCs w:val="18"/>
              </w:rPr>
              <w:t xml:space="preserve"> (w okresie trwałości)</w:t>
            </w:r>
            <w:r w:rsidR="00A83AD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D030FB">
              <w:rPr>
                <w:rFonts w:cstheme="minorHAnsi"/>
                <w:bCs/>
                <w:sz w:val="18"/>
                <w:szCs w:val="18"/>
              </w:rPr>
              <w:t>Urząd ponosi ze środków budżetowych</w:t>
            </w:r>
            <w:r w:rsidR="003C016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D13DDA">
              <w:rPr>
                <w:rFonts w:cstheme="minorHAnsi"/>
                <w:bCs/>
                <w:sz w:val="18"/>
                <w:szCs w:val="18"/>
              </w:rPr>
              <w:t>Beneficjenta</w:t>
            </w:r>
            <w:r w:rsidR="00D030FB">
              <w:rPr>
                <w:rFonts w:cstheme="minorHAnsi"/>
                <w:bCs/>
                <w:sz w:val="18"/>
                <w:szCs w:val="18"/>
              </w:rPr>
              <w:t xml:space="preserve">. </w:t>
            </w:r>
          </w:p>
          <w:p w14:paraId="693CED5F" w14:textId="33D092F3" w:rsidR="00503794" w:rsidRDefault="00503794" w:rsidP="00503794">
            <w:pPr>
              <w:pStyle w:val="Default"/>
              <w:spacing w:after="160" w:line="25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Świadczenie głównych, usług w okresie trwałości, powstałych w ramach projektu będzie spoczywało na zakontraktowanych wykonawcach wyłonionych w ramach prowadzonych postępowań o udzielenie zamówienia publicznego.  </w:t>
            </w:r>
          </w:p>
          <w:p w14:paraId="616B49CC" w14:textId="77777777" w:rsidR="00503794" w:rsidRDefault="00503794" w:rsidP="00503794">
            <w:pPr>
              <w:spacing w:line="25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Utrzymanie trwałości projektu będzie również wspierane w ramach własnych zasobów kadrowych w zakresie świadczenia wparcia użytkowników poprzez Infolinię Platformy</w:t>
            </w:r>
            <w:bookmarkEnd w:id="2"/>
            <w:r>
              <w:rPr>
                <w:rFonts w:cstheme="minorHAnsi"/>
                <w:bCs/>
                <w:sz w:val="18"/>
                <w:szCs w:val="18"/>
              </w:rPr>
              <w:t xml:space="preserve"> oraz w</w:t>
            </w:r>
            <w:r>
              <w:rPr>
                <w:rFonts w:cstheme="minorHAnsi"/>
                <w:sz w:val="18"/>
                <w:szCs w:val="18"/>
              </w:rPr>
              <w:t xml:space="preserve"> zakresie zadań edukacyjnych poprzez szkolenia, aktualizację dostarczonych na etapie realizacji projektu pakietów materiałów szkoleniowych tj. Instrukcji interaktywnych, filmików instruktażowych.</w:t>
            </w:r>
          </w:p>
          <w:p w14:paraId="3EA44DD1" w14:textId="311EB4C5" w:rsidR="0037758B" w:rsidRPr="00F656C3" w:rsidRDefault="0037758B" w:rsidP="0037758B">
            <w:pPr>
              <w:rPr>
                <w:bCs/>
                <w:sz w:val="18"/>
                <w:szCs w:val="20"/>
              </w:rPr>
            </w:pPr>
          </w:p>
        </w:tc>
      </w:tr>
      <w:tr w:rsidR="009D3D41" w:rsidRPr="002450C4" w14:paraId="25908FB0" w14:textId="77777777" w:rsidTr="003F1E43">
        <w:tc>
          <w:tcPr>
            <w:tcW w:w="480" w:type="dxa"/>
          </w:tcPr>
          <w:p w14:paraId="75DBF71B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12A3CC2F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657" w:type="dxa"/>
          </w:tcPr>
          <w:p w14:paraId="0D6E5DCD" w14:textId="5A0D8429" w:rsidR="00551573" w:rsidRDefault="00551573" w:rsidP="005515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sz w:val="18"/>
                <w:szCs w:val="18"/>
                <w:u w:val="single"/>
              </w:rPr>
              <w:t>Dla realizacji projektu pozytywne znaczenie miało:</w:t>
            </w:r>
          </w:p>
          <w:p w14:paraId="69E74A60" w14:textId="77777777" w:rsidR="0068508C" w:rsidRDefault="0068508C" w:rsidP="004774E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  <w:p w14:paraId="11306DCB" w14:textId="77777777" w:rsidR="0068508C" w:rsidRDefault="0068508C" w:rsidP="00B779C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8508C">
              <w:rPr>
                <w:rFonts w:cstheme="minorHAnsi"/>
                <w:sz w:val="18"/>
                <w:szCs w:val="18"/>
              </w:rPr>
              <w:t>W</w:t>
            </w:r>
            <w:r w:rsidR="00551573" w:rsidRPr="0068508C">
              <w:rPr>
                <w:rFonts w:cstheme="minorHAnsi"/>
                <w:sz w:val="18"/>
                <w:szCs w:val="18"/>
              </w:rPr>
              <w:t xml:space="preserve">czesne powołanie zespołu, który opracował założenia dla Platformy w zakresie przedmiotu zamówienia i wymagań </w:t>
            </w:r>
            <w:proofErr w:type="gramStart"/>
            <w:r w:rsidR="00551573" w:rsidRPr="0068508C">
              <w:rPr>
                <w:rFonts w:cstheme="minorHAnsi"/>
                <w:sz w:val="18"/>
                <w:szCs w:val="18"/>
              </w:rPr>
              <w:t>odnośnie</w:t>
            </w:r>
            <w:proofErr w:type="gramEnd"/>
            <w:r w:rsidR="00551573" w:rsidRPr="0068508C">
              <w:rPr>
                <w:rFonts w:cstheme="minorHAnsi"/>
                <w:sz w:val="18"/>
                <w:szCs w:val="18"/>
              </w:rPr>
              <w:t xml:space="preserve"> przebiegu prac projektowych;</w:t>
            </w:r>
            <w:r w:rsidRPr="0068508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3D39966" w14:textId="77777777" w:rsidR="0068508C" w:rsidRDefault="0068508C" w:rsidP="00F35E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8508C">
              <w:rPr>
                <w:rFonts w:cstheme="minorHAnsi"/>
                <w:sz w:val="18"/>
                <w:szCs w:val="18"/>
              </w:rPr>
              <w:t>D</w:t>
            </w:r>
            <w:r w:rsidR="00551573" w:rsidRPr="0068508C">
              <w:rPr>
                <w:rFonts w:cstheme="minorHAnsi"/>
                <w:sz w:val="18"/>
                <w:szCs w:val="18"/>
              </w:rPr>
              <w:t>ysponowanie pracownikami posiadającymi specjalistyczną wiedzę i</w:t>
            </w:r>
            <w:r w:rsidR="004774E7" w:rsidRPr="0068508C">
              <w:rPr>
                <w:rFonts w:cstheme="minorHAnsi"/>
                <w:sz w:val="18"/>
                <w:szCs w:val="18"/>
              </w:rPr>
              <w:t xml:space="preserve"> </w:t>
            </w:r>
            <w:r w:rsidR="00551573" w:rsidRPr="0068508C">
              <w:rPr>
                <w:rFonts w:cstheme="minorHAnsi"/>
                <w:sz w:val="18"/>
                <w:szCs w:val="18"/>
              </w:rPr>
              <w:t>doświadczenie w przedmiocie projektu;</w:t>
            </w:r>
          </w:p>
          <w:p w14:paraId="69A767A3" w14:textId="77777777" w:rsidR="0068508C" w:rsidRDefault="0068508C" w:rsidP="0021265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8508C">
              <w:rPr>
                <w:rFonts w:cstheme="minorHAnsi"/>
                <w:sz w:val="18"/>
                <w:szCs w:val="18"/>
              </w:rPr>
              <w:t>U</w:t>
            </w:r>
            <w:r w:rsidR="00551573" w:rsidRPr="0068508C">
              <w:rPr>
                <w:rFonts w:cstheme="minorHAnsi"/>
                <w:sz w:val="18"/>
                <w:szCs w:val="18"/>
              </w:rPr>
              <w:t xml:space="preserve">dział prawników posiadających doświadczenie w zakresie prawa zamówień publicznych, przygotowaniu dokumentacji przetargowej; </w:t>
            </w:r>
          </w:p>
          <w:p w14:paraId="391B1E97" w14:textId="47A9D3CC" w:rsidR="0068508C" w:rsidRDefault="0068508C" w:rsidP="00831BB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8508C">
              <w:rPr>
                <w:rFonts w:cstheme="minorHAnsi"/>
                <w:sz w:val="18"/>
                <w:szCs w:val="18"/>
              </w:rPr>
              <w:t>U</w:t>
            </w:r>
            <w:r w:rsidR="00551573" w:rsidRPr="0068508C">
              <w:rPr>
                <w:rFonts w:cstheme="minorHAnsi"/>
                <w:sz w:val="18"/>
                <w:szCs w:val="18"/>
              </w:rPr>
              <w:t xml:space="preserve">czestniczenie w pracy zespołu projektowego przedstawicieli </w:t>
            </w:r>
            <w:r w:rsidR="00522CD4" w:rsidRPr="0068508C">
              <w:rPr>
                <w:rFonts w:cstheme="minorHAnsi"/>
                <w:sz w:val="18"/>
                <w:szCs w:val="18"/>
              </w:rPr>
              <w:t>różnych komórek</w:t>
            </w:r>
            <w:r w:rsidR="00551573" w:rsidRPr="0068508C">
              <w:rPr>
                <w:rFonts w:cstheme="minorHAnsi"/>
                <w:sz w:val="18"/>
                <w:szCs w:val="18"/>
              </w:rPr>
              <w:t xml:space="preserve"> UZP m.in. w zakresie konsultacji prawnych, technicznych, administracyjnych i finansowych;</w:t>
            </w:r>
            <w:r w:rsidRPr="0068508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5B5E7CD" w14:textId="77777777" w:rsidR="00181D8B" w:rsidRDefault="0068508C" w:rsidP="000B14C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181D8B">
              <w:rPr>
                <w:rFonts w:cstheme="minorHAnsi"/>
                <w:sz w:val="18"/>
                <w:szCs w:val="18"/>
              </w:rPr>
              <w:t>U</w:t>
            </w:r>
            <w:r w:rsidR="00551573" w:rsidRPr="00181D8B">
              <w:rPr>
                <w:rFonts w:cstheme="minorHAnsi"/>
                <w:sz w:val="18"/>
                <w:szCs w:val="18"/>
              </w:rPr>
              <w:t>czestniczenie w pracy zespołu projektowego przedstawiciela głównego</w:t>
            </w:r>
            <w:r w:rsidR="00181D8B" w:rsidRPr="00181D8B">
              <w:rPr>
                <w:rFonts w:cstheme="minorHAnsi"/>
                <w:sz w:val="18"/>
                <w:szCs w:val="18"/>
              </w:rPr>
              <w:t xml:space="preserve"> użytkownika, głównego dostawcy;</w:t>
            </w:r>
          </w:p>
          <w:p w14:paraId="6D8E442E" w14:textId="3BBE0A25" w:rsidR="00551573" w:rsidRPr="00181D8B" w:rsidRDefault="00181D8B" w:rsidP="000B14C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P</w:t>
            </w:r>
            <w:r w:rsidR="00551573" w:rsidRPr="00181D8B">
              <w:rPr>
                <w:rFonts w:cstheme="minorHAnsi"/>
                <w:sz w:val="18"/>
                <w:szCs w:val="18"/>
              </w:rPr>
              <w:t xml:space="preserve">rowadzenie projektu metodą </w:t>
            </w:r>
            <w:proofErr w:type="spellStart"/>
            <w:r w:rsidR="00551573" w:rsidRPr="00181D8B">
              <w:rPr>
                <w:rFonts w:cstheme="minorHAnsi"/>
                <w:sz w:val="18"/>
                <w:szCs w:val="18"/>
              </w:rPr>
              <w:t>Scrum</w:t>
            </w:r>
            <w:proofErr w:type="spellEnd"/>
            <w:r w:rsidR="00551573" w:rsidRPr="00181D8B">
              <w:rPr>
                <w:rFonts w:cstheme="minorHAnsi"/>
                <w:sz w:val="18"/>
                <w:szCs w:val="18"/>
              </w:rPr>
              <w:t xml:space="preserve"> umożliwiającą na bieżąco śledzenie i </w:t>
            </w:r>
            <w:r w:rsidR="00522CD4" w:rsidRPr="00181D8B">
              <w:rPr>
                <w:rFonts w:cstheme="minorHAnsi"/>
                <w:sz w:val="18"/>
                <w:szCs w:val="18"/>
              </w:rPr>
              <w:t>weryfikację prowadzonych</w:t>
            </w:r>
            <w:r w:rsidR="00551573" w:rsidRPr="00181D8B">
              <w:rPr>
                <w:rFonts w:cstheme="minorHAnsi"/>
                <w:sz w:val="18"/>
                <w:szCs w:val="18"/>
              </w:rPr>
              <w:t xml:space="preserve"> przez Wykonawcę</w:t>
            </w:r>
            <w:r w:rsidR="004E1A6E" w:rsidRPr="00181D8B">
              <w:rPr>
                <w:rFonts w:cstheme="minorHAnsi"/>
                <w:sz w:val="18"/>
                <w:szCs w:val="18"/>
              </w:rPr>
              <w:t xml:space="preserve"> prac</w:t>
            </w:r>
            <w:r w:rsidR="00551573" w:rsidRPr="00181D8B">
              <w:rPr>
                <w:rFonts w:cstheme="minorHAnsi"/>
                <w:sz w:val="18"/>
                <w:szCs w:val="18"/>
              </w:rPr>
              <w:t xml:space="preserve">, możliwość testowania na bieżąco przyrostów.  </w:t>
            </w:r>
          </w:p>
          <w:p w14:paraId="05DA87C2" w14:textId="77777777" w:rsidR="00551573" w:rsidRPr="00551573" w:rsidRDefault="00551573" w:rsidP="0055157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B96D872" w14:textId="7254941B" w:rsidR="00551573" w:rsidRDefault="00551573" w:rsidP="005515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sz w:val="18"/>
                <w:szCs w:val="18"/>
                <w:u w:val="single"/>
              </w:rPr>
              <w:t>Znaczenie negatywne:</w:t>
            </w:r>
          </w:p>
          <w:p w14:paraId="31C2CCA4" w14:textId="77777777" w:rsidR="00BD5F57" w:rsidRPr="00CB0453" w:rsidRDefault="00BD5F57" w:rsidP="005515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u w:val="single"/>
              </w:rPr>
            </w:pPr>
          </w:p>
          <w:p w14:paraId="311CC51E" w14:textId="77777777" w:rsidR="00181D8B" w:rsidRPr="003B0022" w:rsidRDefault="00181D8B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P</w:t>
            </w:r>
            <w:r w:rsidR="00551573" w:rsidRPr="003B0022">
              <w:rPr>
                <w:rFonts w:cstheme="minorHAnsi"/>
                <w:sz w:val="18"/>
                <w:szCs w:val="18"/>
              </w:rPr>
              <w:t xml:space="preserve">resja czasu w realizacji zadań wynikających ze zmian przepisów prawnych (udostępnienie funkcjonalności zgodnych z ustawą </w:t>
            </w:r>
            <w:proofErr w:type="spellStart"/>
            <w:r w:rsidR="00551573" w:rsidRPr="003B0022">
              <w:rPr>
                <w:rFonts w:cstheme="minorHAnsi"/>
                <w:sz w:val="18"/>
                <w:szCs w:val="18"/>
              </w:rPr>
              <w:t>Pzp</w:t>
            </w:r>
            <w:proofErr w:type="spellEnd"/>
            <w:r w:rsidR="00551573" w:rsidRPr="003B0022">
              <w:rPr>
                <w:rFonts w:cstheme="minorHAnsi"/>
                <w:sz w:val="18"/>
                <w:szCs w:val="18"/>
              </w:rPr>
              <w:t>);</w:t>
            </w:r>
          </w:p>
          <w:p w14:paraId="5CF80827" w14:textId="77777777" w:rsidR="00181D8B" w:rsidRPr="003B0022" w:rsidRDefault="00181D8B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P</w:t>
            </w:r>
            <w:r w:rsidR="00551573" w:rsidRPr="003B0022">
              <w:rPr>
                <w:rFonts w:cstheme="minorHAnsi"/>
                <w:sz w:val="18"/>
                <w:szCs w:val="18"/>
              </w:rPr>
              <w:t xml:space="preserve">rzesunięcie terminu w Projekcie </w:t>
            </w:r>
            <w:r w:rsidR="00551573" w:rsidRPr="003B0022">
              <w:rPr>
                <w:sz w:val="18"/>
                <w:szCs w:val="18"/>
              </w:rPr>
              <w:t xml:space="preserve">spowodowane przedłużającym się postępowaniem o udzielenie zamówienia publicznego na budowę Platformy, prowadzonym na podstawie ustawy </w:t>
            </w:r>
            <w:proofErr w:type="spellStart"/>
            <w:r w:rsidR="00551573" w:rsidRPr="003B0022">
              <w:rPr>
                <w:sz w:val="18"/>
                <w:szCs w:val="18"/>
              </w:rPr>
              <w:t>Pzp</w:t>
            </w:r>
            <w:proofErr w:type="spellEnd"/>
            <w:r w:rsidR="00551573" w:rsidRPr="003B0022">
              <w:rPr>
                <w:sz w:val="18"/>
                <w:szCs w:val="18"/>
              </w:rPr>
              <w:t xml:space="preserve"> m.in. wpływ na to miała, bardzo długo trwająca procedura odwoławcza co spowodowało, że cała procedura wyboru wykonawcy i podpisania umowy zamknęła się w okresie od 17-09-2019 – 31.03.2020. Skutkiem tego była konieczność dostosowania terminów w harmonogramie projektu (przed podpisaniem umowy) uwzględniająca przesunięcie terminów o 3 miesiące w wyniku powyższej okoliczności;</w:t>
            </w:r>
          </w:p>
          <w:p w14:paraId="1DAB658E" w14:textId="77777777" w:rsidR="00181D8B" w:rsidRPr="003B0022" w:rsidRDefault="00181D8B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K</w:t>
            </w:r>
            <w:r w:rsidR="00551573" w:rsidRPr="003B0022">
              <w:rPr>
                <w:rFonts w:cstheme="minorHAnsi"/>
                <w:sz w:val="18"/>
                <w:szCs w:val="18"/>
              </w:rPr>
              <w:t>onieczność zorganizowania pracy zdalnej z powodu pandemii wirusa COVID-19 -realizacja projektu wymagała potrzeby dynamicznego reagowania na zachodzące zmiany i dostosowywania modelu zarządzania do panujących okoliczności. Praca zespołu projektowego zarówno po stronie Zamawiającego jak i Wykonawcy odbywała się głównie w trybie zdalnym;</w:t>
            </w:r>
            <w:r w:rsidRPr="003B002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A5BD4BC" w14:textId="77777777" w:rsidR="003B0022" w:rsidRPr="003B0022" w:rsidRDefault="00181D8B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P</w:t>
            </w:r>
            <w:r w:rsidR="00551573" w:rsidRPr="003B0022">
              <w:rPr>
                <w:rFonts w:cstheme="minorHAnsi"/>
                <w:sz w:val="18"/>
                <w:szCs w:val="18"/>
              </w:rPr>
              <w:t xml:space="preserve">rojekt nie do końca był prowadzony zgodnie z metodą </w:t>
            </w:r>
            <w:proofErr w:type="spellStart"/>
            <w:r w:rsidR="00551573" w:rsidRPr="003B0022">
              <w:rPr>
                <w:rFonts w:cstheme="minorHAnsi"/>
                <w:sz w:val="18"/>
                <w:szCs w:val="18"/>
              </w:rPr>
              <w:t>Scrum</w:t>
            </w:r>
            <w:proofErr w:type="spellEnd"/>
            <w:r w:rsidR="00551573" w:rsidRPr="003B0022">
              <w:rPr>
                <w:rFonts w:cstheme="minorHAnsi"/>
                <w:sz w:val="18"/>
                <w:szCs w:val="18"/>
              </w:rPr>
              <w:t>, Zamawiający nie otrzymywał na bieżąco do testów, po zrealizowaniu danego sprintu przyrostów tego sprintu, w celu oceny i weryfikacji zrealizowanego zakresu prac;</w:t>
            </w:r>
            <w:r w:rsidRPr="003B002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0DCE6D7" w14:textId="054B2197" w:rsidR="009D3D41" w:rsidRPr="00551573" w:rsidRDefault="003B0022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bCs/>
                <w:i/>
                <w:sz w:val="18"/>
                <w:szCs w:val="18"/>
              </w:rPr>
            </w:pPr>
            <w:r w:rsidRPr="003B0022">
              <w:rPr>
                <w:sz w:val="18"/>
                <w:szCs w:val="18"/>
              </w:rPr>
              <w:t>W</w:t>
            </w:r>
            <w:r w:rsidR="00551573" w:rsidRPr="003B0022">
              <w:rPr>
                <w:sz w:val="18"/>
                <w:szCs w:val="18"/>
              </w:rPr>
              <w:t xml:space="preserve"> trakcie realizacji umowy wystąpiły po stronie Wykonawcy opóźnienia w jej realizacji, co spowodowało kolejne przesunięcie planowanych terminów wdrożenia usług projektu e-Zamówienia określonych w Porozumieniu.</w:t>
            </w:r>
          </w:p>
        </w:tc>
      </w:tr>
    </w:tbl>
    <w:p w14:paraId="35E514A7" w14:textId="77777777" w:rsidR="007A0A3D" w:rsidRDefault="007A0A3D" w:rsidP="00AB7BB3"/>
    <w:sectPr w:rsidR="007A0A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53620" w14:textId="77777777" w:rsidR="00A2399C" w:rsidRDefault="00A2399C" w:rsidP="00225257">
      <w:pPr>
        <w:spacing w:after="0" w:line="240" w:lineRule="auto"/>
      </w:pPr>
      <w:r>
        <w:separator/>
      </w:r>
    </w:p>
  </w:endnote>
  <w:endnote w:type="continuationSeparator" w:id="0">
    <w:p w14:paraId="0A4BE1DC" w14:textId="77777777" w:rsidR="00A2399C" w:rsidRDefault="00A2399C" w:rsidP="00225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5C581" w14:textId="77777777" w:rsidR="00AB7BB3" w:rsidRDefault="00AB7BB3">
    <w:pPr>
      <w:pStyle w:val="Stopka"/>
    </w:pPr>
  </w:p>
  <w:p w14:paraId="57873569" w14:textId="77777777" w:rsidR="00AB7BB3" w:rsidRDefault="00AB7B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AE9D" w14:textId="77777777" w:rsidR="00A2399C" w:rsidRDefault="00A2399C" w:rsidP="00225257">
      <w:pPr>
        <w:spacing w:after="0" w:line="240" w:lineRule="auto"/>
      </w:pPr>
      <w:r>
        <w:separator/>
      </w:r>
    </w:p>
  </w:footnote>
  <w:footnote w:type="continuationSeparator" w:id="0">
    <w:p w14:paraId="32220771" w14:textId="77777777" w:rsidR="00A2399C" w:rsidRDefault="00A2399C" w:rsidP="00225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75B06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C0159F"/>
    <w:multiLevelType w:val="hybridMultilevel"/>
    <w:tmpl w:val="F0BAAA1E"/>
    <w:lvl w:ilvl="0" w:tplc="D5441DC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6407"/>
    <w:multiLevelType w:val="hybridMultilevel"/>
    <w:tmpl w:val="ED6AC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40466"/>
    <w:multiLevelType w:val="hybridMultilevel"/>
    <w:tmpl w:val="1ABAB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96DCA"/>
    <w:multiLevelType w:val="hybridMultilevel"/>
    <w:tmpl w:val="123C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70C81"/>
    <w:multiLevelType w:val="hybridMultilevel"/>
    <w:tmpl w:val="94D676B8"/>
    <w:lvl w:ilvl="0" w:tplc="03762F0A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25000A"/>
    <w:multiLevelType w:val="multilevel"/>
    <w:tmpl w:val="B6AC99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8802B34"/>
    <w:multiLevelType w:val="hybridMultilevel"/>
    <w:tmpl w:val="5944F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4C3748"/>
    <w:multiLevelType w:val="hybridMultilevel"/>
    <w:tmpl w:val="02C6E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B91A64"/>
    <w:multiLevelType w:val="hybridMultilevel"/>
    <w:tmpl w:val="4552A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E45ED"/>
    <w:multiLevelType w:val="hybridMultilevel"/>
    <w:tmpl w:val="98C43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E330F8"/>
    <w:multiLevelType w:val="hybridMultilevel"/>
    <w:tmpl w:val="A3580BE6"/>
    <w:lvl w:ilvl="0" w:tplc="DFE6FCA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132"/>
    <w:multiLevelType w:val="hybridMultilevel"/>
    <w:tmpl w:val="D11E1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7A7F62"/>
    <w:multiLevelType w:val="hybridMultilevel"/>
    <w:tmpl w:val="3DE02902"/>
    <w:lvl w:ilvl="0" w:tplc="68D63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074C1E"/>
    <w:multiLevelType w:val="hybridMultilevel"/>
    <w:tmpl w:val="9E18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542025">
    <w:abstractNumId w:val="1"/>
  </w:num>
  <w:num w:numId="2" w16cid:durableId="255796074">
    <w:abstractNumId w:val="9"/>
  </w:num>
  <w:num w:numId="3" w16cid:durableId="427964426">
    <w:abstractNumId w:val="0"/>
  </w:num>
  <w:num w:numId="4" w16cid:durableId="1789816368">
    <w:abstractNumId w:val="12"/>
  </w:num>
  <w:num w:numId="5" w16cid:durableId="1727099834">
    <w:abstractNumId w:val="11"/>
  </w:num>
  <w:num w:numId="6" w16cid:durableId="56519648">
    <w:abstractNumId w:val="17"/>
  </w:num>
  <w:num w:numId="7" w16cid:durableId="733504498">
    <w:abstractNumId w:val="4"/>
  </w:num>
  <w:num w:numId="8" w16cid:durableId="511990908">
    <w:abstractNumId w:val="15"/>
  </w:num>
  <w:num w:numId="9" w16cid:durableId="1200975730">
    <w:abstractNumId w:val="6"/>
  </w:num>
  <w:num w:numId="10" w16cid:durableId="1071729811">
    <w:abstractNumId w:val="14"/>
  </w:num>
  <w:num w:numId="11" w16cid:durableId="217136379">
    <w:abstractNumId w:val="16"/>
  </w:num>
  <w:num w:numId="12" w16cid:durableId="741292277">
    <w:abstractNumId w:val="5"/>
  </w:num>
  <w:num w:numId="13" w16cid:durableId="2091190484">
    <w:abstractNumId w:val="18"/>
  </w:num>
  <w:num w:numId="14" w16cid:durableId="564070299">
    <w:abstractNumId w:val="8"/>
  </w:num>
  <w:num w:numId="15" w16cid:durableId="1735732897">
    <w:abstractNumId w:val="7"/>
  </w:num>
  <w:num w:numId="16" w16cid:durableId="668555693">
    <w:abstractNumId w:val="19"/>
  </w:num>
  <w:num w:numId="17" w16cid:durableId="329601691">
    <w:abstractNumId w:val="13"/>
  </w:num>
  <w:num w:numId="18" w16cid:durableId="1230457389">
    <w:abstractNumId w:val="3"/>
  </w:num>
  <w:num w:numId="19" w16cid:durableId="499856042">
    <w:abstractNumId w:val="2"/>
  </w:num>
  <w:num w:numId="20" w16cid:durableId="19251407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2F8B"/>
    <w:rsid w:val="00015683"/>
    <w:rsid w:val="000333FE"/>
    <w:rsid w:val="00054341"/>
    <w:rsid w:val="00063B4E"/>
    <w:rsid w:val="00082EB8"/>
    <w:rsid w:val="00085903"/>
    <w:rsid w:val="000B720A"/>
    <w:rsid w:val="000C21E8"/>
    <w:rsid w:val="000C2ED9"/>
    <w:rsid w:val="000C37BA"/>
    <w:rsid w:val="000C3D73"/>
    <w:rsid w:val="000C4CC1"/>
    <w:rsid w:val="000C7119"/>
    <w:rsid w:val="000D175C"/>
    <w:rsid w:val="000D3CA9"/>
    <w:rsid w:val="000D443A"/>
    <w:rsid w:val="000E0C6F"/>
    <w:rsid w:val="000E6796"/>
    <w:rsid w:val="000F6FAA"/>
    <w:rsid w:val="000F7412"/>
    <w:rsid w:val="00104834"/>
    <w:rsid w:val="00112D4C"/>
    <w:rsid w:val="00122AF5"/>
    <w:rsid w:val="00122E57"/>
    <w:rsid w:val="00126565"/>
    <w:rsid w:val="00134E62"/>
    <w:rsid w:val="001455E8"/>
    <w:rsid w:val="00151343"/>
    <w:rsid w:val="0015370E"/>
    <w:rsid w:val="001600BB"/>
    <w:rsid w:val="001617D4"/>
    <w:rsid w:val="00163963"/>
    <w:rsid w:val="00164E4A"/>
    <w:rsid w:val="001806EC"/>
    <w:rsid w:val="00181D8B"/>
    <w:rsid w:val="00186A68"/>
    <w:rsid w:val="001A01D9"/>
    <w:rsid w:val="001A1C47"/>
    <w:rsid w:val="001A3A0F"/>
    <w:rsid w:val="001A4EF9"/>
    <w:rsid w:val="001A54BC"/>
    <w:rsid w:val="001A685F"/>
    <w:rsid w:val="001B43CA"/>
    <w:rsid w:val="001C611C"/>
    <w:rsid w:val="001C6D7D"/>
    <w:rsid w:val="001C713C"/>
    <w:rsid w:val="001D0F20"/>
    <w:rsid w:val="001D7868"/>
    <w:rsid w:val="001F44C3"/>
    <w:rsid w:val="00202951"/>
    <w:rsid w:val="002116FF"/>
    <w:rsid w:val="0021582D"/>
    <w:rsid w:val="00216AF9"/>
    <w:rsid w:val="002175BE"/>
    <w:rsid w:val="00224399"/>
    <w:rsid w:val="00224818"/>
    <w:rsid w:val="00224F84"/>
    <w:rsid w:val="00225257"/>
    <w:rsid w:val="002450C4"/>
    <w:rsid w:val="00247384"/>
    <w:rsid w:val="00247AD1"/>
    <w:rsid w:val="00255D06"/>
    <w:rsid w:val="00263B05"/>
    <w:rsid w:val="00266F2B"/>
    <w:rsid w:val="00270563"/>
    <w:rsid w:val="002868ED"/>
    <w:rsid w:val="00295AA0"/>
    <w:rsid w:val="002A153C"/>
    <w:rsid w:val="002A276A"/>
    <w:rsid w:val="002A728C"/>
    <w:rsid w:val="002B1981"/>
    <w:rsid w:val="002C3F8C"/>
    <w:rsid w:val="002E4409"/>
    <w:rsid w:val="002F4A06"/>
    <w:rsid w:val="003013B2"/>
    <w:rsid w:val="003061BC"/>
    <w:rsid w:val="00320BDB"/>
    <w:rsid w:val="00343C73"/>
    <w:rsid w:val="00347555"/>
    <w:rsid w:val="00355F6B"/>
    <w:rsid w:val="00372681"/>
    <w:rsid w:val="003753FD"/>
    <w:rsid w:val="0037758B"/>
    <w:rsid w:val="0039088B"/>
    <w:rsid w:val="003909C8"/>
    <w:rsid w:val="00392D93"/>
    <w:rsid w:val="003949EC"/>
    <w:rsid w:val="003A2E44"/>
    <w:rsid w:val="003A440E"/>
    <w:rsid w:val="003B0022"/>
    <w:rsid w:val="003B107D"/>
    <w:rsid w:val="003B7BD6"/>
    <w:rsid w:val="003C016B"/>
    <w:rsid w:val="003C234D"/>
    <w:rsid w:val="003C60D1"/>
    <w:rsid w:val="003D7919"/>
    <w:rsid w:val="003F1E43"/>
    <w:rsid w:val="004020A9"/>
    <w:rsid w:val="004046DC"/>
    <w:rsid w:val="00407547"/>
    <w:rsid w:val="00413B3F"/>
    <w:rsid w:val="00416494"/>
    <w:rsid w:val="004340BF"/>
    <w:rsid w:val="00436595"/>
    <w:rsid w:val="00436AC4"/>
    <w:rsid w:val="00436D2F"/>
    <w:rsid w:val="004415E9"/>
    <w:rsid w:val="00442371"/>
    <w:rsid w:val="0044569B"/>
    <w:rsid w:val="00454EBC"/>
    <w:rsid w:val="0047621B"/>
    <w:rsid w:val="004774E7"/>
    <w:rsid w:val="00481001"/>
    <w:rsid w:val="004B19FE"/>
    <w:rsid w:val="004B244D"/>
    <w:rsid w:val="004C3478"/>
    <w:rsid w:val="004D0864"/>
    <w:rsid w:val="004D135D"/>
    <w:rsid w:val="004D5BE8"/>
    <w:rsid w:val="004D774E"/>
    <w:rsid w:val="004E1A6E"/>
    <w:rsid w:val="004F0AD8"/>
    <w:rsid w:val="004F2268"/>
    <w:rsid w:val="004F4232"/>
    <w:rsid w:val="0050076A"/>
    <w:rsid w:val="00501DD5"/>
    <w:rsid w:val="00503794"/>
    <w:rsid w:val="0051549E"/>
    <w:rsid w:val="00522CD4"/>
    <w:rsid w:val="005305F0"/>
    <w:rsid w:val="00550453"/>
    <w:rsid w:val="00551573"/>
    <w:rsid w:val="00551D47"/>
    <w:rsid w:val="0058026D"/>
    <w:rsid w:val="00581FA5"/>
    <w:rsid w:val="0058262E"/>
    <w:rsid w:val="00582A5A"/>
    <w:rsid w:val="00583CF4"/>
    <w:rsid w:val="005855B3"/>
    <w:rsid w:val="0059069C"/>
    <w:rsid w:val="005937F1"/>
    <w:rsid w:val="005A4344"/>
    <w:rsid w:val="005B5767"/>
    <w:rsid w:val="005C4B2B"/>
    <w:rsid w:val="005D4188"/>
    <w:rsid w:val="005E1D38"/>
    <w:rsid w:val="005E2D52"/>
    <w:rsid w:val="005E3D6D"/>
    <w:rsid w:val="00632AA0"/>
    <w:rsid w:val="0064145C"/>
    <w:rsid w:val="00643672"/>
    <w:rsid w:val="00654894"/>
    <w:rsid w:val="00656B49"/>
    <w:rsid w:val="006759C4"/>
    <w:rsid w:val="00680195"/>
    <w:rsid w:val="0068508C"/>
    <w:rsid w:val="00687AFE"/>
    <w:rsid w:val="006A69C7"/>
    <w:rsid w:val="006B7454"/>
    <w:rsid w:val="006C012F"/>
    <w:rsid w:val="006C4363"/>
    <w:rsid w:val="006D3F52"/>
    <w:rsid w:val="006D60DC"/>
    <w:rsid w:val="007005E4"/>
    <w:rsid w:val="007047A7"/>
    <w:rsid w:val="00710EBB"/>
    <w:rsid w:val="00716201"/>
    <w:rsid w:val="00733B34"/>
    <w:rsid w:val="007353DD"/>
    <w:rsid w:val="007408A3"/>
    <w:rsid w:val="00743031"/>
    <w:rsid w:val="007437D9"/>
    <w:rsid w:val="00773523"/>
    <w:rsid w:val="007738BC"/>
    <w:rsid w:val="007813DE"/>
    <w:rsid w:val="00783593"/>
    <w:rsid w:val="00791D44"/>
    <w:rsid w:val="007A0A3D"/>
    <w:rsid w:val="007A73EE"/>
    <w:rsid w:val="007C0074"/>
    <w:rsid w:val="007C54F9"/>
    <w:rsid w:val="007C6834"/>
    <w:rsid w:val="007E0110"/>
    <w:rsid w:val="007E2F1F"/>
    <w:rsid w:val="007E6098"/>
    <w:rsid w:val="007E77DA"/>
    <w:rsid w:val="007F63EF"/>
    <w:rsid w:val="00802525"/>
    <w:rsid w:val="008078C6"/>
    <w:rsid w:val="00813FEF"/>
    <w:rsid w:val="00814C23"/>
    <w:rsid w:val="0082063B"/>
    <w:rsid w:val="008213A6"/>
    <w:rsid w:val="00837D02"/>
    <w:rsid w:val="00856DF4"/>
    <w:rsid w:val="0086163C"/>
    <w:rsid w:val="008632E4"/>
    <w:rsid w:val="00864AFF"/>
    <w:rsid w:val="00866585"/>
    <w:rsid w:val="00872A2C"/>
    <w:rsid w:val="00872F81"/>
    <w:rsid w:val="00882A2E"/>
    <w:rsid w:val="008909A0"/>
    <w:rsid w:val="0089237C"/>
    <w:rsid w:val="008927DE"/>
    <w:rsid w:val="008A158E"/>
    <w:rsid w:val="008A237D"/>
    <w:rsid w:val="008A4B96"/>
    <w:rsid w:val="008B6BE9"/>
    <w:rsid w:val="008B7681"/>
    <w:rsid w:val="008B7EAF"/>
    <w:rsid w:val="008C741A"/>
    <w:rsid w:val="008D000F"/>
    <w:rsid w:val="008D1B70"/>
    <w:rsid w:val="008E0416"/>
    <w:rsid w:val="008E264D"/>
    <w:rsid w:val="008E553E"/>
    <w:rsid w:val="008F046B"/>
    <w:rsid w:val="008F1019"/>
    <w:rsid w:val="008F2557"/>
    <w:rsid w:val="008F2EC0"/>
    <w:rsid w:val="00905779"/>
    <w:rsid w:val="0092099A"/>
    <w:rsid w:val="00920CE8"/>
    <w:rsid w:val="00942C67"/>
    <w:rsid w:val="00953580"/>
    <w:rsid w:val="0095709C"/>
    <w:rsid w:val="00965ED4"/>
    <w:rsid w:val="00973D6B"/>
    <w:rsid w:val="00981367"/>
    <w:rsid w:val="00982DC4"/>
    <w:rsid w:val="00983993"/>
    <w:rsid w:val="0098699F"/>
    <w:rsid w:val="009B1367"/>
    <w:rsid w:val="009B21B0"/>
    <w:rsid w:val="009D175C"/>
    <w:rsid w:val="009D3D41"/>
    <w:rsid w:val="009E131F"/>
    <w:rsid w:val="009E1398"/>
    <w:rsid w:val="009E47AD"/>
    <w:rsid w:val="009E525E"/>
    <w:rsid w:val="009F68B7"/>
    <w:rsid w:val="00A029C8"/>
    <w:rsid w:val="00A11DF4"/>
    <w:rsid w:val="00A12836"/>
    <w:rsid w:val="00A1534B"/>
    <w:rsid w:val="00A23864"/>
    <w:rsid w:val="00A2399C"/>
    <w:rsid w:val="00A25F2E"/>
    <w:rsid w:val="00A27390"/>
    <w:rsid w:val="00A32643"/>
    <w:rsid w:val="00A4036C"/>
    <w:rsid w:val="00A51332"/>
    <w:rsid w:val="00A522AB"/>
    <w:rsid w:val="00A5253C"/>
    <w:rsid w:val="00A54B33"/>
    <w:rsid w:val="00A6601B"/>
    <w:rsid w:val="00A710B2"/>
    <w:rsid w:val="00A7283A"/>
    <w:rsid w:val="00A7459A"/>
    <w:rsid w:val="00A75AB5"/>
    <w:rsid w:val="00A82FEF"/>
    <w:rsid w:val="00A83AD0"/>
    <w:rsid w:val="00A91CFB"/>
    <w:rsid w:val="00AA1C73"/>
    <w:rsid w:val="00AA43CA"/>
    <w:rsid w:val="00AA6D49"/>
    <w:rsid w:val="00AB7BB3"/>
    <w:rsid w:val="00AC4833"/>
    <w:rsid w:val="00AC70B9"/>
    <w:rsid w:val="00AD191C"/>
    <w:rsid w:val="00AD226E"/>
    <w:rsid w:val="00AD304A"/>
    <w:rsid w:val="00AD530D"/>
    <w:rsid w:val="00AE0507"/>
    <w:rsid w:val="00AE1B6A"/>
    <w:rsid w:val="00AE63CD"/>
    <w:rsid w:val="00AF0673"/>
    <w:rsid w:val="00B03424"/>
    <w:rsid w:val="00B036F8"/>
    <w:rsid w:val="00B23623"/>
    <w:rsid w:val="00B24ECA"/>
    <w:rsid w:val="00B317FB"/>
    <w:rsid w:val="00B33C04"/>
    <w:rsid w:val="00B402CA"/>
    <w:rsid w:val="00B47C16"/>
    <w:rsid w:val="00B558E2"/>
    <w:rsid w:val="00B56411"/>
    <w:rsid w:val="00B57299"/>
    <w:rsid w:val="00B579A3"/>
    <w:rsid w:val="00B57C24"/>
    <w:rsid w:val="00B608CE"/>
    <w:rsid w:val="00B679B8"/>
    <w:rsid w:val="00B70309"/>
    <w:rsid w:val="00B73901"/>
    <w:rsid w:val="00B8603A"/>
    <w:rsid w:val="00B90B88"/>
    <w:rsid w:val="00B92787"/>
    <w:rsid w:val="00B93735"/>
    <w:rsid w:val="00BA1DA0"/>
    <w:rsid w:val="00BB0374"/>
    <w:rsid w:val="00BC120E"/>
    <w:rsid w:val="00BC488E"/>
    <w:rsid w:val="00BD43B8"/>
    <w:rsid w:val="00BD5F57"/>
    <w:rsid w:val="00BE1662"/>
    <w:rsid w:val="00BE30D3"/>
    <w:rsid w:val="00BE74D8"/>
    <w:rsid w:val="00BF06C0"/>
    <w:rsid w:val="00BF337C"/>
    <w:rsid w:val="00C1217A"/>
    <w:rsid w:val="00C176DF"/>
    <w:rsid w:val="00C2291F"/>
    <w:rsid w:val="00C2395D"/>
    <w:rsid w:val="00C260CD"/>
    <w:rsid w:val="00C33465"/>
    <w:rsid w:val="00C37A3A"/>
    <w:rsid w:val="00C42446"/>
    <w:rsid w:val="00C546B0"/>
    <w:rsid w:val="00C54F3C"/>
    <w:rsid w:val="00C56B53"/>
    <w:rsid w:val="00C64249"/>
    <w:rsid w:val="00C65F9A"/>
    <w:rsid w:val="00C66149"/>
    <w:rsid w:val="00C67B9B"/>
    <w:rsid w:val="00C7204F"/>
    <w:rsid w:val="00C73B91"/>
    <w:rsid w:val="00C74231"/>
    <w:rsid w:val="00C83633"/>
    <w:rsid w:val="00C93566"/>
    <w:rsid w:val="00C948E6"/>
    <w:rsid w:val="00C96AE2"/>
    <w:rsid w:val="00CA79E4"/>
    <w:rsid w:val="00CB0453"/>
    <w:rsid w:val="00CC4F53"/>
    <w:rsid w:val="00CC5192"/>
    <w:rsid w:val="00CC64F3"/>
    <w:rsid w:val="00CD008B"/>
    <w:rsid w:val="00CD35FD"/>
    <w:rsid w:val="00CD5EA7"/>
    <w:rsid w:val="00CD7027"/>
    <w:rsid w:val="00CF3718"/>
    <w:rsid w:val="00CF4111"/>
    <w:rsid w:val="00CF5297"/>
    <w:rsid w:val="00D030FB"/>
    <w:rsid w:val="00D03270"/>
    <w:rsid w:val="00D115A2"/>
    <w:rsid w:val="00D12DAE"/>
    <w:rsid w:val="00D13DDA"/>
    <w:rsid w:val="00D1405E"/>
    <w:rsid w:val="00D22A05"/>
    <w:rsid w:val="00D22A3B"/>
    <w:rsid w:val="00D2582C"/>
    <w:rsid w:val="00D27B0B"/>
    <w:rsid w:val="00D27D98"/>
    <w:rsid w:val="00D36719"/>
    <w:rsid w:val="00D44396"/>
    <w:rsid w:val="00D47B58"/>
    <w:rsid w:val="00D65F79"/>
    <w:rsid w:val="00D833BF"/>
    <w:rsid w:val="00D85970"/>
    <w:rsid w:val="00D90FA4"/>
    <w:rsid w:val="00D97F2F"/>
    <w:rsid w:val="00DA3ABB"/>
    <w:rsid w:val="00DA43C6"/>
    <w:rsid w:val="00DB70A5"/>
    <w:rsid w:val="00DC407A"/>
    <w:rsid w:val="00DD0E39"/>
    <w:rsid w:val="00DE0081"/>
    <w:rsid w:val="00DE4182"/>
    <w:rsid w:val="00DF03BC"/>
    <w:rsid w:val="00E1586D"/>
    <w:rsid w:val="00E20058"/>
    <w:rsid w:val="00E2070B"/>
    <w:rsid w:val="00E27A64"/>
    <w:rsid w:val="00E30008"/>
    <w:rsid w:val="00E3043D"/>
    <w:rsid w:val="00E52249"/>
    <w:rsid w:val="00E82388"/>
    <w:rsid w:val="00E907F5"/>
    <w:rsid w:val="00E915FB"/>
    <w:rsid w:val="00E9382F"/>
    <w:rsid w:val="00EB6EB5"/>
    <w:rsid w:val="00EC1956"/>
    <w:rsid w:val="00EC27A9"/>
    <w:rsid w:val="00EC5E75"/>
    <w:rsid w:val="00ED478E"/>
    <w:rsid w:val="00EE29F8"/>
    <w:rsid w:val="00EE5617"/>
    <w:rsid w:val="00EF094D"/>
    <w:rsid w:val="00EF18B6"/>
    <w:rsid w:val="00EF4CD7"/>
    <w:rsid w:val="00EF77C7"/>
    <w:rsid w:val="00EF79E8"/>
    <w:rsid w:val="00F0325B"/>
    <w:rsid w:val="00F20951"/>
    <w:rsid w:val="00F214D6"/>
    <w:rsid w:val="00F319B4"/>
    <w:rsid w:val="00F32CAA"/>
    <w:rsid w:val="00F32EBB"/>
    <w:rsid w:val="00F371F9"/>
    <w:rsid w:val="00F43D34"/>
    <w:rsid w:val="00F512D4"/>
    <w:rsid w:val="00F656C3"/>
    <w:rsid w:val="00F668F1"/>
    <w:rsid w:val="00F739C9"/>
    <w:rsid w:val="00F741B3"/>
    <w:rsid w:val="00F82254"/>
    <w:rsid w:val="00F92F24"/>
    <w:rsid w:val="00FA15AE"/>
    <w:rsid w:val="00FA2C7F"/>
    <w:rsid w:val="00FB7D81"/>
    <w:rsid w:val="00FD074F"/>
    <w:rsid w:val="00FD7CAA"/>
    <w:rsid w:val="00FE586C"/>
    <w:rsid w:val="00FF1B4B"/>
    <w:rsid w:val="00FF2F31"/>
    <w:rsid w:val="00FF37C3"/>
    <w:rsid w:val="00FF3897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6F53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,List Paragraph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Poprawka">
    <w:name w:val="Revision"/>
    <w:hidden/>
    <w:uiPriority w:val="99"/>
    <w:semiHidden/>
    <w:rsid w:val="006A69C7"/>
    <w:pPr>
      <w:spacing w:after="0" w:line="240" w:lineRule="auto"/>
    </w:pPr>
  </w:style>
  <w:style w:type="paragraph" w:customStyle="1" w:styleId="Default">
    <w:name w:val="Default"/>
    <w:basedOn w:val="Normalny"/>
    <w:rsid w:val="00872F8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basedOn w:val="Domylnaczcionkaakapitu"/>
    <w:link w:val="Akapitzlist"/>
    <w:uiPriority w:val="34"/>
    <w:qFormat/>
    <w:rsid w:val="001C713C"/>
  </w:style>
  <w:style w:type="character" w:customStyle="1" w:styleId="Other">
    <w:name w:val="Other_"/>
    <w:basedOn w:val="Domylnaczcionkaakapitu"/>
    <w:link w:val="Other0"/>
    <w:rsid w:val="00C74231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C74231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2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2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52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B3"/>
  </w:style>
  <w:style w:type="paragraph" w:styleId="Stopka">
    <w:name w:val="footer"/>
    <w:basedOn w:val="Normalny"/>
    <w:link w:val="StopkaZnak"/>
    <w:uiPriority w:val="99"/>
    <w:unhideWhenUsed/>
    <w:rsid w:val="00AB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B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43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43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3107</Words>
  <Characters>18646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Piotr</cp:lastModifiedBy>
  <cp:revision>4</cp:revision>
  <cp:lastPrinted>2023-02-20T08:32:00Z</cp:lastPrinted>
  <dcterms:created xsi:type="dcterms:W3CDTF">2023-02-22T08:45:00Z</dcterms:created>
  <dcterms:modified xsi:type="dcterms:W3CDTF">2023-02-22T12:54:00Z</dcterms:modified>
</cp:coreProperties>
</file>