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67D2C" w14:textId="109BB84A" w:rsidR="00317533" w:rsidRDefault="00317533" w:rsidP="008D3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eastAsia="pl-PL"/>
        </w:rPr>
      </w:pPr>
      <w:r w:rsidRPr="008D3D8A">
        <w:rPr>
          <w:rFonts w:ascii="Times New Roman" w:eastAsia="Times New Roman" w:hAnsi="Times New Roman"/>
          <w:szCs w:val="28"/>
          <w:lang w:eastAsia="pl-PL"/>
        </w:rPr>
        <w:t>Załącznik</w:t>
      </w:r>
      <w:r w:rsidR="008D3D8A">
        <w:rPr>
          <w:rFonts w:ascii="Times New Roman" w:eastAsia="Times New Roman" w:hAnsi="Times New Roman"/>
          <w:szCs w:val="28"/>
          <w:lang w:eastAsia="pl-PL"/>
        </w:rPr>
        <w:t xml:space="preserve"> </w:t>
      </w:r>
      <w:r w:rsidRPr="008D3D8A">
        <w:rPr>
          <w:rFonts w:ascii="Times New Roman" w:eastAsia="Times New Roman" w:hAnsi="Times New Roman"/>
          <w:szCs w:val="28"/>
          <w:lang w:eastAsia="pl-PL"/>
        </w:rPr>
        <w:t>B.</w:t>
      </w:r>
      <w:r w:rsidR="008D3D8A">
        <w:rPr>
          <w:rFonts w:ascii="Times New Roman" w:eastAsia="Times New Roman" w:hAnsi="Times New Roman"/>
          <w:szCs w:val="28"/>
          <w:lang w:eastAsia="pl-PL"/>
        </w:rPr>
        <w:t>112.</w:t>
      </w:r>
    </w:p>
    <w:p w14:paraId="3C89C32A" w14:textId="77777777" w:rsidR="008D3D8A" w:rsidRPr="008D3D8A" w:rsidRDefault="008D3D8A" w:rsidP="008D3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eastAsia="pl-PL"/>
        </w:rPr>
      </w:pPr>
    </w:p>
    <w:p w14:paraId="33B7B84F" w14:textId="071AC32B" w:rsidR="00317533" w:rsidRPr="008D3D8A" w:rsidRDefault="00317533" w:rsidP="008D3D8A">
      <w:pPr>
        <w:spacing w:after="24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8D3D8A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8D3D8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D3D8A">
        <w:rPr>
          <w:rFonts w:ascii="Times New Roman" w:eastAsia="Times New Roman" w:hAnsi="Times New Roman"/>
          <w:b/>
          <w:sz w:val="28"/>
          <w:szCs w:val="28"/>
          <w:lang w:eastAsia="pl-PL"/>
        </w:rPr>
        <w:t>MUKOWISCYDOZY</w:t>
      </w:r>
      <w:r w:rsidR="008D3D8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D3D8A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8D3D8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D3D8A">
        <w:rPr>
          <w:rFonts w:ascii="Times New Roman" w:eastAsia="Times New Roman" w:hAnsi="Times New Roman"/>
          <w:b/>
          <w:sz w:val="28"/>
          <w:szCs w:val="28"/>
          <w:lang w:eastAsia="pl-PL"/>
        </w:rPr>
        <w:t>E84)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5"/>
        <w:gridCol w:w="3827"/>
        <w:gridCol w:w="5750"/>
      </w:tblGrid>
      <w:tr w:rsidR="00317533" w:rsidRPr="0052308C" w14:paraId="22FAABB0" w14:textId="77777777" w:rsidTr="0052308C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864B" w14:textId="0D81D95D" w:rsidR="00317533" w:rsidRPr="0052308C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317533" w:rsidRPr="0052308C" w14:paraId="0B1DDD93" w14:textId="77777777" w:rsidTr="008D3D8A">
        <w:trPr>
          <w:trHeight w:val="567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93A82" w14:textId="77777777" w:rsidR="00317533" w:rsidRPr="0052308C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65036" w14:textId="12F7225E" w:rsidR="00317533" w:rsidRPr="0052308C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0104C" w14:textId="7498A3D1" w:rsidR="00317533" w:rsidRPr="0052308C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66DA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317533" w:rsidRPr="0052308C" w14:paraId="2643798C" w14:textId="77777777" w:rsidTr="008D3D8A"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F917" w14:textId="444F5487" w:rsidR="00317533" w:rsidRPr="0052308C" w:rsidRDefault="00317533" w:rsidP="008D3D8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665B308" w14:textId="36E9E5CD" w:rsidR="00317533" w:rsidRPr="008D3D8A" w:rsidRDefault="00317533" w:rsidP="008D3D8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D8A">
              <w:rPr>
                <w:rFonts w:ascii="Times New Roman" w:hAnsi="Times New Roman"/>
                <w:sz w:val="20"/>
                <w:szCs w:val="20"/>
              </w:rPr>
              <w:t>Do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są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chorzy,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spełniający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wszystkie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poniższe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kryteria:</w:t>
            </w:r>
          </w:p>
          <w:p w14:paraId="46922547" w14:textId="763ADF88" w:rsidR="00317533" w:rsidRPr="0052308C" w:rsidRDefault="008D3D8A" w:rsidP="008D3D8A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otwierdzone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rozpoznanie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mukowiscydozy;</w:t>
            </w:r>
          </w:p>
          <w:p w14:paraId="6FACF9CB" w14:textId="52160DA2" w:rsidR="00317533" w:rsidRPr="0052308C" w:rsidRDefault="008D3D8A" w:rsidP="008D3D8A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otwierdzone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wystąpienie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jednej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poniżej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wymienionych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mutacji,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56E4" w:rsidRPr="0052308C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przynajmniej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7533" w:rsidRPr="0052308C">
              <w:rPr>
                <w:rFonts w:ascii="Times New Roman" w:hAnsi="Times New Roman"/>
                <w:sz w:val="20"/>
                <w:szCs w:val="20"/>
              </w:rPr>
              <w:t>allelu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CFTR: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mutacja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bramkująca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CFTR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(klasy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III):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G551D,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G1244E,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G1349D,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G178R,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G551S,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S1251N,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S1255P,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S549N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S549R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chorych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wieku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miesięcy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starszych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CB3CCD3" w14:textId="07DB2C8C" w:rsidR="004F0B79" w:rsidRPr="0052308C" w:rsidRDefault="008D3D8A" w:rsidP="008D3D8A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egularna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opieka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ośrodka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specjalizującego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opiece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nad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chorymi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mukowiscydozę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(minimum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udokumentowane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konsultacje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lekarskie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ciągu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ostatnich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miesięcy)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5BD0CFE4" w14:textId="663794B1" w:rsidR="004F0B79" w:rsidRDefault="008D3D8A" w:rsidP="008D3D8A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ozytywna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opinia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minimum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lekarzy</w:t>
            </w:r>
            <w:r w:rsidR="00363BE2" w:rsidRPr="0052308C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tym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jednego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najmniej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10-letni</w:t>
            </w:r>
            <w:r w:rsidR="00363BE2" w:rsidRPr="0052308C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doświadczenie</w:t>
            </w:r>
            <w:r w:rsidR="00363BE2" w:rsidRPr="0052308C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kliniczn</w:t>
            </w:r>
            <w:r w:rsidR="00363BE2" w:rsidRPr="0052308C">
              <w:rPr>
                <w:rFonts w:ascii="Times New Roman" w:hAnsi="Times New Roman"/>
                <w:bCs/>
                <w:sz w:val="20"/>
                <w:szCs w:val="20"/>
              </w:rPr>
              <w:t>ym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pracy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chorymi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0B79" w:rsidRPr="0052308C">
              <w:rPr>
                <w:rFonts w:ascii="Times New Roman" w:hAnsi="Times New Roman"/>
                <w:bCs/>
                <w:sz w:val="20"/>
                <w:szCs w:val="20"/>
              </w:rPr>
              <w:t>mukowiscydozę.</w:t>
            </w:r>
          </w:p>
          <w:p w14:paraId="6F055BE3" w14:textId="77777777" w:rsidR="008D3D8A" w:rsidRPr="0052308C" w:rsidRDefault="008D3D8A" w:rsidP="008D3D8A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9F7DB41" w14:textId="43E45A37" w:rsidR="00317533" w:rsidRPr="0052308C" w:rsidRDefault="00317533" w:rsidP="008D3D8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8D3D8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sz w:val="20"/>
                <w:szCs w:val="20"/>
              </w:rPr>
              <w:t>uniemożliwiające</w:t>
            </w:r>
            <w:r w:rsidR="008D3D8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sz w:val="20"/>
                <w:szCs w:val="20"/>
              </w:rPr>
              <w:t>włączenie</w:t>
            </w:r>
            <w:r w:rsidR="008D3D8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8D3D8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14A325DB" w14:textId="4649D6D6" w:rsidR="00317533" w:rsidRPr="0052308C" w:rsidRDefault="008D3D8A" w:rsidP="008D3D8A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adwrażliwość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iwakaftor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jakąkolwiek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substancję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pomocniczą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zawartą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leku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51F002D9" w14:textId="64E7D980" w:rsidR="00317533" w:rsidRPr="0052308C" w:rsidRDefault="008D3D8A" w:rsidP="008D3D8A">
            <w:pPr>
              <w:numPr>
                <w:ilvl w:val="2"/>
                <w:numId w:val="9"/>
              </w:num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tan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przeszczepieniu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narządu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7FAA12D3" w14:textId="01F9023E" w:rsidR="00317533" w:rsidRPr="0052308C" w:rsidRDefault="008D3D8A" w:rsidP="008D3D8A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iąża,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planowanie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ciąży,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karmienie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piersią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3AA11A3F" w14:textId="3422C9B9" w:rsidR="00317533" w:rsidRPr="0052308C" w:rsidRDefault="008D3D8A" w:rsidP="008D3D8A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ktywność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aminotransferazy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alaninowej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asparaginowej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5-krotnie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większa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od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górnej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granicy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normy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5178A473" w14:textId="51CB2278" w:rsidR="00317533" w:rsidRPr="0052308C" w:rsidRDefault="008D3D8A" w:rsidP="008D3D8A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ziedziczna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nietolerancja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galaktozy,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niedobór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laktazy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(typu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Lapp</w:t>
            </w:r>
            <w:proofErr w:type="spellEnd"/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zespół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złego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wchłaniania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glukozy-galaktozy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6F7AF7A0" w14:textId="1C86EBA3" w:rsidR="00413896" w:rsidRPr="0052308C" w:rsidRDefault="008D3D8A" w:rsidP="008D3D8A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onieczność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stosowania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silnych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induktorów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izoenzymu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CYP3A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D361A" w:rsidRPr="0052308C">
              <w:rPr>
                <w:rFonts w:ascii="Times New Roman" w:hAnsi="Times New Roman"/>
                <w:bCs/>
                <w:sz w:val="20"/>
                <w:szCs w:val="20"/>
              </w:rPr>
              <w:t>takich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D361A" w:rsidRPr="0052308C">
              <w:rPr>
                <w:rFonts w:ascii="Times New Roman" w:hAnsi="Times New Roman"/>
                <w:bCs/>
                <w:sz w:val="20"/>
                <w:szCs w:val="20"/>
              </w:rPr>
              <w:t>jak</w:t>
            </w:r>
            <w:r w:rsidR="00D0612B" w:rsidRPr="0052308C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0612B" w:rsidRPr="0052308C">
              <w:rPr>
                <w:rFonts w:ascii="Times New Roman" w:hAnsi="Times New Roman"/>
                <w:bCs/>
                <w:sz w:val="20"/>
                <w:szCs w:val="20"/>
              </w:rPr>
              <w:t>ryfampicyna</w:t>
            </w:r>
            <w:proofErr w:type="spellEnd"/>
            <w:r w:rsidR="00D0612B" w:rsidRPr="0052308C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13ADF" w:rsidRPr="0052308C">
              <w:rPr>
                <w:rFonts w:ascii="Times New Roman" w:hAnsi="Times New Roman"/>
                <w:bCs/>
                <w:sz w:val="20"/>
                <w:szCs w:val="20"/>
              </w:rPr>
              <w:t>ryfabutyna</w:t>
            </w:r>
            <w:proofErr w:type="spellEnd"/>
            <w:r w:rsidR="00B13ADF" w:rsidRPr="0052308C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13ADF" w:rsidRPr="0052308C">
              <w:rPr>
                <w:rFonts w:ascii="Times New Roman" w:hAnsi="Times New Roman"/>
                <w:bCs/>
                <w:sz w:val="20"/>
                <w:szCs w:val="20"/>
              </w:rPr>
              <w:t>fenobarbital</w:t>
            </w:r>
            <w:proofErr w:type="spellEnd"/>
            <w:r w:rsidR="00B13ADF" w:rsidRPr="0052308C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13ADF" w:rsidRPr="0052308C">
              <w:rPr>
                <w:rFonts w:ascii="Times New Roman" w:hAnsi="Times New Roman"/>
                <w:bCs/>
                <w:sz w:val="20"/>
                <w:szCs w:val="20"/>
              </w:rPr>
              <w:t>karbamazepina,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13ADF" w:rsidRPr="0052308C">
              <w:rPr>
                <w:rFonts w:ascii="Times New Roman" w:hAnsi="Times New Roman"/>
                <w:bCs/>
                <w:sz w:val="20"/>
                <w:szCs w:val="20"/>
              </w:rPr>
              <w:t>fenytoina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13ADF" w:rsidRPr="0052308C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13ADF" w:rsidRPr="0052308C">
              <w:rPr>
                <w:rFonts w:ascii="Times New Roman" w:hAnsi="Times New Roman"/>
                <w:bCs/>
                <w:sz w:val="20"/>
                <w:szCs w:val="20"/>
              </w:rPr>
              <w:t>ziele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13ADF" w:rsidRPr="0052308C">
              <w:rPr>
                <w:rFonts w:ascii="Times New Roman" w:hAnsi="Times New Roman"/>
                <w:bCs/>
                <w:sz w:val="20"/>
                <w:szCs w:val="20"/>
              </w:rPr>
              <w:t>dziurawca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1761EEA8" w14:textId="17E6500E" w:rsidR="000362F2" w:rsidRDefault="008D3D8A" w:rsidP="008D3D8A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</w:t>
            </w:r>
            <w:r w:rsidR="000362F2" w:rsidRPr="0052308C">
              <w:rPr>
                <w:rFonts w:ascii="Times New Roman" w:hAnsi="Times New Roman"/>
                <w:bCs/>
                <w:sz w:val="20"/>
                <w:szCs w:val="20"/>
              </w:rPr>
              <w:t>rak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362F2" w:rsidRPr="0052308C">
              <w:rPr>
                <w:rFonts w:ascii="Times New Roman" w:hAnsi="Times New Roman"/>
                <w:bCs/>
                <w:sz w:val="20"/>
                <w:szCs w:val="20"/>
              </w:rPr>
              <w:t>zgody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362F2" w:rsidRPr="0052308C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40618" w:rsidRPr="0052308C">
              <w:rPr>
                <w:rFonts w:ascii="Times New Roman" w:hAnsi="Times New Roman"/>
                <w:bCs/>
                <w:sz w:val="20"/>
                <w:szCs w:val="20"/>
              </w:rPr>
              <w:t>monitorowanie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efektów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klinicznych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leczenia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podstawie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danych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zebranych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przez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świadczeniodawcę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78A8" w:rsidRPr="0052308C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B6898" w:rsidRPr="0052308C">
              <w:rPr>
                <w:rFonts w:ascii="Times New Roman" w:hAnsi="Times New Roman"/>
                <w:bCs/>
                <w:sz w:val="20"/>
                <w:szCs w:val="20"/>
              </w:rPr>
              <w:t>płatnika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53527"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53527" w:rsidRPr="0052308C">
              <w:rPr>
                <w:rFonts w:ascii="Times New Roman" w:hAnsi="Times New Roman"/>
                <w:bCs/>
                <w:sz w:val="20"/>
                <w:szCs w:val="20"/>
              </w:rPr>
              <w:t>systemach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53527" w:rsidRPr="0052308C">
              <w:rPr>
                <w:rFonts w:ascii="Times New Roman" w:hAnsi="Times New Roman"/>
                <w:bCs/>
                <w:sz w:val="20"/>
                <w:szCs w:val="20"/>
              </w:rPr>
              <w:t>informatycznych.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53F5010A" w14:textId="77777777" w:rsidR="008D3D8A" w:rsidRPr="0052308C" w:rsidRDefault="008D3D8A" w:rsidP="008D3D8A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9B2B989" w14:textId="616F18BF" w:rsidR="00317533" w:rsidRPr="0052308C" w:rsidRDefault="00317533" w:rsidP="008D3D8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53BA9783" w14:textId="178B338B" w:rsidR="00317533" w:rsidRDefault="00317533" w:rsidP="008D3D8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D8A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trwa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do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czasu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przez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prowadzącego,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doświadczonego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z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mukowiscydozą,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o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z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31C09B64" w14:textId="77777777" w:rsidR="008D3D8A" w:rsidRPr="008D3D8A" w:rsidRDefault="008D3D8A" w:rsidP="008D3D8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53645E" w14:textId="6D35B2C0" w:rsidR="00317533" w:rsidRPr="0052308C" w:rsidRDefault="00317533" w:rsidP="008D3D8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723E3393" w14:textId="6D50DDF1" w:rsidR="00317533" w:rsidRPr="0052308C" w:rsidRDefault="008D3D8A" w:rsidP="008D3D8A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ystąpienie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objawów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nadwrażliwości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7533" w:rsidRPr="0052308C">
              <w:rPr>
                <w:rFonts w:ascii="Times New Roman" w:hAnsi="Times New Roman"/>
                <w:sz w:val="20"/>
                <w:szCs w:val="20"/>
              </w:rPr>
              <w:t>iwakaftor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którykolwiek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ze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składników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preparatu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4D8EE7" w14:textId="306EB1DD" w:rsidR="00317533" w:rsidRPr="0052308C" w:rsidRDefault="008D3D8A" w:rsidP="008D3D8A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rzeszczepienie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narządu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702189" w14:textId="4B698ADE" w:rsidR="00317533" w:rsidRPr="0052308C" w:rsidRDefault="008D3D8A" w:rsidP="008D3D8A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ktywność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aminotransferazy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alaninowej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asparaginowej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5-krotnie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większa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od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górnej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granicy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bCs/>
                <w:sz w:val="20"/>
                <w:szCs w:val="20"/>
              </w:rPr>
              <w:t>normy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(po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ustabilizowaniu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tych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enzymów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poziomie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poniżej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5-krotności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górnej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granicy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normy,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można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rozważyć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powrót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leczenia,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bez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ponownej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chorego)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C37B02" w14:textId="443802DB" w:rsidR="00317533" w:rsidRPr="0052308C" w:rsidRDefault="008D3D8A" w:rsidP="008D3D8A">
            <w:pPr>
              <w:pStyle w:val="Akapitzlist"/>
              <w:numPr>
                <w:ilvl w:val="2"/>
                <w:numId w:val="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onieczność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stosowania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silnych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induktorów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izoenzymu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CYP3A</w:t>
            </w:r>
            <w:r w:rsidR="00A800F5" w:rsidRPr="0052308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takich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jak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00F5" w:rsidRPr="0052308C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800F5" w:rsidRPr="0052308C">
              <w:rPr>
                <w:rFonts w:ascii="Times New Roman" w:hAnsi="Times New Roman"/>
                <w:sz w:val="20"/>
                <w:szCs w:val="20"/>
              </w:rPr>
              <w:t>ryfampicyna</w:t>
            </w:r>
            <w:proofErr w:type="spellEnd"/>
            <w:r w:rsidR="00A800F5" w:rsidRPr="0052308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13896" w:rsidRPr="0052308C">
              <w:rPr>
                <w:rFonts w:ascii="Times New Roman" w:hAnsi="Times New Roman"/>
                <w:sz w:val="20"/>
                <w:szCs w:val="20"/>
              </w:rPr>
              <w:t>ryfabutyna</w:t>
            </w:r>
            <w:proofErr w:type="spellEnd"/>
            <w:r w:rsidR="00413896" w:rsidRPr="0052308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13896" w:rsidRPr="0052308C">
              <w:rPr>
                <w:rFonts w:ascii="Times New Roman" w:hAnsi="Times New Roman"/>
                <w:sz w:val="20"/>
                <w:szCs w:val="20"/>
              </w:rPr>
              <w:t>fenobarbital</w:t>
            </w:r>
            <w:proofErr w:type="spellEnd"/>
            <w:r w:rsidR="00413896" w:rsidRPr="0052308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karbamazepina,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fenytoina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ziele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896" w:rsidRPr="0052308C">
              <w:rPr>
                <w:rFonts w:ascii="Times New Roman" w:hAnsi="Times New Roman"/>
                <w:sz w:val="20"/>
                <w:szCs w:val="20"/>
              </w:rPr>
              <w:t>dziurawca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52C754" w14:textId="6DECB7CA" w:rsidR="00317533" w:rsidRPr="0052308C" w:rsidRDefault="008D3D8A" w:rsidP="008D3D8A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iężkie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zaburzenia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funkcjonowania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wątroby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(klasa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52308C">
              <w:rPr>
                <w:rFonts w:ascii="Times New Roman" w:hAnsi="Times New Roman"/>
                <w:sz w:val="20"/>
                <w:szCs w:val="20"/>
              </w:rPr>
              <w:t>skali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7533" w:rsidRPr="0052308C">
              <w:rPr>
                <w:rFonts w:ascii="Times New Roman" w:hAnsi="Times New Roman"/>
                <w:sz w:val="20"/>
                <w:szCs w:val="20"/>
              </w:rPr>
              <w:t>Childa-Pugha</w:t>
            </w:r>
            <w:proofErr w:type="spellEnd"/>
            <w:r w:rsidR="00317533" w:rsidRPr="0052308C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6848CC4A" w14:textId="153A0DCC" w:rsidR="00317533" w:rsidRPr="008D3D8A" w:rsidRDefault="008D3D8A" w:rsidP="008D3D8A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iąża,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planowanie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ciąży,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karmienie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piersią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(wyłączenie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czasowe,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okres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trwania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ciąży,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planowania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ciąży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karmienia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D3D8A">
              <w:rPr>
                <w:rFonts w:ascii="Times New Roman" w:hAnsi="Times New Roman"/>
                <w:sz w:val="20"/>
                <w:szCs w:val="20"/>
              </w:rPr>
              <w:t>piersią)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12D2D50" w14:textId="16EF4AD4" w:rsidR="008B6898" w:rsidRPr="008D3D8A" w:rsidRDefault="008D3D8A" w:rsidP="008D3D8A">
            <w:pPr>
              <w:pStyle w:val="Akapitzlist"/>
              <w:numPr>
                <w:ilvl w:val="2"/>
                <w:numId w:val="9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F79646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ycofanie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zgody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monitorowanie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efektów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klinicznych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podstawie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danych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zebranych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świadczeniodawcę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płatnika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8D3D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8D3D8A">
              <w:rPr>
                <w:rFonts w:ascii="Times New Roman" w:hAnsi="Times New Roman"/>
                <w:sz w:val="20"/>
                <w:szCs w:val="20"/>
              </w:rPr>
              <w:t>systemach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8D3D8A">
              <w:rPr>
                <w:rFonts w:ascii="Times New Roman" w:hAnsi="Times New Roman"/>
                <w:sz w:val="20"/>
                <w:szCs w:val="20"/>
              </w:rPr>
              <w:t>informatycznych</w:t>
            </w:r>
            <w:r w:rsidR="008B6898" w:rsidRPr="008D3D8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B5C5EB" w14:textId="72ADD0B9" w:rsidR="008D3D8A" w:rsidRPr="0052308C" w:rsidRDefault="008D3D8A" w:rsidP="008D3D8A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color w:val="F79646"/>
                <w:sz w:val="20"/>
                <w:szCs w:val="20"/>
              </w:rPr>
            </w:pPr>
          </w:p>
        </w:tc>
        <w:tc>
          <w:tcPr>
            <w:tcW w:w="1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B180" w14:textId="77777777" w:rsidR="00317533" w:rsidRPr="008D3D8A" w:rsidRDefault="00317533" w:rsidP="008D3D8A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3D8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058428E9" w14:textId="41A901C2" w:rsidR="00317533" w:rsidRPr="008D3D8A" w:rsidRDefault="00317533" w:rsidP="008D3D8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D8A">
              <w:rPr>
                <w:rFonts w:ascii="Times New Roman" w:hAnsi="Times New Roman"/>
                <w:sz w:val="20"/>
                <w:szCs w:val="20"/>
              </w:rPr>
              <w:t>Dawkowanie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leku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z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obowiązującą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Charakterystyką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D3D8A">
              <w:rPr>
                <w:rFonts w:ascii="Times New Roman" w:hAnsi="Times New Roman"/>
                <w:sz w:val="20"/>
                <w:szCs w:val="20"/>
              </w:rPr>
              <w:t>Kalydeco</w:t>
            </w:r>
            <w:proofErr w:type="spellEnd"/>
            <w:r w:rsidR="008D3D8A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na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dzień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wydania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refundacyjnej.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28F8" w14:textId="61680254" w:rsidR="00317533" w:rsidRPr="0052308C" w:rsidRDefault="00317533" w:rsidP="008D3D8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B8A8005" w14:textId="5797393F" w:rsidR="00317533" w:rsidRPr="008D3D8A" w:rsidRDefault="00317533" w:rsidP="008D3D8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3D8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bCs/>
                <w:sz w:val="20"/>
                <w:szCs w:val="20"/>
              </w:rPr>
              <w:t>okresie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bCs/>
                <w:sz w:val="20"/>
                <w:szCs w:val="20"/>
              </w:rPr>
              <w:t>miesięcy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bCs/>
                <w:sz w:val="20"/>
                <w:szCs w:val="20"/>
              </w:rPr>
              <w:t>przed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bCs/>
                <w:sz w:val="20"/>
                <w:szCs w:val="20"/>
              </w:rPr>
              <w:t>rozpoczęciem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bCs/>
                <w:sz w:val="20"/>
                <w:szCs w:val="20"/>
              </w:rPr>
              <w:t>leczenia:</w:t>
            </w:r>
          </w:p>
          <w:p w14:paraId="1B5E1610" w14:textId="325EFC22" w:rsidR="00317533" w:rsidRPr="0052308C" w:rsidRDefault="00317533" w:rsidP="008D3D8A">
            <w:pPr>
              <w:numPr>
                <w:ilvl w:val="2"/>
                <w:numId w:val="12"/>
              </w:numPr>
              <w:tabs>
                <w:tab w:val="left" w:pos="355"/>
                <w:tab w:val="left" w:pos="4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test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potowy;</w:t>
            </w:r>
          </w:p>
          <w:p w14:paraId="038119EA" w14:textId="296F8E02" w:rsidR="00317533" w:rsidRPr="0052308C" w:rsidRDefault="00317533" w:rsidP="008D3D8A">
            <w:pPr>
              <w:numPr>
                <w:ilvl w:val="2"/>
                <w:numId w:val="12"/>
              </w:numPr>
              <w:tabs>
                <w:tab w:val="left" w:pos="355"/>
                <w:tab w:val="left" w:pos="4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spirometryczne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(u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8827E7" w:rsidRPr="0052308C">
              <w:rPr>
                <w:rFonts w:ascii="Times New Roman" w:hAnsi="Times New Roman"/>
                <w:sz w:val="20"/>
                <w:szCs w:val="20"/>
              </w:rPr>
              <w:t>,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rozwój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psychofizyczny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gwarantuje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prawidłowe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testu);</w:t>
            </w:r>
          </w:p>
          <w:p w14:paraId="0ACBDF08" w14:textId="34CC8875" w:rsidR="00317533" w:rsidRPr="0052308C" w:rsidRDefault="00317533" w:rsidP="008D3D8A">
            <w:pPr>
              <w:numPr>
                <w:ilvl w:val="2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aminotransferaza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alaninowa;</w:t>
            </w:r>
          </w:p>
          <w:p w14:paraId="4A37F226" w14:textId="6463A700" w:rsidR="00317533" w:rsidRPr="0052308C" w:rsidRDefault="00317533" w:rsidP="008D3D8A">
            <w:pPr>
              <w:numPr>
                <w:ilvl w:val="2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aminotransferaza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asparaginowa;</w:t>
            </w:r>
          </w:p>
          <w:p w14:paraId="5F517724" w14:textId="46860439" w:rsidR="00317533" w:rsidRPr="0052308C" w:rsidRDefault="00317533" w:rsidP="008D3D8A">
            <w:pPr>
              <w:numPr>
                <w:ilvl w:val="2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mikrobiologiczne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plwociny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lub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wymazu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z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gardła</w:t>
            </w:r>
            <w:r w:rsidR="008D3D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548A07" w14:textId="6B4B2043" w:rsidR="00317533" w:rsidRDefault="00317533" w:rsidP="008D3D8A">
            <w:pPr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8D3D8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D40023C" w14:textId="510C96CF" w:rsidR="00317533" w:rsidRPr="008D3D8A" w:rsidRDefault="00317533" w:rsidP="008D3D8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D8A">
              <w:rPr>
                <w:rFonts w:ascii="Times New Roman" w:hAnsi="Times New Roman"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do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12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przed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3D8A">
              <w:rPr>
                <w:rFonts w:ascii="Times New Roman" w:hAnsi="Times New Roman"/>
                <w:sz w:val="20"/>
                <w:szCs w:val="20"/>
              </w:rPr>
              <w:t>leczenia</w:t>
            </w:r>
          </w:p>
          <w:p w14:paraId="4BA2B3E1" w14:textId="501842E1" w:rsidR="00317533" w:rsidRDefault="00317533" w:rsidP="008D3D8A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RTG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klatki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8D3D8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BDD62B6" w14:textId="77777777" w:rsidR="008D3D8A" w:rsidRPr="0052308C" w:rsidRDefault="008D3D8A" w:rsidP="008D3D8A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DB90C9" w14:textId="6DA74674" w:rsidR="00317533" w:rsidRPr="0052308C" w:rsidRDefault="00317533" w:rsidP="008D3D8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8D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14E44E2" w14:textId="182F937E" w:rsidR="00317533" w:rsidRPr="0052308C" w:rsidRDefault="00317533" w:rsidP="008D3D8A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test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potowy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miesiącach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rozpoczęciu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leczenia,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następnie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roku;</w:t>
            </w:r>
          </w:p>
          <w:p w14:paraId="62B59872" w14:textId="5CF8794A" w:rsidR="00317533" w:rsidRPr="0052308C" w:rsidRDefault="00317533" w:rsidP="008D3D8A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badanie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spirometryczne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(u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chorych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u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których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rozwój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psychofizyczny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gwarantuje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prawidłowe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przeprowadzenie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testu)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miesiącach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rozpoczęcia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leczenia,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następnie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roku;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6BA6417A" w14:textId="76023A6F" w:rsidR="00317533" w:rsidRPr="0052308C" w:rsidRDefault="00317533" w:rsidP="008D3D8A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badanie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mikrobiologiczne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plwociny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wymazu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gardła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miesiącach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827E7" w:rsidRPr="0052308C">
              <w:rPr>
                <w:rFonts w:ascii="Times New Roman" w:hAnsi="Times New Roman"/>
                <w:bCs/>
                <w:sz w:val="20"/>
                <w:szCs w:val="20"/>
              </w:rPr>
              <w:t>od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rozpoczęci</w:t>
            </w:r>
            <w:r w:rsidR="008827E7" w:rsidRPr="0052308C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leczenia,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następnie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roku;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642ACD05" w14:textId="115CC07A" w:rsidR="00317533" w:rsidRPr="0052308C" w:rsidRDefault="00317533" w:rsidP="008D3D8A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aktywność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aminotransferazy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alaninowej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asparaginowej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3,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6,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miesiącach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827E7" w:rsidRPr="0052308C">
              <w:rPr>
                <w:rFonts w:ascii="Times New Roman" w:hAnsi="Times New Roman"/>
                <w:bCs/>
                <w:sz w:val="20"/>
                <w:szCs w:val="20"/>
              </w:rPr>
              <w:t>od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rozpoczęci</w:t>
            </w:r>
            <w:r w:rsidR="008827E7" w:rsidRPr="0052308C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leczenia,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następnie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roku;</w:t>
            </w:r>
          </w:p>
          <w:p w14:paraId="27FF6ED7" w14:textId="2DB756D3" w:rsidR="00317533" w:rsidRDefault="00317533" w:rsidP="008D3D8A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konsultacja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okulistyczna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Cs/>
                <w:sz w:val="20"/>
                <w:szCs w:val="20"/>
              </w:rPr>
              <w:t>roku.</w:t>
            </w:r>
          </w:p>
          <w:p w14:paraId="6CD74E41" w14:textId="77777777" w:rsidR="008D3D8A" w:rsidRPr="0052308C" w:rsidRDefault="008D3D8A" w:rsidP="008D3D8A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D4BF4EB" w14:textId="79EFFAD4" w:rsidR="00317533" w:rsidRPr="0052308C" w:rsidRDefault="00317533" w:rsidP="008D3D8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2308C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8D3D8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35FF8170" w14:textId="3CA80B1D" w:rsidR="00317533" w:rsidRPr="0052308C" w:rsidRDefault="00317533" w:rsidP="008D3D8A">
            <w:pPr>
              <w:numPr>
                <w:ilvl w:val="2"/>
                <w:numId w:val="13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danych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ich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na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(NFZ);</w:t>
            </w:r>
          </w:p>
          <w:p w14:paraId="261563A8" w14:textId="7632A465" w:rsidR="00317533" w:rsidRPr="0052308C" w:rsidRDefault="00317533" w:rsidP="008D3D8A">
            <w:pPr>
              <w:numPr>
                <w:ilvl w:val="2"/>
                <w:numId w:val="13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uzupełnienie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danych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w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rejestrze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(SMPT)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z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opisem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wymogami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NFZ;</w:t>
            </w:r>
          </w:p>
          <w:p w14:paraId="1D9CDFD4" w14:textId="0A6EB57C" w:rsidR="00317533" w:rsidRPr="0052308C" w:rsidRDefault="00317533" w:rsidP="008D3D8A">
            <w:pPr>
              <w:numPr>
                <w:ilvl w:val="2"/>
                <w:numId w:val="13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08C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do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NFZ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z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przez</w:t>
            </w:r>
            <w:r w:rsidR="008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08C">
              <w:rPr>
                <w:rFonts w:ascii="Times New Roman" w:hAnsi="Times New Roman"/>
                <w:sz w:val="20"/>
                <w:szCs w:val="20"/>
              </w:rPr>
              <w:t>NFZ.</w:t>
            </w:r>
          </w:p>
        </w:tc>
      </w:tr>
    </w:tbl>
    <w:p w14:paraId="059AA5D0" w14:textId="77777777" w:rsidR="00317533" w:rsidRDefault="00317533" w:rsidP="00317533"/>
    <w:p w14:paraId="65E45E1F" w14:textId="77777777" w:rsidR="00025CCE" w:rsidRDefault="00866DA0"/>
    <w:sectPr w:rsidR="00025CCE" w:rsidSect="0052308C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C0697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-516" w:hanging="360"/>
      </w:pPr>
    </w:lvl>
    <w:lvl w:ilvl="1" w:tplc="04150019" w:tentative="1">
      <w:start w:val="1"/>
      <w:numFmt w:val="lowerLetter"/>
      <w:lvlText w:val="%2."/>
      <w:lvlJc w:val="left"/>
      <w:pPr>
        <w:ind w:left="204" w:hanging="360"/>
      </w:pPr>
    </w:lvl>
    <w:lvl w:ilvl="2" w:tplc="0415001B" w:tentative="1">
      <w:start w:val="1"/>
      <w:numFmt w:val="lowerRoman"/>
      <w:lvlText w:val="%3."/>
      <w:lvlJc w:val="right"/>
      <w:pPr>
        <w:ind w:left="924" w:hanging="180"/>
      </w:pPr>
    </w:lvl>
    <w:lvl w:ilvl="3" w:tplc="0415000F" w:tentative="1">
      <w:start w:val="1"/>
      <w:numFmt w:val="decimal"/>
      <w:lvlText w:val="%4."/>
      <w:lvlJc w:val="left"/>
      <w:pPr>
        <w:ind w:left="1644" w:hanging="360"/>
      </w:pPr>
    </w:lvl>
    <w:lvl w:ilvl="4" w:tplc="04150019" w:tentative="1">
      <w:start w:val="1"/>
      <w:numFmt w:val="lowerLetter"/>
      <w:lvlText w:val="%5."/>
      <w:lvlJc w:val="left"/>
      <w:pPr>
        <w:ind w:left="2364" w:hanging="360"/>
      </w:pPr>
    </w:lvl>
    <w:lvl w:ilvl="5" w:tplc="0415001B" w:tentative="1">
      <w:start w:val="1"/>
      <w:numFmt w:val="lowerRoman"/>
      <w:lvlText w:val="%6."/>
      <w:lvlJc w:val="right"/>
      <w:pPr>
        <w:ind w:left="3084" w:hanging="180"/>
      </w:pPr>
    </w:lvl>
    <w:lvl w:ilvl="6" w:tplc="0415000F" w:tentative="1">
      <w:start w:val="1"/>
      <w:numFmt w:val="decimal"/>
      <w:lvlText w:val="%7."/>
      <w:lvlJc w:val="left"/>
      <w:pPr>
        <w:ind w:left="3804" w:hanging="360"/>
      </w:pPr>
    </w:lvl>
    <w:lvl w:ilvl="7" w:tplc="04150019" w:tentative="1">
      <w:start w:val="1"/>
      <w:numFmt w:val="lowerLetter"/>
      <w:lvlText w:val="%8."/>
      <w:lvlJc w:val="left"/>
      <w:pPr>
        <w:ind w:left="4524" w:hanging="360"/>
      </w:pPr>
    </w:lvl>
    <w:lvl w:ilvl="8" w:tplc="0415001B" w:tentative="1">
      <w:start w:val="1"/>
      <w:numFmt w:val="lowerRoman"/>
      <w:lvlText w:val="%9."/>
      <w:lvlJc w:val="right"/>
      <w:pPr>
        <w:ind w:left="5244" w:hanging="180"/>
      </w:pPr>
    </w:lvl>
  </w:abstractNum>
  <w:abstractNum w:abstractNumId="1" w15:restartNumberingAfterBreak="0">
    <w:nsid w:val="07772242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66E3CD3"/>
    <w:multiLevelType w:val="hybridMultilevel"/>
    <w:tmpl w:val="48AA2782"/>
    <w:lvl w:ilvl="0" w:tplc="D70C5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B7E62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D213856"/>
    <w:multiLevelType w:val="hybridMultilevel"/>
    <w:tmpl w:val="DA8E04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D11DEE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64350F75"/>
    <w:multiLevelType w:val="hybridMultilevel"/>
    <w:tmpl w:val="14C88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C2A3F"/>
    <w:multiLevelType w:val="hybridMultilevel"/>
    <w:tmpl w:val="328A6168"/>
    <w:lvl w:ilvl="0" w:tplc="759C40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8F67FA4"/>
    <w:multiLevelType w:val="hybridMultilevel"/>
    <w:tmpl w:val="54D253B4"/>
    <w:lvl w:ilvl="0" w:tplc="72BCEF9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2335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897316"/>
    <w:multiLevelType w:val="hybridMultilevel"/>
    <w:tmpl w:val="B2F4A7A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B55A57"/>
    <w:multiLevelType w:val="hybridMultilevel"/>
    <w:tmpl w:val="6BFC0B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F23C9D"/>
    <w:multiLevelType w:val="hybridMultilevel"/>
    <w:tmpl w:val="95E019FE"/>
    <w:lvl w:ilvl="0" w:tplc="98601E4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6"/>
  </w:num>
  <w:num w:numId="5">
    <w:abstractNumId w:val="11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533"/>
    <w:rsid w:val="000362F2"/>
    <w:rsid w:val="00083711"/>
    <w:rsid w:val="000C636C"/>
    <w:rsid w:val="000F35E6"/>
    <w:rsid w:val="002A7552"/>
    <w:rsid w:val="002D085E"/>
    <w:rsid w:val="00317533"/>
    <w:rsid w:val="003309E7"/>
    <w:rsid w:val="003362C6"/>
    <w:rsid w:val="00363BE2"/>
    <w:rsid w:val="004006F9"/>
    <w:rsid w:val="00413896"/>
    <w:rsid w:val="00426528"/>
    <w:rsid w:val="00440618"/>
    <w:rsid w:val="004F0B79"/>
    <w:rsid w:val="0052308C"/>
    <w:rsid w:val="00667812"/>
    <w:rsid w:val="00866DA0"/>
    <w:rsid w:val="008827E7"/>
    <w:rsid w:val="008B6898"/>
    <w:rsid w:val="008D361A"/>
    <w:rsid w:val="008D3D8A"/>
    <w:rsid w:val="00A800F5"/>
    <w:rsid w:val="00AA67D5"/>
    <w:rsid w:val="00B07615"/>
    <w:rsid w:val="00B13ADF"/>
    <w:rsid w:val="00BC5931"/>
    <w:rsid w:val="00C53527"/>
    <w:rsid w:val="00C607A2"/>
    <w:rsid w:val="00CB1360"/>
    <w:rsid w:val="00D056E4"/>
    <w:rsid w:val="00D0612B"/>
    <w:rsid w:val="00D732A0"/>
    <w:rsid w:val="00DB32BD"/>
    <w:rsid w:val="00E06229"/>
    <w:rsid w:val="00E778A8"/>
    <w:rsid w:val="00F018AA"/>
    <w:rsid w:val="00FC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7040"/>
  <w15:chartTrackingRefBased/>
  <w15:docId w15:val="{E72D748C-8C98-43D2-9D1E-A74A60C8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5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05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5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56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6E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6E4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3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B5CF6-65B2-4D46-9766-34728C0A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4</cp:revision>
  <dcterms:created xsi:type="dcterms:W3CDTF">2020-10-16T21:05:00Z</dcterms:created>
  <dcterms:modified xsi:type="dcterms:W3CDTF">2020-10-20T21:32:00Z</dcterms:modified>
</cp:coreProperties>
</file>