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1554"/>
        <w:gridCol w:w="1241"/>
        <w:gridCol w:w="1539"/>
        <w:gridCol w:w="1130"/>
        <w:gridCol w:w="1132"/>
        <w:gridCol w:w="1200"/>
      </w:tblGrid>
      <w:tr w:rsidR="00FC73B9" w:rsidRPr="004E2279" w14:paraId="28D57CD2" w14:textId="77777777" w:rsidTr="004E2279">
        <w:tc>
          <w:tcPr>
            <w:tcW w:w="9067" w:type="dxa"/>
            <w:gridSpan w:val="7"/>
            <w:shd w:val="clear" w:color="auto" w:fill="92D050"/>
          </w:tcPr>
          <w:p w14:paraId="5568997F" w14:textId="77777777" w:rsidR="00FC73B9" w:rsidRPr="004E2279" w:rsidRDefault="00FC73B9" w:rsidP="004E2279">
            <w:pPr>
              <w:spacing w:before="120" w:after="120" w:line="276" w:lineRule="auto"/>
              <w:rPr>
                <w:rFonts w:cstheme="minorHAnsi"/>
                <w:b/>
                <w:sz w:val="24"/>
                <w:szCs w:val="24"/>
              </w:rPr>
            </w:pPr>
            <w:r w:rsidRPr="004E2279">
              <w:rPr>
                <w:rFonts w:cstheme="minorHAnsi"/>
                <w:b/>
                <w:sz w:val="24"/>
                <w:szCs w:val="24"/>
              </w:rPr>
              <w:t>OGÓLNE INFORMACJE DOTYCZĄCE PROJEKTU</w:t>
            </w:r>
          </w:p>
        </w:tc>
      </w:tr>
      <w:tr w:rsidR="008036F3" w:rsidRPr="004E2279" w14:paraId="309A4E4D" w14:textId="77777777" w:rsidTr="00390E07">
        <w:tc>
          <w:tcPr>
            <w:tcW w:w="2825" w:type="dxa"/>
            <w:gridSpan w:val="2"/>
            <w:shd w:val="clear" w:color="auto" w:fill="E2EFD9" w:themeFill="accent6" w:themeFillTint="33"/>
          </w:tcPr>
          <w:p w14:paraId="21225C68" w14:textId="77777777" w:rsidR="008036F3" w:rsidRPr="004E2279" w:rsidRDefault="00FC73B9" w:rsidP="004E2279">
            <w:pPr>
              <w:spacing w:before="120" w:after="120" w:line="276" w:lineRule="auto"/>
              <w:rPr>
                <w:rFonts w:cstheme="minorHAnsi"/>
                <w:sz w:val="24"/>
                <w:szCs w:val="24"/>
              </w:rPr>
            </w:pPr>
            <w:r w:rsidRPr="004E2279">
              <w:rPr>
                <w:rFonts w:cstheme="minorHAnsi"/>
                <w:sz w:val="24"/>
                <w:szCs w:val="24"/>
              </w:rPr>
              <w:t>Nazwa projektu:</w:t>
            </w:r>
          </w:p>
        </w:tc>
        <w:tc>
          <w:tcPr>
            <w:tcW w:w="6242" w:type="dxa"/>
            <w:gridSpan w:val="5"/>
          </w:tcPr>
          <w:p w14:paraId="3E3FCCA3" w14:textId="24B3832D" w:rsidR="008036F3" w:rsidRPr="004E2279" w:rsidRDefault="004D70A9" w:rsidP="004E2279">
            <w:pPr>
              <w:spacing w:before="120" w:after="120" w:line="276" w:lineRule="auto"/>
              <w:rPr>
                <w:rFonts w:cstheme="minorHAnsi"/>
                <w:sz w:val="24"/>
                <w:szCs w:val="24"/>
              </w:rPr>
            </w:pPr>
            <w:r w:rsidRPr="00754953">
              <w:rPr>
                <w:rFonts w:cstheme="minorHAnsi"/>
                <w:sz w:val="24"/>
                <w:szCs w:val="24"/>
              </w:rPr>
              <w:t>Kompleksowy projekt adaptacji lasów i leśnictwa do zmian klimatu - mała retencja oraz przeciwdziałanie erozji wodnej na terenach nizinnych</w:t>
            </w:r>
          </w:p>
        </w:tc>
      </w:tr>
      <w:tr w:rsidR="008036F3" w:rsidRPr="004E2279" w14:paraId="218B52B6" w14:textId="77777777" w:rsidTr="00390E07">
        <w:tc>
          <w:tcPr>
            <w:tcW w:w="2825" w:type="dxa"/>
            <w:gridSpan w:val="2"/>
            <w:shd w:val="clear" w:color="auto" w:fill="E2EFD9" w:themeFill="accent6" w:themeFillTint="33"/>
          </w:tcPr>
          <w:p w14:paraId="2ABAA595" w14:textId="77777777" w:rsidR="008036F3" w:rsidRPr="004E2279" w:rsidRDefault="00FC73B9" w:rsidP="004E2279">
            <w:pPr>
              <w:spacing w:before="120" w:after="120" w:line="276" w:lineRule="auto"/>
              <w:rPr>
                <w:rFonts w:cstheme="minorHAnsi"/>
                <w:sz w:val="24"/>
                <w:szCs w:val="24"/>
              </w:rPr>
            </w:pPr>
            <w:r w:rsidRPr="004E2279">
              <w:rPr>
                <w:rFonts w:cstheme="minorHAnsi"/>
                <w:sz w:val="24"/>
                <w:szCs w:val="24"/>
              </w:rPr>
              <w:t>Beneficjent:</w:t>
            </w:r>
          </w:p>
        </w:tc>
        <w:tc>
          <w:tcPr>
            <w:tcW w:w="6242" w:type="dxa"/>
            <w:gridSpan w:val="5"/>
          </w:tcPr>
          <w:p w14:paraId="556F1527" w14:textId="6B1867E6" w:rsidR="008036F3" w:rsidRPr="004E2279" w:rsidRDefault="004D70A9" w:rsidP="004E2279">
            <w:pPr>
              <w:spacing w:before="120" w:after="120" w:line="276" w:lineRule="auto"/>
              <w:rPr>
                <w:rFonts w:cstheme="minorHAnsi"/>
                <w:sz w:val="24"/>
                <w:szCs w:val="24"/>
              </w:rPr>
            </w:pPr>
            <w:r>
              <w:rPr>
                <w:rFonts w:cstheme="minorHAnsi"/>
                <w:sz w:val="24"/>
                <w:szCs w:val="24"/>
              </w:rPr>
              <w:t>Państwowe Gospodarstwo Leśne Lasy Państwowe</w:t>
            </w:r>
          </w:p>
        </w:tc>
      </w:tr>
      <w:tr w:rsidR="008036F3" w:rsidRPr="004E2279" w14:paraId="4C3429E7" w14:textId="77777777" w:rsidTr="00390E07">
        <w:tc>
          <w:tcPr>
            <w:tcW w:w="2825" w:type="dxa"/>
            <w:gridSpan w:val="2"/>
            <w:shd w:val="clear" w:color="auto" w:fill="E2EFD9" w:themeFill="accent6" w:themeFillTint="33"/>
          </w:tcPr>
          <w:p w14:paraId="78F0C5EA" w14:textId="77777777" w:rsidR="008036F3" w:rsidRPr="004E2279" w:rsidRDefault="00FC73B9" w:rsidP="004E2279">
            <w:pPr>
              <w:spacing w:before="120" w:after="120" w:line="276" w:lineRule="auto"/>
              <w:rPr>
                <w:rFonts w:cstheme="minorHAnsi"/>
                <w:sz w:val="24"/>
                <w:szCs w:val="24"/>
              </w:rPr>
            </w:pPr>
            <w:r w:rsidRPr="004E2279">
              <w:rPr>
                <w:rFonts w:cstheme="minorHAnsi"/>
                <w:sz w:val="24"/>
                <w:szCs w:val="24"/>
              </w:rPr>
              <w:t>Wartość projektu ogółem:</w:t>
            </w:r>
          </w:p>
        </w:tc>
        <w:tc>
          <w:tcPr>
            <w:tcW w:w="6242" w:type="dxa"/>
            <w:gridSpan w:val="5"/>
          </w:tcPr>
          <w:p w14:paraId="47E58BE2" w14:textId="76830978" w:rsidR="008036F3" w:rsidRPr="004E2279" w:rsidRDefault="004D70A9" w:rsidP="004E2279">
            <w:pPr>
              <w:spacing w:before="120" w:after="120" w:line="276" w:lineRule="auto"/>
              <w:rPr>
                <w:rFonts w:cstheme="minorHAnsi"/>
                <w:sz w:val="24"/>
                <w:szCs w:val="24"/>
              </w:rPr>
            </w:pPr>
            <w:r w:rsidRPr="00754953">
              <w:rPr>
                <w:rFonts w:cstheme="minorHAnsi"/>
                <w:sz w:val="24"/>
                <w:szCs w:val="24"/>
              </w:rPr>
              <w:t>234 670 000 PLN</w:t>
            </w:r>
          </w:p>
        </w:tc>
      </w:tr>
      <w:tr w:rsidR="008036F3" w:rsidRPr="004E2279" w14:paraId="74E31306" w14:textId="77777777" w:rsidTr="00390E07">
        <w:tc>
          <w:tcPr>
            <w:tcW w:w="2825" w:type="dxa"/>
            <w:gridSpan w:val="2"/>
            <w:shd w:val="clear" w:color="auto" w:fill="E2EFD9" w:themeFill="accent6" w:themeFillTint="33"/>
          </w:tcPr>
          <w:p w14:paraId="083863BB" w14:textId="77777777" w:rsidR="008036F3" w:rsidRPr="004E2279" w:rsidRDefault="00FC73B9" w:rsidP="004E2279">
            <w:pPr>
              <w:spacing w:before="120" w:after="120" w:line="276" w:lineRule="auto"/>
              <w:rPr>
                <w:rFonts w:cstheme="minorHAnsi"/>
                <w:sz w:val="24"/>
                <w:szCs w:val="24"/>
              </w:rPr>
            </w:pPr>
            <w:r w:rsidRPr="004E2279">
              <w:rPr>
                <w:rFonts w:cstheme="minorHAnsi"/>
                <w:sz w:val="24"/>
                <w:szCs w:val="24"/>
              </w:rPr>
              <w:t>Dofinansowanie UE:</w:t>
            </w:r>
          </w:p>
        </w:tc>
        <w:tc>
          <w:tcPr>
            <w:tcW w:w="6242" w:type="dxa"/>
            <w:gridSpan w:val="5"/>
          </w:tcPr>
          <w:p w14:paraId="7656A41E" w14:textId="1010459E" w:rsidR="008036F3" w:rsidRPr="004E2279" w:rsidRDefault="004D70A9" w:rsidP="004E2279">
            <w:pPr>
              <w:spacing w:before="120" w:after="120" w:line="276" w:lineRule="auto"/>
              <w:rPr>
                <w:rFonts w:cstheme="minorHAnsi"/>
                <w:sz w:val="24"/>
                <w:szCs w:val="24"/>
              </w:rPr>
            </w:pPr>
            <w:r w:rsidRPr="00754953">
              <w:rPr>
                <w:rFonts w:cstheme="minorHAnsi"/>
                <w:sz w:val="24"/>
                <w:szCs w:val="24"/>
              </w:rPr>
              <w:t>144 500 000 PLN</w:t>
            </w:r>
          </w:p>
        </w:tc>
      </w:tr>
      <w:tr w:rsidR="008036F3" w:rsidRPr="004E2279" w14:paraId="553A4E8E" w14:textId="77777777" w:rsidTr="00390E07">
        <w:tc>
          <w:tcPr>
            <w:tcW w:w="2825" w:type="dxa"/>
            <w:gridSpan w:val="2"/>
            <w:shd w:val="clear" w:color="auto" w:fill="E2EFD9" w:themeFill="accent6" w:themeFillTint="33"/>
          </w:tcPr>
          <w:p w14:paraId="465DBE65" w14:textId="77777777" w:rsidR="008036F3" w:rsidRPr="004E2279" w:rsidRDefault="00FC73B9" w:rsidP="004E2279">
            <w:pPr>
              <w:spacing w:before="120" w:after="120" w:line="276" w:lineRule="auto"/>
              <w:rPr>
                <w:rFonts w:cstheme="minorHAnsi"/>
                <w:sz w:val="24"/>
                <w:szCs w:val="24"/>
              </w:rPr>
            </w:pPr>
            <w:r w:rsidRPr="004E2279">
              <w:rPr>
                <w:rFonts w:cstheme="minorHAnsi"/>
                <w:sz w:val="24"/>
                <w:szCs w:val="24"/>
              </w:rPr>
              <w:t>Okres realizacji:</w:t>
            </w:r>
          </w:p>
        </w:tc>
        <w:tc>
          <w:tcPr>
            <w:tcW w:w="6242" w:type="dxa"/>
            <w:gridSpan w:val="5"/>
          </w:tcPr>
          <w:p w14:paraId="155E1437" w14:textId="41FD0F08" w:rsidR="008036F3" w:rsidRPr="004E2279" w:rsidRDefault="004D70A9" w:rsidP="004E2279">
            <w:pPr>
              <w:spacing w:before="120" w:after="120" w:line="276" w:lineRule="auto"/>
              <w:rPr>
                <w:rFonts w:cstheme="minorHAnsi"/>
                <w:sz w:val="24"/>
                <w:szCs w:val="24"/>
              </w:rPr>
            </w:pPr>
            <w:r w:rsidRPr="00754953">
              <w:rPr>
                <w:rFonts w:cstheme="minorHAnsi"/>
                <w:sz w:val="24"/>
                <w:szCs w:val="24"/>
              </w:rPr>
              <w:t>2016-</w:t>
            </w:r>
            <w:r w:rsidR="00125E86">
              <w:rPr>
                <w:rFonts w:cstheme="minorHAnsi"/>
                <w:sz w:val="24"/>
                <w:szCs w:val="24"/>
              </w:rPr>
              <w:t>05</w:t>
            </w:r>
            <w:r w:rsidRPr="00754953">
              <w:rPr>
                <w:rFonts w:cstheme="minorHAnsi"/>
                <w:sz w:val="24"/>
                <w:szCs w:val="24"/>
              </w:rPr>
              <w:t>-</w:t>
            </w:r>
            <w:r w:rsidR="00125E86">
              <w:rPr>
                <w:rFonts w:cstheme="minorHAnsi"/>
                <w:sz w:val="24"/>
                <w:szCs w:val="24"/>
              </w:rPr>
              <w:t>27</w:t>
            </w:r>
            <w:r w:rsidRPr="00754953">
              <w:rPr>
                <w:rFonts w:cstheme="minorHAnsi"/>
                <w:sz w:val="24"/>
                <w:szCs w:val="24"/>
              </w:rPr>
              <w:t xml:space="preserve"> do 2022-12-</w:t>
            </w:r>
            <w:r w:rsidR="00125E86">
              <w:rPr>
                <w:rFonts w:cstheme="minorHAnsi"/>
                <w:sz w:val="24"/>
                <w:szCs w:val="24"/>
              </w:rPr>
              <w:t>3</w:t>
            </w:r>
            <w:r w:rsidRPr="00754953">
              <w:rPr>
                <w:rFonts w:cstheme="minorHAnsi"/>
                <w:sz w:val="24"/>
                <w:szCs w:val="24"/>
              </w:rPr>
              <w:t>1</w:t>
            </w:r>
          </w:p>
        </w:tc>
      </w:tr>
      <w:tr w:rsidR="00FC73B9" w:rsidRPr="004E2279" w14:paraId="336F781C" w14:textId="77777777" w:rsidTr="004E2279">
        <w:tc>
          <w:tcPr>
            <w:tcW w:w="9067" w:type="dxa"/>
            <w:gridSpan w:val="7"/>
            <w:shd w:val="clear" w:color="auto" w:fill="92D050"/>
          </w:tcPr>
          <w:p w14:paraId="38E48FDA" w14:textId="77777777" w:rsidR="00FC73B9" w:rsidRPr="004E2279" w:rsidRDefault="00FC73B9" w:rsidP="004E2279">
            <w:pPr>
              <w:spacing w:before="120" w:after="120" w:line="276" w:lineRule="auto"/>
              <w:rPr>
                <w:rFonts w:cstheme="minorHAnsi"/>
                <w:b/>
                <w:sz w:val="24"/>
                <w:szCs w:val="24"/>
              </w:rPr>
            </w:pPr>
            <w:r w:rsidRPr="004E2279">
              <w:rPr>
                <w:rFonts w:cstheme="minorHAnsi"/>
                <w:b/>
                <w:sz w:val="24"/>
                <w:szCs w:val="24"/>
              </w:rPr>
              <w:t>SKRÓCONY OPIS PROJEKTU</w:t>
            </w:r>
            <w:r w:rsidR="00302BEF" w:rsidRPr="004E2279">
              <w:rPr>
                <w:rFonts w:cstheme="minorHAnsi"/>
                <w:b/>
                <w:sz w:val="24"/>
                <w:szCs w:val="24"/>
              </w:rPr>
              <w:t xml:space="preserve"> ORAZ UWARUNKOWAŃ ZWIĄZANYCH Z JEGO REALIZACJĄ</w:t>
            </w:r>
          </w:p>
        </w:tc>
      </w:tr>
      <w:tr w:rsidR="00FC73B9" w:rsidRPr="004E2279" w14:paraId="19430186" w14:textId="77777777" w:rsidTr="004E2279">
        <w:tc>
          <w:tcPr>
            <w:tcW w:w="9067" w:type="dxa"/>
            <w:gridSpan w:val="7"/>
            <w:shd w:val="clear" w:color="auto" w:fill="FFFFFF" w:themeFill="background1"/>
          </w:tcPr>
          <w:p w14:paraId="6657EC70" w14:textId="77777777" w:rsidR="005E3096" w:rsidRPr="00754953" w:rsidRDefault="005E3096" w:rsidP="005E3096">
            <w:pPr>
              <w:spacing w:before="120" w:after="120" w:line="276" w:lineRule="auto"/>
              <w:jc w:val="both"/>
              <w:rPr>
                <w:rFonts w:cstheme="minorHAnsi"/>
                <w:sz w:val="24"/>
                <w:szCs w:val="24"/>
              </w:rPr>
            </w:pPr>
            <w:r w:rsidRPr="00754953">
              <w:rPr>
                <w:rFonts w:cstheme="minorHAnsi"/>
                <w:sz w:val="24"/>
                <w:szCs w:val="24"/>
              </w:rPr>
              <w:t>SYNTEZA:</w:t>
            </w:r>
          </w:p>
          <w:p w14:paraId="56165FF3" w14:textId="77777777" w:rsidR="005E3096" w:rsidRPr="00754953" w:rsidRDefault="005E3096" w:rsidP="005E3096">
            <w:pPr>
              <w:spacing w:before="120" w:after="120" w:line="276" w:lineRule="auto"/>
              <w:jc w:val="both"/>
              <w:rPr>
                <w:rFonts w:cstheme="minorHAnsi"/>
                <w:sz w:val="24"/>
                <w:szCs w:val="24"/>
              </w:rPr>
            </w:pPr>
            <w:r w:rsidRPr="00754953">
              <w:rPr>
                <w:rFonts w:cstheme="minorHAnsi"/>
                <w:sz w:val="24"/>
                <w:szCs w:val="24"/>
              </w:rPr>
              <w:t>Projekt ma charakter kompleksowy i obejmuje adaptację lasów i leśnictwa do zmian klimatu poprzez małą retencję oraz przeciwdziałanie erozji wodnej na terenach nizinnych.</w:t>
            </w:r>
          </w:p>
          <w:p w14:paraId="336BD042" w14:textId="77777777" w:rsidR="005E3096" w:rsidRPr="00754953" w:rsidRDefault="005E3096" w:rsidP="005E3096">
            <w:pPr>
              <w:spacing w:before="120" w:after="120" w:line="276" w:lineRule="auto"/>
              <w:jc w:val="both"/>
              <w:rPr>
                <w:rFonts w:cstheme="minorHAnsi"/>
                <w:sz w:val="24"/>
                <w:szCs w:val="24"/>
              </w:rPr>
            </w:pPr>
            <w:r w:rsidRPr="00754953">
              <w:rPr>
                <w:rFonts w:cstheme="minorHAnsi"/>
                <w:sz w:val="24"/>
                <w:szCs w:val="24"/>
              </w:rPr>
              <w:t>SZERSZY OPIS:</w:t>
            </w:r>
          </w:p>
          <w:p w14:paraId="336087B5" w14:textId="361B0B8D" w:rsidR="00A71481" w:rsidRPr="004E2279" w:rsidRDefault="005E3096" w:rsidP="005E3096">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Głównym celem projektu jest wzmocnienie odporności na zagrożenia związane ze zmianami klimatu w nizinnych ekosystemach leśnych. Projekt obejmuje leśne ekosystemy nizinne, na terenie całej Polski (16 województw). Uczestniczyć w nim będzie 110 nadleśnictw z obszaru 17 RDLP. Powierzchnię oddziaływania Projektu szacuje się na 119799,39 ha. Projekt jest kontynuacją działań współfinansowanych ze środków z POIiŚ 2007-13 oraz umożliwia wykorzystanie bagażu pozytywnych doświadczeń uzyskanych w trakcie realizacji projektu Małej retencji nizinnej. Uwzględnia tereny do tej pory nieobjęte takimi działaniami, nastąpi również rozszerzenie dotychczasowych efektów (realizacja dalszych potrzeb w nowych lokalizacjach na terenie nadleśnictw z projektu MRN 2007-13). Obejmuje realizację działań z zakresu zapobiegania powstawaniu lub minimalizacji negatywnych skutków zjawisk naturalnych w postaci: suszy i pożarów, niszczącego działania wód wezbraniowych, powodzi i podtopień poprzez rozwój systemów małej retencji, zarówno retencji zbiornikowej jak również retencji na obszarach mokradłowych, a także realizację zadań z zakresu przeciwdziałania nadmiernej erozji. Projekt przyczyni się również do odbudowy cennych ekosystemów naturalnych, tym samym będzie miał pozytywny wpływ na ochronę różnorodności biologicznej. Projekt wykorzystuje kompleksowe zabiegi łączące przyjazne środowisku metody przyrodnicze i techniczne. Planowane są w większości małe obiekty/budowle o prostej konstrukcji. Wybierane technologie mają nie pogarszać naturalnego środowiska przyrodniczego, preferuje się materiały naturalne. </w:t>
            </w:r>
            <w:r w:rsidRPr="00754953">
              <w:rPr>
                <w:rFonts w:cstheme="minorHAnsi"/>
                <w:color w:val="FF0000"/>
                <w:sz w:val="24"/>
                <w:szCs w:val="24"/>
              </w:rPr>
              <w:t xml:space="preserve"> </w:t>
            </w:r>
          </w:p>
        </w:tc>
      </w:tr>
      <w:tr w:rsidR="00F55454" w:rsidRPr="004E2279" w14:paraId="12223A42" w14:textId="77777777" w:rsidTr="004E2279">
        <w:tc>
          <w:tcPr>
            <w:tcW w:w="9067" w:type="dxa"/>
            <w:gridSpan w:val="7"/>
            <w:shd w:val="clear" w:color="auto" w:fill="92D050"/>
          </w:tcPr>
          <w:p w14:paraId="3A9E3232" w14:textId="77777777" w:rsidR="00F55454" w:rsidRPr="004E2279" w:rsidRDefault="00F55454" w:rsidP="00707B70">
            <w:pPr>
              <w:spacing w:before="120" w:after="120" w:line="276" w:lineRule="auto"/>
              <w:rPr>
                <w:rFonts w:cstheme="minorHAnsi"/>
                <w:b/>
                <w:sz w:val="24"/>
                <w:szCs w:val="24"/>
              </w:rPr>
            </w:pPr>
            <w:r w:rsidRPr="004E2279">
              <w:rPr>
                <w:rFonts w:cstheme="minorHAnsi"/>
                <w:b/>
                <w:sz w:val="24"/>
                <w:szCs w:val="24"/>
              </w:rPr>
              <w:lastRenderedPageBreak/>
              <w:t>WPŁYW PROJEKTU NA REALIZACJĘ CELÓW SZCZEGÓŁOWYCH I REZULTATÓW OKREŚLONYCH DLA PRIORYTETÓW INWESTYCYJNYCH W II OSI PRIORYTETOWEJ POIIŚ 2014-2020</w:t>
            </w:r>
          </w:p>
          <w:p w14:paraId="61F86AB3" w14:textId="77777777" w:rsidR="00F55454" w:rsidRPr="004E2279" w:rsidRDefault="00F55454" w:rsidP="004E2279">
            <w:pPr>
              <w:spacing w:before="120" w:after="120" w:line="276" w:lineRule="auto"/>
              <w:jc w:val="both"/>
              <w:rPr>
                <w:rFonts w:cstheme="minorHAnsi"/>
                <w:i/>
                <w:sz w:val="24"/>
                <w:szCs w:val="24"/>
              </w:rPr>
            </w:pPr>
            <w:r w:rsidRPr="004E2279">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4E2279" w14:paraId="516EDF2E" w14:textId="77777777" w:rsidTr="00390E07">
        <w:trPr>
          <w:trHeight w:val="911"/>
        </w:trPr>
        <w:tc>
          <w:tcPr>
            <w:tcW w:w="1271" w:type="dxa"/>
            <w:shd w:val="clear" w:color="auto" w:fill="E2EFD9" w:themeFill="accent6" w:themeFillTint="33"/>
          </w:tcPr>
          <w:p w14:paraId="4621B8AA" w14:textId="77777777"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Rodzaj wskaźnika</w:t>
            </w:r>
          </w:p>
        </w:tc>
        <w:tc>
          <w:tcPr>
            <w:tcW w:w="2795" w:type="dxa"/>
            <w:gridSpan w:val="2"/>
            <w:shd w:val="clear" w:color="auto" w:fill="E2EFD9" w:themeFill="accent6" w:themeFillTint="33"/>
          </w:tcPr>
          <w:p w14:paraId="16B61E90" w14:textId="77777777"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Nazwa wskaźnika</w:t>
            </w:r>
          </w:p>
        </w:tc>
        <w:tc>
          <w:tcPr>
            <w:tcW w:w="1539" w:type="dxa"/>
            <w:shd w:val="clear" w:color="auto" w:fill="E2EFD9" w:themeFill="accent6" w:themeFillTint="33"/>
          </w:tcPr>
          <w:p w14:paraId="63BF34C1" w14:textId="782B9F58"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 xml:space="preserve">Wartość </w:t>
            </w:r>
            <w:r w:rsidR="00707B70">
              <w:rPr>
                <w:rFonts w:cstheme="minorHAnsi"/>
                <w:b/>
                <w:sz w:val="20"/>
                <w:szCs w:val="24"/>
              </w:rPr>
              <w:t>docelowa przyjęta w POIiŚ lub SzOOP POIiŚ</w:t>
            </w:r>
          </w:p>
        </w:tc>
        <w:tc>
          <w:tcPr>
            <w:tcW w:w="1130" w:type="dxa"/>
            <w:shd w:val="clear" w:color="auto" w:fill="E2EFD9" w:themeFill="accent6" w:themeFillTint="33"/>
          </w:tcPr>
          <w:p w14:paraId="3957C407" w14:textId="75A80F01"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Wartość docelowa</w:t>
            </w:r>
            <w:r w:rsidR="00707B70">
              <w:rPr>
                <w:rFonts w:cstheme="minorHAnsi"/>
                <w:b/>
                <w:sz w:val="20"/>
                <w:szCs w:val="24"/>
              </w:rPr>
              <w:t xml:space="preserve"> przyjęta w projekcie</w:t>
            </w:r>
          </w:p>
          <w:p w14:paraId="77081A4E" w14:textId="77777777" w:rsidR="00F55454" w:rsidRPr="004E2279" w:rsidRDefault="00F55454" w:rsidP="004E2279">
            <w:pPr>
              <w:spacing w:before="120" w:after="120" w:line="276" w:lineRule="auto"/>
              <w:rPr>
                <w:rFonts w:cstheme="minorHAnsi"/>
                <w:b/>
                <w:sz w:val="20"/>
                <w:szCs w:val="24"/>
              </w:rPr>
            </w:pPr>
          </w:p>
        </w:tc>
        <w:tc>
          <w:tcPr>
            <w:tcW w:w="1132" w:type="dxa"/>
            <w:shd w:val="clear" w:color="auto" w:fill="E2EFD9" w:themeFill="accent6" w:themeFillTint="33"/>
          </w:tcPr>
          <w:p w14:paraId="0CE61368" w14:textId="68B8932D"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 xml:space="preserve">% </w:t>
            </w:r>
            <w:r w:rsidR="00707B70">
              <w:rPr>
                <w:rFonts w:cstheme="minorHAnsi"/>
                <w:b/>
                <w:sz w:val="20"/>
                <w:szCs w:val="24"/>
              </w:rPr>
              <w:t>wartości docelowej przyjętej w POIiŚ lub SzOOP POIiŚ</w:t>
            </w:r>
          </w:p>
        </w:tc>
        <w:tc>
          <w:tcPr>
            <w:tcW w:w="1200" w:type="dxa"/>
            <w:shd w:val="clear" w:color="auto" w:fill="E2EFD9" w:themeFill="accent6" w:themeFillTint="33"/>
          </w:tcPr>
          <w:p w14:paraId="71833400" w14:textId="2CE46B3A" w:rsidR="00F55454" w:rsidRPr="004E2279" w:rsidRDefault="00F55454" w:rsidP="004E2279">
            <w:pPr>
              <w:spacing w:before="120" w:after="120" w:line="276" w:lineRule="auto"/>
              <w:jc w:val="center"/>
              <w:rPr>
                <w:rFonts w:cstheme="minorHAnsi"/>
                <w:b/>
                <w:sz w:val="20"/>
                <w:szCs w:val="24"/>
              </w:rPr>
            </w:pPr>
            <w:r w:rsidRPr="004E2279">
              <w:rPr>
                <w:rFonts w:cstheme="minorHAnsi"/>
                <w:b/>
                <w:sz w:val="20"/>
                <w:szCs w:val="24"/>
              </w:rPr>
              <w:t>Wartość osiągnięta</w:t>
            </w:r>
            <w:r w:rsidR="00707B70">
              <w:rPr>
                <w:rFonts w:cstheme="minorHAnsi"/>
                <w:b/>
                <w:sz w:val="20"/>
                <w:szCs w:val="24"/>
              </w:rPr>
              <w:t xml:space="preserve"> w proj</w:t>
            </w:r>
            <w:r w:rsidR="008A7028">
              <w:rPr>
                <w:rFonts w:cstheme="minorHAnsi"/>
                <w:b/>
                <w:sz w:val="20"/>
                <w:szCs w:val="24"/>
              </w:rPr>
              <w:t>e</w:t>
            </w:r>
            <w:r w:rsidR="00707B70">
              <w:rPr>
                <w:rFonts w:cstheme="minorHAnsi"/>
                <w:b/>
                <w:sz w:val="20"/>
                <w:szCs w:val="24"/>
              </w:rPr>
              <w:t>kcie do 31.12.2018</w:t>
            </w:r>
            <w:r w:rsidR="00707B70">
              <w:rPr>
                <w:rStyle w:val="Odwoanieprzypisudolnego"/>
                <w:rFonts w:cstheme="minorHAnsi"/>
                <w:b/>
                <w:sz w:val="20"/>
                <w:szCs w:val="24"/>
              </w:rPr>
              <w:footnoteReference w:id="1"/>
            </w:r>
          </w:p>
        </w:tc>
      </w:tr>
      <w:tr w:rsidR="005E3096" w:rsidRPr="004E2279" w14:paraId="095D8FB3" w14:textId="77777777" w:rsidTr="00390E07">
        <w:tc>
          <w:tcPr>
            <w:tcW w:w="1271" w:type="dxa"/>
          </w:tcPr>
          <w:p w14:paraId="2574D93B" w14:textId="4E4DD078" w:rsidR="005E3096" w:rsidRPr="004E2279" w:rsidRDefault="005E3096" w:rsidP="005E3096">
            <w:pPr>
              <w:spacing w:before="120" w:after="120" w:line="276" w:lineRule="auto"/>
              <w:rPr>
                <w:rFonts w:cstheme="minorHAnsi"/>
                <w:szCs w:val="24"/>
              </w:rPr>
            </w:pPr>
            <w:r w:rsidRPr="004E2279">
              <w:rPr>
                <w:rFonts w:cstheme="minorHAnsi"/>
                <w:szCs w:val="24"/>
              </w:rPr>
              <w:t xml:space="preserve">PRODUKT </w:t>
            </w:r>
            <w:r w:rsidR="00AA04D2">
              <w:rPr>
                <w:rFonts w:cstheme="minorHAnsi"/>
                <w:szCs w:val="24"/>
              </w:rPr>
              <w:t>SzOOP</w:t>
            </w:r>
          </w:p>
        </w:tc>
        <w:tc>
          <w:tcPr>
            <w:tcW w:w="2795" w:type="dxa"/>
            <w:gridSpan w:val="2"/>
          </w:tcPr>
          <w:p w14:paraId="0EBE6708" w14:textId="6B026EE0" w:rsidR="005E3096" w:rsidRPr="004E2279" w:rsidRDefault="005E3096" w:rsidP="005E3096">
            <w:pPr>
              <w:spacing w:before="120" w:after="120" w:line="276" w:lineRule="auto"/>
              <w:rPr>
                <w:rFonts w:cstheme="minorHAnsi"/>
                <w:szCs w:val="24"/>
              </w:rPr>
            </w:pPr>
            <w:r w:rsidRPr="00754953">
              <w:rPr>
                <w:rFonts w:cstheme="minorHAnsi"/>
              </w:rPr>
              <w:t>Pojemność obiektów małej retencji [m3]</w:t>
            </w:r>
          </w:p>
        </w:tc>
        <w:tc>
          <w:tcPr>
            <w:tcW w:w="1539" w:type="dxa"/>
          </w:tcPr>
          <w:p w14:paraId="39835308" w14:textId="5CFFFF7C" w:rsidR="005E3096" w:rsidRPr="004E2279" w:rsidRDefault="005E3096" w:rsidP="005E3096">
            <w:pPr>
              <w:spacing w:before="120" w:after="120" w:line="276" w:lineRule="auto"/>
              <w:jc w:val="center"/>
              <w:rPr>
                <w:rFonts w:cstheme="minorHAnsi"/>
                <w:szCs w:val="24"/>
              </w:rPr>
            </w:pPr>
            <w:r w:rsidRPr="00754953">
              <w:rPr>
                <w:rFonts w:cstheme="minorHAnsi"/>
              </w:rPr>
              <w:t>2500000</w:t>
            </w:r>
          </w:p>
        </w:tc>
        <w:tc>
          <w:tcPr>
            <w:tcW w:w="1130" w:type="dxa"/>
          </w:tcPr>
          <w:p w14:paraId="7E152B6D" w14:textId="6601D9B2" w:rsidR="005E3096" w:rsidRPr="004E2279" w:rsidRDefault="005E3096" w:rsidP="005E3096">
            <w:pPr>
              <w:spacing w:before="120" w:after="120" w:line="276" w:lineRule="auto"/>
              <w:jc w:val="center"/>
              <w:rPr>
                <w:rFonts w:cstheme="minorHAnsi"/>
                <w:szCs w:val="24"/>
              </w:rPr>
            </w:pPr>
            <w:r w:rsidRPr="00754953">
              <w:rPr>
                <w:rFonts w:cstheme="minorHAnsi"/>
              </w:rPr>
              <w:t>3300000</w:t>
            </w:r>
          </w:p>
        </w:tc>
        <w:tc>
          <w:tcPr>
            <w:tcW w:w="1132" w:type="dxa"/>
          </w:tcPr>
          <w:p w14:paraId="0D2FE66B" w14:textId="32DFCBD6" w:rsidR="005E3096" w:rsidRPr="004E2279" w:rsidRDefault="005E3096" w:rsidP="005E3096">
            <w:pPr>
              <w:spacing w:before="120" w:after="120" w:line="276" w:lineRule="auto"/>
              <w:jc w:val="center"/>
              <w:rPr>
                <w:rFonts w:cstheme="minorHAnsi"/>
                <w:szCs w:val="24"/>
              </w:rPr>
            </w:pPr>
            <w:r w:rsidRPr="00754953">
              <w:rPr>
                <w:rFonts w:cstheme="minorHAnsi"/>
              </w:rPr>
              <w:t>132,0%</w:t>
            </w:r>
          </w:p>
        </w:tc>
        <w:tc>
          <w:tcPr>
            <w:tcW w:w="1200" w:type="dxa"/>
          </w:tcPr>
          <w:p w14:paraId="01A7470E" w14:textId="2E822E84" w:rsidR="005E3096" w:rsidRPr="004E2279" w:rsidRDefault="004D322D" w:rsidP="005E3096">
            <w:pPr>
              <w:spacing w:before="120" w:after="120" w:line="276" w:lineRule="auto"/>
              <w:jc w:val="center"/>
              <w:rPr>
                <w:rFonts w:cstheme="minorHAnsi"/>
                <w:szCs w:val="24"/>
              </w:rPr>
            </w:pPr>
            <w:r>
              <w:rPr>
                <w:rFonts w:cstheme="minorHAnsi"/>
              </w:rPr>
              <w:t>30000</w:t>
            </w:r>
          </w:p>
        </w:tc>
      </w:tr>
      <w:tr w:rsidR="005E3096" w:rsidRPr="004E2279" w14:paraId="69D4DC0A" w14:textId="77777777" w:rsidTr="00390E07">
        <w:tc>
          <w:tcPr>
            <w:tcW w:w="1271" w:type="dxa"/>
          </w:tcPr>
          <w:p w14:paraId="655E6E90" w14:textId="1FEE9F58" w:rsidR="005E3096" w:rsidRPr="004E2279" w:rsidRDefault="005E3096" w:rsidP="005E3096">
            <w:pPr>
              <w:spacing w:before="120" w:after="120" w:line="276" w:lineRule="auto"/>
              <w:rPr>
                <w:rFonts w:cstheme="minorHAnsi"/>
                <w:szCs w:val="24"/>
              </w:rPr>
            </w:pPr>
            <w:r w:rsidRPr="00754953">
              <w:rPr>
                <w:rFonts w:cstheme="minorHAnsi"/>
              </w:rPr>
              <w:t>PRODUKT INNE</w:t>
            </w:r>
          </w:p>
        </w:tc>
        <w:tc>
          <w:tcPr>
            <w:tcW w:w="2795" w:type="dxa"/>
            <w:gridSpan w:val="2"/>
          </w:tcPr>
          <w:p w14:paraId="72C479EA" w14:textId="18A90C40" w:rsidR="005E3096" w:rsidRPr="004E2279" w:rsidRDefault="005E3096" w:rsidP="005E3096">
            <w:pPr>
              <w:spacing w:before="120" w:after="120" w:line="276" w:lineRule="auto"/>
              <w:rPr>
                <w:rFonts w:cstheme="minorHAnsi"/>
                <w:szCs w:val="24"/>
              </w:rPr>
            </w:pPr>
            <w:r w:rsidRPr="00754953">
              <w:rPr>
                <w:rFonts w:cstheme="minorHAnsi"/>
              </w:rPr>
              <w:t>Liczba obiektów piętrzących wodę lub spowalniających jej odpływ [szt.]</w:t>
            </w:r>
          </w:p>
        </w:tc>
        <w:tc>
          <w:tcPr>
            <w:tcW w:w="1539" w:type="dxa"/>
          </w:tcPr>
          <w:p w14:paraId="7686083B" w14:textId="4A1EFE38" w:rsidR="005E3096" w:rsidRPr="004E2279" w:rsidRDefault="005E3096" w:rsidP="005E3096">
            <w:pPr>
              <w:spacing w:before="120" w:after="120" w:line="276" w:lineRule="auto"/>
              <w:jc w:val="center"/>
              <w:rPr>
                <w:rFonts w:cstheme="minorHAnsi"/>
                <w:szCs w:val="24"/>
              </w:rPr>
            </w:pPr>
          </w:p>
        </w:tc>
        <w:tc>
          <w:tcPr>
            <w:tcW w:w="1130" w:type="dxa"/>
          </w:tcPr>
          <w:p w14:paraId="0EF6B3F3" w14:textId="30563FAD" w:rsidR="005E3096" w:rsidRPr="004E2279" w:rsidRDefault="005E3096" w:rsidP="005E3096">
            <w:pPr>
              <w:spacing w:before="120" w:after="120" w:line="276" w:lineRule="auto"/>
              <w:jc w:val="center"/>
              <w:rPr>
                <w:rFonts w:cstheme="minorHAnsi"/>
                <w:szCs w:val="24"/>
              </w:rPr>
            </w:pPr>
            <w:r w:rsidRPr="00754953">
              <w:rPr>
                <w:rFonts w:cstheme="minorHAnsi"/>
              </w:rPr>
              <w:t>1181</w:t>
            </w:r>
          </w:p>
        </w:tc>
        <w:tc>
          <w:tcPr>
            <w:tcW w:w="1132" w:type="dxa"/>
          </w:tcPr>
          <w:p w14:paraId="29623623" w14:textId="77D5A257" w:rsidR="005E3096" w:rsidRPr="004E2279" w:rsidRDefault="005E3096" w:rsidP="005E3096">
            <w:pPr>
              <w:spacing w:before="120" w:after="120" w:line="276" w:lineRule="auto"/>
              <w:jc w:val="center"/>
              <w:rPr>
                <w:rFonts w:cstheme="minorHAnsi"/>
                <w:szCs w:val="24"/>
              </w:rPr>
            </w:pPr>
          </w:p>
        </w:tc>
        <w:tc>
          <w:tcPr>
            <w:tcW w:w="1200" w:type="dxa"/>
          </w:tcPr>
          <w:p w14:paraId="37C3B3C8" w14:textId="3B32A7CF" w:rsidR="005E3096" w:rsidRPr="004E2279" w:rsidRDefault="004D322D" w:rsidP="005E3096">
            <w:pPr>
              <w:spacing w:before="120" w:after="120" w:line="276" w:lineRule="auto"/>
              <w:jc w:val="center"/>
              <w:rPr>
                <w:rFonts w:cstheme="minorHAnsi"/>
                <w:szCs w:val="24"/>
              </w:rPr>
            </w:pPr>
            <w:r>
              <w:rPr>
                <w:rFonts w:cstheme="minorHAnsi"/>
              </w:rPr>
              <w:t>1</w:t>
            </w:r>
          </w:p>
        </w:tc>
      </w:tr>
      <w:tr w:rsidR="005E3096" w:rsidRPr="004E2279" w14:paraId="4CB1CD9D" w14:textId="77777777" w:rsidTr="00390E07">
        <w:tc>
          <w:tcPr>
            <w:tcW w:w="1271" w:type="dxa"/>
          </w:tcPr>
          <w:p w14:paraId="260A6A6A" w14:textId="19A43D37" w:rsidR="005E3096" w:rsidRPr="004E2279" w:rsidRDefault="005E3096" w:rsidP="005E3096">
            <w:pPr>
              <w:spacing w:before="120" w:after="120" w:line="276" w:lineRule="auto"/>
              <w:rPr>
                <w:rFonts w:cstheme="minorHAnsi"/>
                <w:szCs w:val="24"/>
              </w:rPr>
            </w:pPr>
            <w:r w:rsidRPr="004E2279">
              <w:rPr>
                <w:rFonts w:cstheme="minorHAnsi"/>
                <w:szCs w:val="24"/>
              </w:rPr>
              <w:t xml:space="preserve">REZULTAT </w:t>
            </w:r>
            <w:r w:rsidR="005D1D52">
              <w:rPr>
                <w:rFonts w:cstheme="minorHAnsi"/>
                <w:szCs w:val="24"/>
              </w:rPr>
              <w:t>POIiŚ</w:t>
            </w:r>
          </w:p>
        </w:tc>
        <w:tc>
          <w:tcPr>
            <w:tcW w:w="2795" w:type="dxa"/>
            <w:gridSpan w:val="2"/>
          </w:tcPr>
          <w:p w14:paraId="78A124DE" w14:textId="3959B636" w:rsidR="005E3096" w:rsidRPr="004E2279" w:rsidRDefault="005E3096" w:rsidP="005E3096">
            <w:pPr>
              <w:spacing w:before="120" w:after="120" w:line="276" w:lineRule="auto"/>
              <w:rPr>
                <w:rFonts w:cstheme="minorHAnsi"/>
                <w:szCs w:val="24"/>
              </w:rPr>
            </w:pPr>
            <w:r w:rsidRPr="00754953">
              <w:rPr>
                <w:rFonts w:cstheme="minorHAnsi"/>
              </w:rPr>
              <w:t>Objętość retencjonowanej wody [m3]</w:t>
            </w:r>
          </w:p>
        </w:tc>
        <w:tc>
          <w:tcPr>
            <w:tcW w:w="1539" w:type="dxa"/>
          </w:tcPr>
          <w:p w14:paraId="591059F9" w14:textId="4EA79C14" w:rsidR="005E3096" w:rsidRPr="004E2279" w:rsidRDefault="005E3096" w:rsidP="005E3096">
            <w:pPr>
              <w:spacing w:before="120" w:after="120" w:line="276" w:lineRule="auto"/>
              <w:jc w:val="center"/>
              <w:rPr>
                <w:rFonts w:cstheme="minorHAnsi"/>
                <w:szCs w:val="24"/>
              </w:rPr>
            </w:pPr>
            <w:r w:rsidRPr="00754953">
              <w:rPr>
                <w:rFonts w:cstheme="minorHAnsi"/>
              </w:rPr>
              <w:t>2500000</w:t>
            </w:r>
          </w:p>
        </w:tc>
        <w:tc>
          <w:tcPr>
            <w:tcW w:w="1130" w:type="dxa"/>
          </w:tcPr>
          <w:p w14:paraId="63589313" w14:textId="2F917A2D" w:rsidR="005E3096" w:rsidRPr="004E2279" w:rsidRDefault="005E3096" w:rsidP="005E3096">
            <w:pPr>
              <w:spacing w:before="120" w:after="120" w:line="276" w:lineRule="auto"/>
              <w:jc w:val="center"/>
              <w:rPr>
                <w:rFonts w:cstheme="minorHAnsi"/>
                <w:szCs w:val="24"/>
              </w:rPr>
            </w:pPr>
            <w:r w:rsidRPr="00754953">
              <w:rPr>
                <w:rFonts w:cstheme="minorHAnsi"/>
              </w:rPr>
              <w:t>2100000</w:t>
            </w:r>
          </w:p>
        </w:tc>
        <w:tc>
          <w:tcPr>
            <w:tcW w:w="1132" w:type="dxa"/>
          </w:tcPr>
          <w:p w14:paraId="580F3623" w14:textId="20C21CF7" w:rsidR="005E3096" w:rsidRPr="004E2279" w:rsidRDefault="005E3096" w:rsidP="005E3096">
            <w:pPr>
              <w:spacing w:before="120" w:after="120" w:line="276" w:lineRule="auto"/>
              <w:jc w:val="center"/>
              <w:rPr>
                <w:rFonts w:cstheme="minorHAnsi"/>
                <w:szCs w:val="24"/>
              </w:rPr>
            </w:pPr>
            <w:r w:rsidRPr="00754953">
              <w:rPr>
                <w:rFonts w:cstheme="minorHAnsi"/>
              </w:rPr>
              <w:t>84,0%</w:t>
            </w:r>
          </w:p>
        </w:tc>
        <w:tc>
          <w:tcPr>
            <w:tcW w:w="1200" w:type="dxa"/>
          </w:tcPr>
          <w:p w14:paraId="5A9CCEAE" w14:textId="4276C6C9" w:rsidR="005E3096" w:rsidRPr="004E2279" w:rsidRDefault="004D322D" w:rsidP="005E3096">
            <w:pPr>
              <w:spacing w:before="120" w:after="120" w:line="276" w:lineRule="auto"/>
              <w:jc w:val="center"/>
              <w:rPr>
                <w:rFonts w:cstheme="minorHAnsi"/>
                <w:szCs w:val="24"/>
              </w:rPr>
            </w:pPr>
            <w:r>
              <w:rPr>
                <w:rFonts w:cstheme="minorHAnsi"/>
              </w:rPr>
              <w:t>30000</w:t>
            </w:r>
          </w:p>
        </w:tc>
      </w:tr>
      <w:tr w:rsidR="00745AE0" w:rsidRPr="004E2279" w14:paraId="1D8B14EA" w14:textId="77777777" w:rsidTr="004E2279">
        <w:tc>
          <w:tcPr>
            <w:tcW w:w="9067" w:type="dxa"/>
            <w:gridSpan w:val="7"/>
            <w:shd w:val="clear" w:color="auto" w:fill="92D050"/>
          </w:tcPr>
          <w:p w14:paraId="3B79FACF" w14:textId="77777777" w:rsidR="00DE37B7" w:rsidRPr="004D28D0" w:rsidRDefault="00DE37B7" w:rsidP="00DE37B7">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5197B6CF" w14:textId="77777777" w:rsidR="00DE37B7" w:rsidRPr="004D28D0" w:rsidRDefault="00DE37B7" w:rsidP="00DE37B7">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3FB1A81C" w14:textId="0D404231" w:rsidR="002B7A54" w:rsidRPr="004E2279" w:rsidRDefault="00DE37B7" w:rsidP="00DE37B7">
            <w:pPr>
              <w:spacing w:before="120" w:after="120" w:line="276" w:lineRule="auto"/>
              <w:jc w:val="both"/>
              <w:rPr>
                <w:rFonts w:cstheme="minorHAnsi"/>
                <w:i/>
                <w:iCs/>
                <w:sz w:val="24"/>
                <w:szCs w:val="24"/>
              </w:rPr>
            </w:pPr>
            <w:r w:rsidRPr="004D28D0">
              <w:rPr>
                <w:rFonts w:cstheme="minorHAnsi"/>
                <w:i/>
                <w:iCs/>
                <w:color w:val="404040" w:themeColor="text1" w:themeTint="BF"/>
                <w:szCs w:val="24"/>
              </w:rPr>
              <w:t xml:space="preserve">Czy można zidentyfikować inne istotne efekty ekologiczne oraz </w:t>
            </w:r>
            <w:proofErr w:type="spellStart"/>
            <w:r w:rsidRPr="004D28D0">
              <w:rPr>
                <w:rFonts w:cstheme="minorHAnsi"/>
                <w:i/>
                <w:iCs/>
                <w:color w:val="404040" w:themeColor="text1" w:themeTint="BF"/>
                <w:szCs w:val="24"/>
              </w:rPr>
              <w:t>po</w:t>
            </w:r>
            <w:r>
              <w:rPr>
                <w:rFonts w:cstheme="minorHAnsi"/>
                <w:i/>
                <w:iCs/>
                <w:color w:val="404040" w:themeColor="text1" w:themeTint="BF"/>
                <w:szCs w:val="24"/>
              </w:rPr>
              <w:t>zaekologiczne</w:t>
            </w:r>
            <w:proofErr w:type="spellEnd"/>
            <w:r>
              <w:rPr>
                <w:rFonts w:cstheme="minorHAnsi"/>
                <w:i/>
                <w:iCs/>
                <w:color w:val="404040" w:themeColor="text1" w:themeTint="BF"/>
                <w:szCs w:val="24"/>
              </w:rPr>
              <w:t>,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mogą być isto</w:t>
            </w:r>
            <w:r w:rsidR="0057486F">
              <w:rPr>
                <w:rFonts w:cstheme="minorHAnsi"/>
                <w:i/>
                <w:iCs/>
                <w:color w:val="404040" w:themeColor="text1" w:themeTint="BF"/>
                <w:szCs w:val="24"/>
              </w:rPr>
              <w:t>t</w:t>
            </w:r>
            <w:r>
              <w:rPr>
                <w:rFonts w:cstheme="minorHAnsi"/>
                <w:i/>
                <w:iCs/>
                <w:color w:val="404040" w:themeColor="text1" w:themeTint="BF"/>
                <w:szCs w:val="24"/>
              </w:rPr>
              <w:t xml:space="preserve">ne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4E2279" w14:paraId="3962B119" w14:textId="77777777" w:rsidTr="004E2279">
        <w:tc>
          <w:tcPr>
            <w:tcW w:w="9067" w:type="dxa"/>
            <w:gridSpan w:val="7"/>
          </w:tcPr>
          <w:p w14:paraId="6901C65F" w14:textId="77777777" w:rsidR="00003A28" w:rsidRPr="00754953" w:rsidRDefault="00003A28" w:rsidP="00003A28">
            <w:pPr>
              <w:spacing w:before="120" w:after="120" w:line="276" w:lineRule="auto"/>
              <w:jc w:val="both"/>
              <w:rPr>
                <w:rFonts w:cstheme="minorHAnsi"/>
                <w:sz w:val="24"/>
                <w:szCs w:val="24"/>
              </w:rPr>
            </w:pPr>
            <w:r w:rsidRPr="00754953">
              <w:rPr>
                <w:rFonts w:cstheme="minorHAnsi"/>
                <w:sz w:val="24"/>
                <w:szCs w:val="24"/>
              </w:rPr>
              <w:t>EFEKTY EKOLOGICZNE:</w:t>
            </w:r>
          </w:p>
          <w:p w14:paraId="04242A1E" w14:textId="56E88D89" w:rsidR="00003A28" w:rsidRPr="00754953" w:rsidRDefault="00003A28" w:rsidP="00003A28">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Głównym efektem ekologicznym działań w ramach projektu będzie wzmocnienie odporności na zagrożenia związane ze zmianami klimatu w nizinnych ekosystemach leśnych. Działania podejmowane w ramach projektu ukierunkowane są na zapobieganie powstawaniu lub minimalizację negatywnych skutków zjawisk naturalnych w postaci: suszy i pożarów, niszczącego działania wód wezbraniowych, powodzi i podtopień poprzez rozwój systemów małej retencji, zarówno retencji zbiornikowej jak i retencji na obszarach </w:t>
            </w:r>
            <w:r w:rsidRPr="00754953">
              <w:rPr>
                <w:rFonts w:cstheme="minorHAnsi"/>
                <w:sz w:val="24"/>
                <w:szCs w:val="24"/>
              </w:rPr>
              <w:lastRenderedPageBreak/>
              <w:t>mokradłowych, jak również poprzez realizację zadań z zakresu przeciwdziałania nadmiernej erozji. Efektem realizacji projektu będzie również odbudowa cennych ekosystemów naturalnych, a tym samym będzie miał pozytywny wpływ na ochronę różnorodności biologicznej. Wybudowane w ramach projektu obiekty poza swoim podstawowym zadaniem przyniosą pozytywny efekt w postaci zwiększenia różnorodności biologicznej, poprawy jakości wody czy zwiększenia zasobów wód podziemnych. Efektem będzie również zwiększenie akumulacji CO</w:t>
            </w:r>
            <w:r w:rsidRPr="00DC17E4">
              <w:rPr>
                <w:rFonts w:cstheme="minorHAnsi"/>
                <w:sz w:val="24"/>
                <w:szCs w:val="24"/>
                <w:vertAlign w:val="subscript"/>
              </w:rPr>
              <w:t>2</w:t>
            </w:r>
            <w:r w:rsidRPr="00754953">
              <w:rPr>
                <w:rFonts w:cstheme="minorHAnsi"/>
                <w:sz w:val="24"/>
                <w:szCs w:val="24"/>
              </w:rPr>
              <w:t xml:space="preserve">. </w:t>
            </w:r>
            <w:r w:rsidRPr="00003A28">
              <w:rPr>
                <w:rFonts w:cstheme="minorHAnsi"/>
                <w:sz w:val="24"/>
                <w:szCs w:val="24"/>
              </w:rPr>
              <w:t>Siedliska wilgotne charakteryzujące się większą różnorodnością biologiczną mają większą zdolność akumulacji dwutlenku węgla niż siedliska suche. Realizacja projektów może zatem przyczynić się do zwiększenia akumulacji CO</w:t>
            </w:r>
            <w:r w:rsidRPr="00DC17E4">
              <w:rPr>
                <w:rFonts w:cstheme="minorHAnsi"/>
                <w:sz w:val="24"/>
                <w:szCs w:val="24"/>
                <w:vertAlign w:val="subscript"/>
              </w:rPr>
              <w:t>2</w:t>
            </w:r>
            <w:r w:rsidRPr="00003A28">
              <w:rPr>
                <w:rFonts w:cstheme="minorHAnsi"/>
                <w:sz w:val="24"/>
                <w:szCs w:val="24"/>
              </w:rPr>
              <w:t>.  Jest to efekt poboczny realizacji projektów, który nie stanowi bowiem obszaru monitoringu ani badań w zakresie realizowanych projektów. Badania w tym zakresie prowadzone są przez wyspecjalizowane jednostki, m.in. Instytut Badawczy Leśnictwa w Sękocinie Starym, Instytu</w:t>
            </w:r>
            <w:r w:rsidR="00921F00">
              <w:rPr>
                <w:rFonts w:cstheme="minorHAnsi"/>
                <w:sz w:val="24"/>
                <w:szCs w:val="24"/>
              </w:rPr>
              <w:t>t</w:t>
            </w:r>
            <w:r w:rsidRPr="00003A28">
              <w:rPr>
                <w:rFonts w:cstheme="minorHAnsi"/>
                <w:sz w:val="24"/>
                <w:szCs w:val="24"/>
              </w:rPr>
              <w:t xml:space="preserve"> Dendrologii PAN w Kórniku czy też Uniwersytet Rolniczy w Krakowie. </w:t>
            </w:r>
          </w:p>
          <w:p w14:paraId="7A70812F" w14:textId="5FE4DB1E" w:rsidR="00003A28" w:rsidRDefault="00003A28" w:rsidP="00F24892">
            <w:pPr>
              <w:pStyle w:val="ox-cf17792aa9-msonormal"/>
              <w:spacing w:before="120" w:beforeAutospacing="0" w:after="120" w:afterAutospacing="0" w:line="276" w:lineRule="auto"/>
              <w:jc w:val="both"/>
              <w:rPr>
                <w:rFonts w:asciiTheme="minorHAnsi" w:eastAsiaTheme="minorHAnsi" w:hAnsiTheme="minorHAnsi" w:cstheme="minorHAnsi"/>
                <w:lang w:eastAsia="en-US"/>
              </w:rPr>
            </w:pPr>
            <w:r w:rsidRPr="00003A28">
              <w:rPr>
                <w:rFonts w:asciiTheme="minorHAnsi" w:eastAsiaTheme="minorHAnsi" w:hAnsiTheme="minorHAnsi" w:cstheme="minorHAnsi"/>
                <w:lang w:eastAsia="en-US"/>
              </w:rPr>
              <w:t xml:space="preserve">Efektem realizacji projektu będzie również poprawa jakości wody, poprzez budowę na obszarze zbiorników i terenów mokradłowych mających zdolność oczyszczania wody ze związków biogennych (azot, fosfor) oraz pestycydów. </w:t>
            </w:r>
          </w:p>
          <w:p w14:paraId="5B912C5B" w14:textId="7074A61D" w:rsidR="00530E22" w:rsidRDefault="00F24892" w:rsidP="00F24892">
            <w:pPr>
              <w:pStyle w:val="ox-cf17792aa9-msonormal"/>
              <w:spacing w:before="120" w:beforeAutospacing="0" w:after="120" w:afterAutospacing="0"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Istotny w skali Polski oraz Unii Europejskiej będzie wkład</w:t>
            </w:r>
            <w:r w:rsidR="002A793B">
              <w:rPr>
                <w:rFonts w:asciiTheme="minorHAnsi" w:eastAsiaTheme="minorHAnsi" w:hAnsiTheme="minorHAnsi" w:cstheme="minorHAnsi"/>
                <w:lang w:eastAsia="en-US"/>
              </w:rPr>
              <w:t xml:space="preserve"> projektu</w:t>
            </w:r>
            <w:r>
              <w:rPr>
                <w:rFonts w:asciiTheme="minorHAnsi" w:eastAsiaTheme="minorHAnsi" w:hAnsiTheme="minorHAnsi" w:cstheme="minorHAnsi"/>
                <w:lang w:eastAsia="en-US"/>
              </w:rPr>
              <w:t xml:space="preserve"> w postępy w adaptacji do zmian klimatu</w:t>
            </w:r>
            <w:r w:rsidR="00DC17E4">
              <w:rPr>
                <w:rFonts w:asciiTheme="minorHAnsi" w:eastAsiaTheme="minorHAnsi" w:hAnsiTheme="minorHAnsi" w:cstheme="minorHAnsi"/>
                <w:lang w:eastAsia="en-US"/>
              </w:rPr>
              <w:t xml:space="preserve"> oraz ochronę bioróżnorodności biol</w:t>
            </w:r>
            <w:r w:rsidR="00A47573">
              <w:rPr>
                <w:rFonts w:asciiTheme="minorHAnsi" w:eastAsiaTheme="minorHAnsi" w:hAnsiTheme="minorHAnsi" w:cstheme="minorHAnsi"/>
                <w:lang w:eastAsia="en-US"/>
              </w:rPr>
              <w:t>o</w:t>
            </w:r>
            <w:r w:rsidR="00DC17E4">
              <w:rPr>
                <w:rFonts w:asciiTheme="minorHAnsi" w:eastAsiaTheme="minorHAnsi" w:hAnsiTheme="minorHAnsi" w:cstheme="minorHAnsi"/>
                <w:lang w:eastAsia="en-US"/>
              </w:rPr>
              <w:t>gicznej</w:t>
            </w:r>
            <w:r w:rsidR="00430CF0">
              <w:rPr>
                <w:rFonts w:asciiTheme="minorHAnsi" w:eastAsiaTheme="minorHAnsi" w:hAnsiTheme="minorHAnsi" w:cstheme="minorHAnsi"/>
                <w:lang w:eastAsia="en-US"/>
              </w:rPr>
              <w:t xml:space="preserve">, jednak na podstawie dostępnych danych nie można precyzyjnie określić tego wkładu. </w:t>
            </w:r>
            <w:r w:rsidR="00DC17E4">
              <w:rPr>
                <w:rFonts w:asciiTheme="minorHAnsi" w:eastAsiaTheme="minorHAnsi" w:hAnsiTheme="minorHAnsi" w:cstheme="minorHAnsi"/>
                <w:lang w:eastAsia="en-US"/>
              </w:rPr>
              <w:t>Projekt realizuje również cele europejskie w zakresie ochrony i poprawy ekosystemów zarówno wodnych jak i</w:t>
            </w:r>
            <w:r w:rsidR="00530E56">
              <w:rPr>
                <w:rFonts w:asciiTheme="minorHAnsi" w:eastAsiaTheme="minorHAnsi" w:hAnsiTheme="minorHAnsi" w:cstheme="minorHAnsi"/>
                <w:lang w:eastAsia="en-US"/>
              </w:rPr>
              <w:t> </w:t>
            </w:r>
            <w:r w:rsidR="00DC17E4">
              <w:rPr>
                <w:rFonts w:asciiTheme="minorHAnsi" w:eastAsiaTheme="minorHAnsi" w:hAnsiTheme="minorHAnsi" w:cstheme="minorHAnsi"/>
                <w:lang w:eastAsia="en-US"/>
              </w:rPr>
              <w:t xml:space="preserve">lądowych powiązanych z ekosystemami wodnymi. </w:t>
            </w:r>
            <w:r w:rsidR="00626248">
              <w:rPr>
                <w:rFonts w:asciiTheme="minorHAnsi" w:eastAsiaTheme="minorHAnsi" w:hAnsiTheme="minorHAnsi" w:cstheme="minorHAnsi"/>
                <w:lang w:eastAsia="en-US"/>
              </w:rPr>
              <w:t>Na podstawie dostępnych danych nie można precyzyjnie określić tego wk</w:t>
            </w:r>
            <w:r w:rsidR="003D31E2">
              <w:rPr>
                <w:rFonts w:asciiTheme="minorHAnsi" w:eastAsiaTheme="minorHAnsi" w:hAnsiTheme="minorHAnsi" w:cstheme="minorHAnsi"/>
                <w:lang w:eastAsia="en-US"/>
              </w:rPr>
              <w:t>ł</w:t>
            </w:r>
            <w:r w:rsidR="00921F00">
              <w:rPr>
                <w:rFonts w:asciiTheme="minorHAnsi" w:eastAsiaTheme="minorHAnsi" w:hAnsiTheme="minorHAnsi" w:cstheme="minorHAnsi"/>
                <w:lang w:eastAsia="en-US"/>
              </w:rPr>
              <w:t>a</w:t>
            </w:r>
            <w:r w:rsidR="003D31E2">
              <w:rPr>
                <w:rFonts w:asciiTheme="minorHAnsi" w:eastAsiaTheme="minorHAnsi" w:hAnsiTheme="minorHAnsi" w:cstheme="minorHAnsi"/>
                <w:lang w:eastAsia="en-US"/>
              </w:rPr>
              <w:t>du</w:t>
            </w:r>
            <w:r w:rsidR="00626248">
              <w:rPr>
                <w:rFonts w:asciiTheme="minorHAnsi" w:eastAsiaTheme="minorHAnsi" w:hAnsiTheme="minorHAnsi" w:cstheme="minorHAnsi"/>
                <w:lang w:eastAsia="en-US"/>
              </w:rPr>
              <w:t xml:space="preserve">. </w:t>
            </w:r>
          </w:p>
          <w:p w14:paraId="4918E26F" w14:textId="77777777" w:rsidR="00003A28" w:rsidRPr="00754953" w:rsidRDefault="00003A28" w:rsidP="00003A28">
            <w:pPr>
              <w:spacing w:before="120" w:after="120" w:line="276" w:lineRule="auto"/>
              <w:jc w:val="both"/>
              <w:rPr>
                <w:rFonts w:cstheme="minorHAnsi"/>
                <w:sz w:val="24"/>
                <w:szCs w:val="24"/>
              </w:rPr>
            </w:pPr>
            <w:r w:rsidRPr="00754953">
              <w:rPr>
                <w:rFonts w:cstheme="minorHAnsi"/>
                <w:sz w:val="24"/>
                <w:szCs w:val="24"/>
              </w:rPr>
              <w:t>EFEKTY POZAEKOLOGICZNE:</w:t>
            </w:r>
          </w:p>
          <w:p w14:paraId="5AB387A0" w14:textId="129EA429" w:rsidR="00003A28" w:rsidRPr="00754953" w:rsidRDefault="00003A28" w:rsidP="00003A28">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Zgodnie ze wskazaniami Beneficjenta wybudowane obiekty poza swoim podstawowym zadaniem będą pełnić też dodatkowe funkcje generujące efekty </w:t>
            </w:r>
            <w:proofErr w:type="spellStart"/>
            <w:r w:rsidRPr="00754953">
              <w:rPr>
                <w:rFonts w:cstheme="minorHAnsi"/>
                <w:sz w:val="24"/>
                <w:szCs w:val="24"/>
              </w:rPr>
              <w:t>pozaekologiczne</w:t>
            </w:r>
            <w:proofErr w:type="spellEnd"/>
            <w:r w:rsidRPr="00754953">
              <w:rPr>
                <w:rFonts w:cstheme="minorHAnsi"/>
                <w:sz w:val="24"/>
                <w:szCs w:val="24"/>
              </w:rPr>
              <w:t xml:space="preserve"> jakimi będą stworzenie warunków do rekreacji i edukacji przyrodniczo-leśnej, stymulacja lokalnej gospodarki na etapie realizacji (wzrost liczby zamówień na usługi i roboty). </w:t>
            </w:r>
            <w:r w:rsidRPr="00003A28">
              <w:rPr>
                <w:rFonts w:cstheme="minorHAnsi"/>
                <w:sz w:val="24"/>
                <w:szCs w:val="24"/>
              </w:rPr>
              <w:t>W przetargach nieograniczonych każdy wykonawca ma prawo do złożenia oferty, jednak przeważnie z</w:t>
            </w:r>
            <w:r w:rsidR="00530E56">
              <w:rPr>
                <w:rFonts w:cstheme="minorHAnsi"/>
                <w:sz w:val="24"/>
                <w:szCs w:val="24"/>
              </w:rPr>
              <w:t> </w:t>
            </w:r>
            <w:r w:rsidRPr="00003A28">
              <w:rPr>
                <w:rFonts w:cstheme="minorHAnsi"/>
                <w:sz w:val="24"/>
                <w:szCs w:val="24"/>
              </w:rPr>
              <w:t>uwagi na niewielki zakres prac budowlanych do wykonania w ramach Projektów w</w:t>
            </w:r>
            <w:r w:rsidR="00530E56">
              <w:rPr>
                <w:rFonts w:cstheme="minorHAnsi"/>
                <w:sz w:val="24"/>
                <w:szCs w:val="24"/>
              </w:rPr>
              <w:t> </w:t>
            </w:r>
            <w:r w:rsidRPr="00003A28">
              <w:rPr>
                <w:rFonts w:cstheme="minorHAnsi"/>
                <w:sz w:val="24"/>
                <w:szCs w:val="24"/>
              </w:rPr>
              <w:t>postępowaniach przetargowych na roboty budowlane i nadzory inwestorskie często biorą udział mniejsze, lokalne firmy lub osoby prowadzące jednoosobową działalność gospodarczą. W przypadku usług projektowych większe znaczenie mają firmy o zasi</w:t>
            </w:r>
            <w:r w:rsidR="00921F00">
              <w:rPr>
                <w:rFonts w:cstheme="minorHAnsi"/>
                <w:sz w:val="24"/>
                <w:szCs w:val="24"/>
              </w:rPr>
              <w:t>ę</w:t>
            </w:r>
            <w:r w:rsidRPr="00003A28">
              <w:rPr>
                <w:rFonts w:cstheme="minorHAnsi"/>
                <w:sz w:val="24"/>
                <w:szCs w:val="24"/>
              </w:rPr>
              <w:t>gu ogólnopolskim z uwagi na fakt, iż lokalne firmy nie są w stanie obsłużyć “potrzeb Projektów” (duży problem z wykonawcami w Polsce północno-wschodniej).</w:t>
            </w:r>
          </w:p>
          <w:p w14:paraId="3466F405" w14:textId="5A2441F6" w:rsidR="00003A28" w:rsidRPr="00754953" w:rsidRDefault="00003A28" w:rsidP="00003A28">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Efektem </w:t>
            </w:r>
            <w:proofErr w:type="spellStart"/>
            <w:r w:rsidRPr="00754953">
              <w:rPr>
                <w:rFonts w:cstheme="minorHAnsi"/>
                <w:sz w:val="24"/>
                <w:szCs w:val="24"/>
              </w:rPr>
              <w:t>pozaekologicznym</w:t>
            </w:r>
            <w:proofErr w:type="spellEnd"/>
            <w:r w:rsidRPr="00754953">
              <w:rPr>
                <w:rFonts w:cstheme="minorHAnsi"/>
                <w:sz w:val="24"/>
                <w:szCs w:val="24"/>
              </w:rPr>
              <w:t xml:space="preserve"> będzie również wsparcie trwale zrównoważonej gospodarki leśnej. </w:t>
            </w:r>
            <w:r w:rsidRPr="00003A28">
              <w:rPr>
                <w:rFonts w:cstheme="minorHAnsi"/>
                <w:sz w:val="24"/>
                <w:szCs w:val="24"/>
              </w:rPr>
              <w:t xml:space="preserve">Zrównoważona gospodarka leśna to działalność zmierzająca do ukształtowania struktury lasów i ich wykorzystania w sposób i tempie zapewniającym trwałe zachowanie ich bogactwa biologicznego, wysokiej produkcyjności oraz potencjału regeneracyjnego, żywotności i zdolności do wypełniania, teraz i w przyszłości, wszystkich ważnych </w:t>
            </w:r>
            <w:r w:rsidRPr="00003A28">
              <w:rPr>
                <w:rFonts w:cstheme="minorHAnsi"/>
                <w:sz w:val="24"/>
                <w:szCs w:val="24"/>
              </w:rPr>
              <w:lastRenderedPageBreak/>
              <w:t>ochronnych, gospodarczych i socjalnych funkcji na poziomie lokalnym, narodowym i</w:t>
            </w:r>
            <w:r w:rsidR="00530E56">
              <w:rPr>
                <w:rFonts w:cstheme="minorHAnsi"/>
                <w:sz w:val="24"/>
                <w:szCs w:val="24"/>
              </w:rPr>
              <w:t> </w:t>
            </w:r>
            <w:r w:rsidRPr="00003A28">
              <w:rPr>
                <w:rFonts w:cstheme="minorHAnsi"/>
                <w:sz w:val="24"/>
                <w:szCs w:val="24"/>
              </w:rPr>
              <w:t>globalnym, bez szkody dla innych ekosystemów.</w:t>
            </w:r>
            <w:r w:rsidRPr="00754953">
              <w:rPr>
                <w:rFonts w:cstheme="minorHAnsi"/>
                <w:sz w:val="24"/>
                <w:szCs w:val="24"/>
              </w:rPr>
              <w:t xml:space="preserve"> </w:t>
            </w:r>
            <w:r w:rsidRPr="00003A28">
              <w:rPr>
                <w:rFonts w:cstheme="minorHAnsi"/>
                <w:sz w:val="24"/>
                <w:szCs w:val="24"/>
              </w:rPr>
              <w:t>Realizacja Projektu</w:t>
            </w:r>
            <w:r w:rsidR="00921F00">
              <w:rPr>
                <w:rFonts w:cstheme="minorHAnsi"/>
                <w:sz w:val="24"/>
                <w:szCs w:val="24"/>
              </w:rPr>
              <w:t xml:space="preserve"> </w:t>
            </w:r>
            <w:r w:rsidRPr="00003A28">
              <w:rPr>
                <w:rFonts w:cstheme="minorHAnsi"/>
                <w:sz w:val="24"/>
                <w:szCs w:val="24"/>
              </w:rPr>
              <w:t>jest przejawem dbałości PGL LP o zapewnienie trwałości ekosystemów leśnych (poprzez poprawę zdolności lasów do adaptacji do zmian klimatu) oraz bogactwa biologicznego. Realizacj</w:t>
            </w:r>
            <w:r w:rsidR="00921F00">
              <w:rPr>
                <w:rFonts w:cstheme="minorHAnsi"/>
                <w:sz w:val="24"/>
                <w:szCs w:val="24"/>
              </w:rPr>
              <w:t>a</w:t>
            </w:r>
            <w:r w:rsidRPr="00003A28">
              <w:rPr>
                <w:rFonts w:cstheme="minorHAnsi"/>
                <w:sz w:val="24"/>
                <w:szCs w:val="24"/>
              </w:rPr>
              <w:t xml:space="preserve"> Projektu ma zwiększyć potencjał adaptacyjny lasów do zmian klimatycznych i przyczynić się do wzrostu bioróżnorodność biologicznej. W kontekście zagrożeń, jakie niesie ze sobą proces zmian klimatycznych, niezwykle istotna staje się adaptacja wielofunkcyjnej gospodarki leśnej do zmieniających się warunków klimatycznych. Niezbędne jest określenie podejścia do gospodarowania zasobami leśnymi, które uwzględniałoby zagrożenia wynikające ze zmian klimatu, mające wpływ na stan bioróżnorodności na terenach leśnych, a także przyjmującego bazę surowcową drewna i strukturę popytu na drewno, jako podstawy dla rozwoju przemysłów opartych na tym surowcu naturalnym i rolę leśnictwa, jako czynnika rozwoju obszarów wiejskich. Zrównoważony charakter gospodarki leśnej, pozwalający na korzystanie z zasobów leśnych i równoczesne ich powiększanie, jest przykładem gospodarowania zasobami naturalnymi przy wykorzystaniu aktywnych metod ochrony przyrody i dobrych praktyk leśnych.  Skuteczna ochrona zasobów różnorodności biologicznej wymaga stworzenia warunków ochrony korytarzy ekologicznych i przeciwdziałania fragmentacji przestrzeni przyrodniczej, co umożliwi migrację i dyspersję gatunków zarówno w wymiarze europejskim, regionalnym, jak i lokalnym. Przywracanie ciągłości biologicznej cieków w ramach projektów przyczynia się do osiągnięcia tych celów. Ponadto Lasy dzięki realizacji Projektów retencyjnych wdrażają działania zmierzające do przywrócenia/utrzymania właściwego stanu ochrony siedlisk i gatunków mokradłowych lub od wód zależnych, tj. wskazanie siedlisk oraz gatunków wrażliwych na zmiany klimatyczne. </w:t>
            </w:r>
          </w:p>
          <w:p w14:paraId="207EBE99" w14:textId="433A390B" w:rsidR="007964B7" w:rsidRPr="004E2279" w:rsidRDefault="00003A28" w:rsidP="00003A28">
            <w:pPr>
              <w:autoSpaceDE w:val="0"/>
              <w:autoSpaceDN w:val="0"/>
              <w:adjustRightInd w:val="0"/>
              <w:spacing w:before="120" w:after="120" w:line="276" w:lineRule="auto"/>
              <w:jc w:val="both"/>
              <w:rPr>
                <w:rFonts w:cstheme="minorHAnsi"/>
                <w:sz w:val="24"/>
                <w:szCs w:val="24"/>
              </w:rPr>
            </w:pPr>
            <w:r w:rsidRPr="00003A28">
              <w:rPr>
                <w:rFonts w:cstheme="minorHAnsi"/>
                <w:sz w:val="24"/>
                <w:szCs w:val="24"/>
              </w:rPr>
              <w:t>Założenia realizacyjne przyjęte w ramach Projektu, w sensie podejmowanych działań retencyjnych</w:t>
            </w:r>
            <w:r w:rsidR="00921F00">
              <w:rPr>
                <w:rFonts w:cstheme="minorHAnsi"/>
                <w:sz w:val="24"/>
                <w:szCs w:val="24"/>
              </w:rPr>
              <w:t>,</w:t>
            </w:r>
            <w:r w:rsidRPr="00003A28">
              <w:rPr>
                <w:rFonts w:cstheme="minorHAnsi"/>
                <w:sz w:val="24"/>
                <w:szCs w:val="24"/>
              </w:rPr>
              <w:t xml:space="preserve"> będą wprost przyczyniać się do osiągnięcia celów BEiŚ, tj. zahamowanie spadku różnorodności biologicznej oraz zapewnienie właściwego stanu ochrony dla możliwie dużej liczby gatunków oraz siedlisk przyrodniczych, nie tylko przyczyniając się do ochrony siedlisk istniejących, ale też do odtwarzania i tworzenia nowych siedlisk dla cennych gatunków i możliwości ich przemieszczania się, a zapobieganie pożarom i erozji będzie ograniczać ryzyko degradacji cennych siedlisk i ujemnego wpływu na różnorodność biologiczną. </w:t>
            </w:r>
            <w:r w:rsidR="00921F00">
              <w:rPr>
                <w:rFonts w:cstheme="minorHAnsi"/>
                <w:sz w:val="24"/>
                <w:szCs w:val="24"/>
              </w:rPr>
              <w:t>D</w:t>
            </w:r>
            <w:r w:rsidRPr="00003A28">
              <w:rPr>
                <w:rFonts w:cstheme="minorHAnsi"/>
                <w:sz w:val="24"/>
                <w:szCs w:val="24"/>
              </w:rPr>
              <w:t>ziałani</w:t>
            </w:r>
            <w:r w:rsidR="00921F00">
              <w:rPr>
                <w:rFonts w:cstheme="minorHAnsi"/>
                <w:sz w:val="24"/>
                <w:szCs w:val="24"/>
              </w:rPr>
              <w:t>a</w:t>
            </w:r>
            <w:r w:rsidRPr="00003A28">
              <w:rPr>
                <w:rFonts w:cstheme="minorHAnsi"/>
                <w:sz w:val="24"/>
                <w:szCs w:val="24"/>
              </w:rPr>
              <w:t xml:space="preserve"> na ciekach i w ich otoczeniu oraz przetwarzaniu odpływu powierzchniowego w odpływ wgłębny przyczyni</w:t>
            </w:r>
            <w:r w:rsidR="00921F00">
              <w:rPr>
                <w:rFonts w:cstheme="minorHAnsi"/>
                <w:sz w:val="24"/>
                <w:szCs w:val="24"/>
              </w:rPr>
              <w:t>ą</w:t>
            </w:r>
            <w:r w:rsidRPr="00003A28">
              <w:rPr>
                <w:rFonts w:cstheme="minorHAnsi"/>
                <w:sz w:val="24"/>
                <w:szCs w:val="24"/>
              </w:rPr>
              <w:t xml:space="preserve"> się do ochrony jakości wód i zwiększenia różnorodności biologicznej (udrożnienia). Działania wyżej wymienione są elementem realizacji celów</w:t>
            </w:r>
            <w:r w:rsidR="00921F00">
              <w:rPr>
                <w:rFonts w:cstheme="minorHAnsi"/>
                <w:sz w:val="24"/>
                <w:szCs w:val="24"/>
              </w:rPr>
              <w:t xml:space="preserve"> </w:t>
            </w:r>
            <w:r w:rsidRPr="00003A28">
              <w:rPr>
                <w:rFonts w:cstheme="minorHAnsi"/>
                <w:sz w:val="24"/>
                <w:szCs w:val="24"/>
              </w:rPr>
              <w:t>wynikających z Ramowej Dyrektywy Wodnej, jak również warunkują skuteczną ochronę wielu gatunków i siedlisk w granicach obszarów NATURA 2000.</w:t>
            </w:r>
          </w:p>
        </w:tc>
      </w:tr>
      <w:tr w:rsidR="00AA043C" w:rsidRPr="004E2279" w14:paraId="26ED3211" w14:textId="77777777" w:rsidTr="004E2279">
        <w:tc>
          <w:tcPr>
            <w:tcW w:w="9067" w:type="dxa"/>
            <w:gridSpan w:val="7"/>
            <w:shd w:val="clear" w:color="auto" w:fill="92D050"/>
          </w:tcPr>
          <w:p w14:paraId="1A30EACB" w14:textId="77777777" w:rsidR="00AA043C" w:rsidRPr="004E2279" w:rsidRDefault="00AA043C" w:rsidP="004E2279">
            <w:pPr>
              <w:spacing w:before="120" w:after="120" w:line="276" w:lineRule="auto"/>
              <w:jc w:val="both"/>
              <w:rPr>
                <w:rFonts w:cstheme="minorHAnsi"/>
                <w:b/>
                <w:sz w:val="24"/>
                <w:szCs w:val="24"/>
              </w:rPr>
            </w:pPr>
            <w:r w:rsidRPr="004E2279">
              <w:rPr>
                <w:rFonts w:cstheme="minorHAnsi"/>
                <w:b/>
                <w:sz w:val="24"/>
                <w:szCs w:val="24"/>
              </w:rPr>
              <w:lastRenderedPageBreak/>
              <w:t>RYZYKA DLA WYKONANIA ZAŁOŻONYCH WARTOŚCI WSKAŹNIKÓW</w:t>
            </w:r>
          </w:p>
          <w:p w14:paraId="61AC3800" w14:textId="77777777" w:rsidR="00AA043C" w:rsidRPr="004E2279" w:rsidRDefault="00AA043C" w:rsidP="004E2279">
            <w:pPr>
              <w:spacing w:before="120" w:after="120" w:line="276" w:lineRule="auto"/>
              <w:jc w:val="both"/>
              <w:rPr>
                <w:rFonts w:cstheme="minorHAnsi"/>
                <w:b/>
                <w:i/>
                <w:sz w:val="24"/>
                <w:szCs w:val="24"/>
              </w:rPr>
            </w:pPr>
            <w:r w:rsidRPr="004E2279">
              <w:rPr>
                <w:rFonts w:cstheme="minorHAnsi"/>
                <w:i/>
                <w:color w:val="404040" w:themeColor="text1" w:themeTint="BF"/>
                <w:szCs w:val="24"/>
              </w:rPr>
              <w:t xml:space="preserve">Czy występują jakieś </w:t>
            </w:r>
            <w:r w:rsidR="00091A31" w:rsidRPr="004E2279">
              <w:rPr>
                <w:rFonts w:cstheme="minorHAnsi"/>
                <w:i/>
                <w:color w:val="404040" w:themeColor="text1" w:themeTint="BF"/>
                <w:szCs w:val="24"/>
              </w:rPr>
              <w:t>zagrożenia</w:t>
            </w:r>
            <w:r w:rsidRPr="004E2279">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4E2279">
              <w:rPr>
                <w:rFonts w:cstheme="minorHAnsi"/>
                <w:i/>
                <w:color w:val="404040" w:themeColor="text1" w:themeTint="BF"/>
                <w:szCs w:val="24"/>
              </w:rPr>
              <w:t>,</w:t>
            </w:r>
            <w:r w:rsidRPr="004E2279">
              <w:rPr>
                <w:rFonts w:cstheme="minorHAnsi"/>
                <w:i/>
                <w:color w:val="404040" w:themeColor="text1" w:themeTint="BF"/>
                <w:szCs w:val="24"/>
              </w:rPr>
              <w:t xml:space="preserve"> i z czego wynikają?</w:t>
            </w:r>
          </w:p>
        </w:tc>
      </w:tr>
      <w:tr w:rsidR="00AA043C" w:rsidRPr="004E2279" w14:paraId="3118A75B" w14:textId="77777777" w:rsidTr="004E2279">
        <w:tc>
          <w:tcPr>
            <w:tcW w:w="9067" w:type="dxa"/>
            <w:gridSpan w:val="7"/>
          </w:tcPr>
          <w:p w14:paraId="03146B59" w14:textId="5657B830" w:rsidR="00003A28" w:rsidRPr="00754953" w:rsidRDefault="00003A28" w:rsidP="00003A28">
            <w:pPr>
              <w:pStyle w:val="ox-cf17792aa9-msonormal"/>
              <w:spacing w:before="120" w:beforeAutospacing="0" w:after="120" w:afterAutospacing="0" w:line="276" w:lineRule="auto"/>
              <w:jc w:val="both"/>
              <w:rPr>
                <w:rFonts w:asciiTheme="minorHAnsi" w:hAnsiTheme="minorHAnsi" w:cstheme="minorHAnsi"/>
              </w:rPr>
            </w:pPr>
            <w:r w:rsidRPr="00754953">
              <w:rPr>
                <w:rFonts w:asciiTheme="minorHAnsi" w:hAnsiTheme="minorHAnsi" w:cstheme="minorHAnsi"/>
                <w:iCs/>
              </w:rPr>
              <w:lastRenderedPageBreak/>
              <w:t>Do tej pory nie ujawniły się zagrożenia dla wykonania prognozowanego wskaźnika rezultatu ani retencyjnego wskaźnika produktu, jednak należy pamiętać, że Projekt jest na początkowym etapie realizacji. Na wartości wszystkich wskaźników określonych w</w:t>
            </w:r>
            <w:r w:rsidR="00530E56">
              <w:rPr>
                <w:rFonts w:asciiTheme="minorHAnsi" w:hAnsiTheme="minorHAnsi" w:cstheme="minorHAnsi"/>
                <w:iCs/>
              </w:rPr>
              <w:t> </w:t>
            </w:r>
            <w:r w:rsidRPr="00754953">
              <w:rPr>
                <w:rFonts w:asciiTheme="minorHAnsi" w:hAnsiTheme="minorHAnsi" w:cstheme="minorHAnsi"/>
                <w:iCs/>
              </w:rPr>
              <w:t>umowach o dofinansowanie składają się cząstkowe wartości z kilkuset inwestycji w każdym projekcie. Specyfika realizowanych projektów (liczne jednostki ponoszące wydatki I</w:t>
            </w:r>
            <w:r w:rsidR="00530E56">
              <w:rPr>
                <w:rFonts w:asciiTheme="minorHAnsi" w:hAnsiTheme="minorHAnsi" w:cstheme="minorHAnsi"/>
                <w:iCs/>
              </w:rPr>
              <w:t> </w:t>
            </w:r>
            <w:r w:rsidRPr="00754953">
              <w:rPr>
                <w:rFonts w:asciiTheme="minorHAnsi" w:hAnsiTheme="minorHAnsi" w:cstheme="minorHAnsi"/>
                <w:iCs/>
              </w:rPr>
              <w:t xml:space="preserve">realizujące zadania w terenie, bardzo duża liczba drobnych inwestycji) sprawia, że wartości cząstkowe szacowane były na bardzo wstępnym etapie realizacji projektu (przed stworzeniem wniosku o dofinansowanie) i bez dokumentacji technicznej. Dopiero po podpisaniu umów o dofinansowanie możliwe było przystąpienie do tworzenia dokumentacji technicznych na poszczególne inwestycje oraz do uzyskiwania wszelkich niezbędnych decyzji </w:t>
            </w:r>
            <w:r w:rsidR="00921F00">
              <w:rPr>
                <w:rFonts w:asciiTheme="minorHAnsi" w:hAnsiTheme="minorHAnsi" w:cstheme="minorHAnsi"/>
                <w:iCs/>
              </w:rPr>
              <w:t>i</w:t>
            </w:r>
            <w:r w:rsidRPr="00754953">
              <w:rPr>
                <w:rFonts w:asciiTheme="minorHAnsi" w:hAnsiTheme="minorHAnsi" w:cstheme="minorHAnsi"/>
                <w:iCs/>
              </w:rPr>
              <w:t xml:space="preserve"> dokumentów administracyjnych, w tym środowiskowych. Powoduje to dość częste zmiany w zakresie liczby obiektów </w:t>
            </w:r>
            <w:r w:rsidR="00921F00">
              <w:rPr>
                <w:rFonts w:asciiTheme="minorHAnsi" w:hAnsiTheme="minorHAnsi" w:cstheme="minorHAnsi"/>
                <w:iCs/>
              </w:rPr>
              <w:t>i</w:t>
            </w:r>
            <w:r w:rsidRPr="00754953">
              <w:rPr>
                <w:rFonts w:asciiTheme="minorHAnsi" w:hAnsiTheme="minorHAnsi" w:cstheme="minorHAnsi"/>
                <w:iCs/>
              </w:rPr>
              <w:t xml:space="preserve"> wartości wskaźników retencyjnych z uwagi na pojawienie się obiektywnych, niemożliwych wcześniej do oszacowania trudności lub przeciwskazań (np. badania geologiczne wykazują brak możliwości budowy obiektu o</w:t>
            </w:r>
            <w:r w:rsidR="00530E56">
              <w:rPr>
                <w:rFonts w:asciiTheme="minorHAnsi" w:hAnsiTheme="minorHAnsi" w:cstheme="minorHAnsi"/>
                <w:iCs/>
              </w:rPr>
              <w:t> </w:t>
            </w:r>
            <w:r w:rsidRPr="00754953">
              <w:rPr>
                <w:rFonts w:asciiTheme="minorHAnsi" w:hAnsiTheme="minorHAnsi" w:cstheme="minorHAnsi"/>
                <w:iCs/>
              </w:rPr>
              <w:t xml:space="preserve">zakładanych parametrach). Beneficjent jednak posiada pewną pulę zadań rezerwowych, która na dzień dzisiejszy zapewnia realizację wskaźników retencyjnych na poziomie nie mniejszym niż w umowach o dofinansowanie. </w:t>
            </w:r>
          </w:p>
          <w:p w14:paraId="4166D5DA" w14:textId="7C3356B2" w:rsidR="00003A28" w:rsidRPr="00754953" w:rsidRDefault="00003A28" w:rsidP="00003A28">
            <w:pPr>
              <w:pStyle w:val="ox-cf17792aa9-msonormal"/>
              <w:spacing w:before="120" w:beforeAutospacing="0" w:after="120" w:afterAutospacing="0" w:line="276" w:lineRule="auto"/>
              <w:jc w:val="both"/>
              <w:rPr>
                <w:rFonts w:asciiTheme="minorHAnsi" w:hAnsiTheme="minorHAnsi" w:cstheme="minorHAnsi"/>
                <w:iCs/>
              </w:rPr>
            </w:pPr>
            <w:r w:rsidRPr="00754953">
              <w:rPr>
                <w:rFonts w:asciiTheme="minorHAnsi" w:hAnsiTheme="minorHAnsi" w:cstheme="minorHAnsi"/>
                <w:iCs/>
              </w:rPr>
              <w:t>W jednym z projektów najprawdopodobniej będzie miało miejsce niewykonanie prognozowanej wartości drugiego wskaźnika produktu, czyli liczby obiektów. Wynika to najczęściej z konieczności wprowadzenia zmian w liczbie planowanych do wykonania obiektów w ramach danej inwestycji na etapie tworzenia dokumentacji technicznej lub też z błędnego grupowania obiektów do poszczególnych inwestycji na etapie zgłoszeń do Projektu (podział na inwestycje wymuszają procedury administracyjne, które rozpoczęte zostały lub zostaną dopiero po podpisaniu umów o dofinansowanie). Wskaźnik liczby obiektów w obu Projektach nie jest wska</w:t>
            </w:r>
            <w:r w:rsidR="00921F00">
              <w:rPr>
                <w:rFonts w:asciiTheme="minorHAnsi" w:hAnsiTheme="minorHAnsi" w:cstheme="minorHAnsi"/>
                <w:iCs/>
              </w:rPr>
              <w:t>ź</w:t>
            </w:r>
            <w:r w:rsidRPr="00754953">
              <w:rPr>
                <w:rFonts w:asciiTheme="minorHAnsi" w:hAnsiTheme="minorHAnsi" w:cstheme="minorHAnsi"/>
                <w:iCs/>
              </w:rPr>
              <w:t xml:space="preserve">nikiem wymienionym w załączniku do </w:t>
            </w:r>
            <w:proofErr w:type="spellStart"/>
            <w:r w:rsidRPr="00754953">
              <w:rPr>
                <w:rFonts w:asciiTheme="minorHAnsi" w:hAnsiTheme="minorHAnsi" w:cstheme="minorHAnsi"/>
                <w:iCs/>
              </w:rPr>
              <w:t>SzOP</w:t>
            </w:r>
            <w:proofErr w:type="spellEnd"/>
            <w:r w:rsidRPr="00754953">
              <w:rPr>
                <w:rFonts w:asciiTheme="minorHAnsi" w:hAnsiTheme="minorHAnsi" w:cstheme="minorHAnsi"/>
                <w:iCs/>
              </w:rPr>
              <w:t xml:space="preserve"> POIiŚ </w:t>
            </w:r>
            <w:r w:rsidR="00921F00">
              <w:rPr>
                <w:rFonts w:asciiTheme="minorHAnsi" w:hAnsiTheme="minorHAnsi" w:cstheme="minorHAnsi"/>
                <w:iCs/>
              </w:rPr>
              <w:t>i</w:t>
            </w:r>
            <w:r w:rsidRPr="00754953">
              <w:rPr>
                <w:rFonts w:asciiTheme="minorHAnsi" w:hAnsiTheme="minorHAnsi" w:cstheme="minorHAnsi"/>
                <w:iCs/>
              </w:rPr>
              <w:t xml:space="preserve"> z jego realizacji Polska nie będzie rozliczana w skali całego Programu. Został on wprowadzony do umów na wniosek beneficjenta. </w:t>
            </w:r>
          </w:p>
          <w:p w14:paraId="74A67663" w14:textId="5891ED6A" w:rsidR="00091A31" w:rsidRPr="00921F00" w:rsidRDefault="00003A28" w:rsidP="00003A28">
            <w:pPr>
              <w:spacing w:before="120" w:after="120" w:line="276" w:lineRule="auto"/>
              <w:jc w:val="both"/>
              <w:rPr>
                <w:rFonts w:cstheme="minorHAnsi"/>
                <w:sz w:val="24"/>
                <w:szCs w:val="24"/>
              </w:rPr>
            </w:pPr>
            <w:r w:rsidRPr="00921F00">
              <w:rPr>
                <w:rFonts w:cstheme="minorHAnsi"/>
                <w:sz w:val="24"/>
                <w:szCs w:val="24"/>
              </w:rPr>
              <w:t xml:space="preserve">Zmiana sytuacji prawnej tj. reforma systemu gospodarki wodnej </w:t>
            </w:r>
            <w:r w:rsidRPr="00921F00">
              <w:rPr>
                <w:rFonts w:cstheme="minorHAnsi"/>
                <w:iCs/>
                <w:sz w:val="24"/>
                <w:szCs w:val="24"/>
              </w:rPr>
              <w:t>miała duży wpływ na terminy związane z uzyskiwaniem decyzji administracyjnych, a co za tym idzie, na terminy związane z realizacją umów dot. sporządzania  dokumentacji projektowej (przykładowo, proces uzyskania pozwoleń wodnoprawnych wydłużył się o ok. 4 miesiące).  Powoduje to opóźnienia w realizacji zadań, ponoszeniu wydatków i przedkładaniu ich do refundacji.</w:t>
            </w:r>
          </w:p>
        </w:tc>
      </w:tr>
      <w:tr w:rsidR="00AA043C" w:rsidRPr="004E2279" w14:paraId="5B6CD6B4" w14:textId="77777777" w:rsidTr="004E2279">
        <w:tc>
          <w:tcPr>
            <w:tcW w:w="9067" w:type="dxa"/>
            <w:gridSpan w:val="7"/>
            <w:shd w:val="clear" w:color="auto" w:fill="92D050"/>
          </w:tcPr>
          <w:p w14:paraId="582AFDA1" w14:textId="77777777" w:rsidR="00F76872" w:rsidRPr="004D28D0" w:rsidRDefault="00F76872" w:rsidP="00F76872">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14:paraId="0450F10B" w14:textId="77777777" w:rsidR="00F76872" w:rsidRDefault="00F76872" w:rsidP="00F76872">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67E1C5C4" w14:textId="303BE786" w:rsidR="00AA043C" w:rsidRPr="004E2279" w:rsidRDefault="00F76872" w:rsidP="00F76872">
            <w:pPr>
              <w:spacing w:before="120" w:after="120" w:line="276" w:lineRule="auto"/>
              <w:jc w:val="both"/>
              <w:rPr>
                <w:rFonts w:cstheme="minorHAnsi"/>
                <w:i/>
                <w:sz w:val="24"/>
                <w:szCs w:val="24"/>
              </w:rPr>
            </w:pPr>
            <w:r>
              <w:rPr>
                <w:rFonts w:cstheme="minorHAnsi"/>
                <w:i/>
              </w:rPr>
              <w:lastRenderedPageBreak/>
              <w:t xml:space="preserve">Jaki </w:t>
            </w:r>
            <w:r w:rsidRPr="0068415C">
              <w:rPr>
                <w:rFonts w:cstheme="minorHAnsi"/>
                <w:i/>
              </w:rPr>
              <w:t xml:space="preserve">wpływ </w:t>
            </w:r>
            <w:r>
              <w:rPr>
                <w:rFonts w:cstheme="minorHAnsi"/>
                <w:i/>
              </w:rPr>
              <w:t xml:space="preserve">(potencjalnie) miał </w:t>
            </w:r>
            <w:r w:rsidRPr="0068415C">
              <w:rPr>
                <w:rFonts w:cstheme="minorHAnsi"/>
                <w:i/>
              </w:rPr>
              <w:t>tryb wyboru</w:t>
            </w:r>
            <w:r>
              <w:rPr>
                <w:rFonts w:cstheme="minorHAnsi"/>
                <w:i/>
              </w:rPr>
              <w:t xml:space="preserve"> projektów</w:t>
            </w:r>
            <w:r w:rsidRPr="0068415C">
              <w:rPr>
                <w:rFonts w:cstheme="minorHAnsi"/>
                <w:i/>
              </w:rPr>
              <w:t xml:space="preserve"> na </w:t>
            </w:r>
            <w:r>
              <w:rPr>
                <w:rFonts w:cstheme="minorHAnsi"/>
                <w:i/>
              </w:rPr>
              <w:t xml:space="preserve">realizację projektu i </w:t>
            </w:r>
            <w:r w:rsidRPr="0068415C">
              <w:rPr>
                <w:rFonts w:cstheme="minorHAnsi"/>
                <w:i/>
              </w:rPr>
              <w:t>wykonanie wartości wskaźników określonych w II osi priorytetowej POIiŚ 2014-2020</w:t>
            </w:r>
            <w:r>
              <w:rPr>
                <w:rFonts w:cstheme="minorHAnsi"/>
                <w:i/>
              </w:rPr>
              <w:t>? Czy był adekwatny do typu projektu?</w:t>
            </w:r>
          </w:p>
        </w:tc>
      </w:tr>
      <w:tr w:rsidR="00AA043C" w:rsidRPr="004E2279" w14:paraId="311A3609" w14:textId="77777777" w:rsidTr="004E2279">
        <w:tc>
          <w:tcPr>
            <w:tcW w:w="9067" w:type="dxa"/>
            <w:gridSpan w:val="7"/>
          </w:tcPr>
          <w:p w14:paraId="08E2D9AE" w14:textId="44F1BBD7" w:rsidR="00091A31" w:rsidRDefault="00940B57" w:rsidP="004E2279">
            <w:pPr>
              <w:spacing w:before="120" w:after="120" w:line="276" w:lineRule="auto"/>
              <w:jc w:val="both"/>
              <w:rPr>
                <w:rFonts w:cstheme="minorHAnsi"/>
                <w:iCs/>
                <w:sz w:val="24"/>
                <w:szCs w:val="24"/>
              </w:rPr>
            </w:pPr>
            <w:r w:rsidRPr="00754953">
              <w:rPr>
                <w:rFonts w:cstheme="minorHAnsi"/>
                <w:iCs/>
                <w:sz w:val="24"/>
                <w:szCs w:val="24"/>
              </w:rPr>
              <w:lastRenderedPageBreak/>
              <w:t>Nie</w:t>
            </w:r>
            <w:r>
              <w:rPr>
                <w:rFonts w:cstheme="minorHAnsi"/>
                <w:iCs/>
                <w:sz w:val="24"/>
                <w:szCs w:val="24"/>
              </w:rPr>
              <w:t xml:space="preserve"> występowały trudności</w:t>
            </w:r>
            <w:r w:rsidRPr="00754953">
              <w:rPr>
                <w:rFonts w:cstheme="minorHAnsi"/>
                <w:iCs/>
                <w:sz w:val="24"/>
                <w:szCs w:val="24"/>
              </w:rPr>
              <w:t>, gdyż definicje wskaźników zostały wpisane do umowy o</w:t>
            </w:r>
            <w:r w:rsidR="00530E56">
              <w:rPr>
                <w:rFonts w:cstheme="minorHAnsi"/>
                <w:iCs/>
                <w:sz w:val="24"/>
                <w:szCs w:val="24"/>
              </w:rPr>
              <w:t> </w:t>
            </w:r>
            <w:r w:rsidRPr="00754953">
              <w:rPr>
                <w:rFonts w:cstheme="minorHAnsi"/>
                <w:iCs/>
                <w:sz w:val="24"/>
                <w:szCs w:val="24"/>
              </w:rPr>
              <w:t>dofinansowanie – załącznik nr 12.</w:t>
            </w:r>
          </w:p>
          <w:p w14:paraId="7975A3CF" w14:textId="46A6AFF8" w:rsidR="00924FC8" w:rsidRPr="004E2279" w:rsidRDefault="00924FC8" w:rsidP="004E2279">
            <w:pPr>
              <w:spacing w:before="120" w:after="120" w:line="276" w:lineRule="auto"/>
              <w:jc w:val="both"/>
              <w:rPr>
                <w:rFonts w:cstheme="minorHAnsi"/>
                <w:sz w:val="24"/>
                <w:szCs w:val="24"/>
              </w:rPr>
            </w:pPr>
            <w:r w:rsidRPr="00924FC8">
              <w:rPr>
                <w:rFonts w:cstheme="minorHAnsi"/>
                <w:iCs/>
                <w:sz w:val="24"/>
                <w:szCs w:val="24"/>
              </w:rPr>
              <w:t>Projekt wybrany do dofinansowania w trybie pozakonkursowym. Tryb wyboru był adekwatny dla typu projektu. Nie zidentyfikowano potencjalnych zagrożeń, związanych z</w:t>
            </w:r>
            <w:r w:rsidR="00530E56">
              <w:rPr>
                <w:rFonts w:cstheme="minorHAnsi"/>
                <w:iCs/>
                <w:sz w:val="24"/>
                <w:szCs w:val="24"/>
              </w:rPr>
              <w:t> </w:t>
            </w:r>
            <w:r w:rsidRPr="00924FC8">
              <w:rPr>
                <w:rFonts w:cstheme="minorHAnsi"/>
                <w:iCs/>
                <w:sz w:val="24"/>
                <w:szCs w:val="24"/>
              </w:rPr>
              <w:t>trybem wyboru, które miały negatywny wpływ na realizację projektu lub  wykonanie wartości wskaźników określonych w II osi priorytetowej POIiŚ 2014-2020.</w:t>
            </w:r>
          </w:p>
        </w:tc>
      </w:tr>
      <w:tr w:rsidR="00191972" w:rsidRPr="004E2279" w14:paraId="2BFC1429" w14:textId="77777777" w:rsidTr="005E3096">
        <w:tc>
          <w:tcPr>
            <w:tcW w:w="9067" w:type="dxa"/>
            <w:gridSpan w:val="7"/>
            <w:shd w:val="clear" w:color="auto" w:fill="92D050"/>
          </w:tcPr>
          <w:p w14:paraId="0354E142" w14:textId="77777777" w:rsidR="00F76872" w:rsidRPr="004D28D0" w:rsidRDefault="00F76872" w:rsidP="00F76872">
            <w:pPr>
              <w:spacing w:before="120" w:after="120" w:line="276" w:lineRule="auto"/>
              <w:jc w:val="both"/>
              <w:rPr>
                <w:rFonts w:cstheme="minorHAnsi"/>
                <w:b/>
                <w:sz w:val="24"/>
                <w:szCs w:val="24"/>
              </w:rPr>
            </w:pPr>
            <w:bookmarkStart w:id="0" w:name="_Hlk814127"/>
            <w:r w:rsidRPr="004D28D0">
              <w:rPr>
                <w:rFonts w:cstheme="minorHAnsi"/>
                <w:b/>
                <w:sz w:val="24"/>
                <w:szCs w:val="24"/>
              </w:rPr>
              <w:t>WPŁYW PROJEKTU NA REALIZACJĘ PRIORY</w:t>
            </w:r>
            <w:r>
              <w:rPr>
                <w:rFonts w:cstheme="minorHAnsi"/>
                <w:b/>
                <w:sz w:val="24"/>
                <w:szCs w:val="24"/>
              </w:rPr>
              <w:t>TETÓW ROZWOJOWYCH OKREŚLONYCH W </w:t>
            </w:r>
            <w:r w:rsidRPr="004D28D0">
              <w:rPr>
                <w:rFonts w:cstheme="minorHAnsi"/>
                <w:b/>
                <w:sz w:val="24"/>
                <w:szCs w:val="24"/>
              </w:rPr>
              <w:t>UNIJNYCH I KRAJOWYCH DOKUMENTACH STRATEGICZNYCH</w:t>
            </w:r>
          </w:p>
          <w:bookmarkEnd w:id="0"/>
          <w:p w14:paraId="38839BC8" w14:textId="6A525FD7" w:rsidR="00191972" w:rsidRPr="004E2279" w:rsidRDefault="00F76872" w:rsidP="00F76872">
            <w:pPr>
              <w:spacing w:before="120" w:after="120" w:line="276" w:lineRule="auto"/>
              <w:jc w:val="both"/>
              <w:rPr>
                <w:rFonts w:cstheme="minorHAnsi"/>
                <w:b/>
                <w:i/>
                <w:sz w:val="24"/>
                <w:szCs w:val="24"/>
              </w:rPr>
            </w:pPr>
            <w:r w:rsidRPr="004D28D0">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4E2279" w14:paraId="36300C2A" w14:textId="77777777" w:rsidTr="005E3096">
        <w:tc>
          <w:tcPr>
            <w:tcW w:w="9067" w:type="dxa"/>
            <w:gridSpan w:val="7"/>
            <w:shd w:val="clear" w:color="auto" w:fill="auto"/>
          </w:tcPr>
          <w:p w14:paraId="15510A88" w14:textId="77777777" w:rsidR="00940B57" w:rsidRPr="00754953"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Podstawowe założenie projektu, czyli adaptacja ekosystemów leśnych do zmieniający się warunków klimatycznych jest zgodne ze strategicznymi dokumentami, funkcjonującymi na szczeblu międzynarodowym, wspólnotowym i krajowym, które definiują horyzontalne cele związane z ochroną środowiska, ochroną różnorodności biologicznej oraz adaptacją do zmian klimatu, w perspektywie do roku 2020. </w:t>
            </w:r>
          </w:p>
          <w:p w14:paraId="610DD0A8" w14:textId="72197EEF" w:rsidR="00940B57" w:rsidRPr="00754953"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Projekt, ze względu na duży obszar zaplanowanych działań, ich złożoność i kompleksowy charakter</w:t>
            </w:r>
            <w:r w:rsidR="00921F00">
              <w:rPr>
                <w:rFonts w:cstheme="minorHAnsi"/>
                <w:sz w:val="24"/>
                <w:szCs w:val="24"/>
              </w:rPr>
              <w:t>,</w:t>
            </w:r>
            <w:r w:rsidRPr="00754953">
              <w:rPr>
                <w:rFonts w:cstheme="minorHAnsi"/>
                <w:sz w:val="24"/>
                <w:szCs w:val="24"/>
              </w:rPr>
              <w:t xml:space="preserve"> jest przedsięwzięciem strategicznym, wpisującym się w działanie zmierzające do ochrony i poprawy jakości funkcjonowania ekosystemów leśnych, ich adaptacji w zakresie zmian klimatycznych oraz wzrostu różnorodności biologicznej.  </w:t>
            </w:r>
          </w:p>
          <w:p w14:paraId="6A0AA148" w14:textId="77777777" w:rsidR="00940B57" w:rsidRPr="00754953"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Z uwagi na szczególny charakter Projektu (poprawa jakości środowiska poprzez działania związane z retencją oraz przeciwdziałaniem erozji wodnej), trudno ocenić jego wpływ na redukcję gazów cieplarnianych. Większość dokumentów, w odniesieniu do działań związanych z łagodzeniem zmian klimatu, opiera się na ustaleniach oraz celach wynikających z pakietu energetyczno-klimatycznego. Jednak w kwestiach szeroko rozumianej ochrony środowiska Projekt jest zgodny również z tymi dokumentami strategicznymi.</w:t>
            </w:r>
          </w:p>
          <w:p w14:paraId="70E256FD" w14:textId="015066F7" w:rsidR="00AE55A0" w:rsidRPr="004E2279"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Poprawa jakości wody, poprzez budowę na obszarze objętym Projektem zbiorników i</w:t>
            </w:r>
            <w:r w:rsidR="00530E56">
              <w:rPr>
                <w:rFonts w:cstheme="minorHAnsi"/>
                <w:sz w:val="24"/>
                <w:szCs w:val="24"/>
              </w:rPr>
              <w:t> </w:t>
            </w:r>
            <w:r w:rsidRPr="00754953">
              <w:rPr>
                <w:rFonts w:cstheme="minorHAnsi"/>
                <w:sz w:val="24"/>
                <w:szCs w:val="24"/>
              </w:rPr>
              <w:t>terenów mokradłowych mających zdolność oczyszczania wody ze związków biogennych (azot, fosfor) oraz pestycydów</w:t>
            </w:r>
            <w:r w:rsidR="00921F00">
              <w:rPr>
                <w:rFonts w:cstheme="minorHAnsi"/>
                <w:sz w:val="24"/>
                <w:szCs w:val="24"/>
              </w:rPr>
              <w:t>,</w:t>
            </w:r>
            <w:r w:rsidRPr="00754953">
              <w:rPr>
                <w:rFonts w:cstheme="minorHAnsi"/>
                <w:sz w:val="24"/>
                <w:szCs w:val="24"/>
              </w:rPr>
              <w:t xml:space="preserve"> sprawia, że projekt jest komplementarny z celami Strategii Unii Europejskiej dla regionu Morza Bałtyckiego i przyczynia się do osiągnięcia wskaźników, o których mowa w Planie działania UE dotyczącym Strategii UE dla Regionu Morza Bałtyckiego dla obszarów priorytetowych: </w:t>
            </w:r>
            <w:proofErr w:type="spellStart"/>
            <w:r w:rsidRPr="00754953">
              <w:rPr>
                <w:rFonts w:cstheme="minorHAnsi"/>
                <w:sz w:val="24"/>
                <w:szCs w:val="24"/>
              </w:rPr>
              <w:t>Bio</w:t>
            </w:r>
            <w:proofErr w:type="spellEnd"/>
            <w:r w:rsidRPr="00754953">
              <w:rPr>
                <w:rFonts w:cstheme="minorHAnsi"/>
                <w:sz w:val="24"/>
                <w:szCs w:val="24"/>
              </w:rPr>
              <w:t xml:space="preserve">, </w:t>
            </w:r>
            <w:proofErr w:type="spellStart"/>
            <w:r w:rsidRPr="00754953">
              <w:rPr>
                <w:rFonts w:cstheme="minorHAnsi"/>
                <w:sz w:val="24"/>
                <w:szCs w:val="24"/>
              </w:rPr>
              <w:t>Agri</w:t>
            </w:r>
            <w:proofErr w:type="spellEnd"/>
            <w:r w:rsidRPr="00754953">
              <w:rPr>
                <w:rFonts w:cstheme="minorHAnsi"/>
                <w:sz w:val="24"/>
                <w:szCs w:val="24"/>
              </w:rPr>
              <w:t xml:space="preserve">, </w:t>
            </w:r>
            <w:proofErr w:type="spellStart"/>
            <w:r w:rsidRPr="00754953">
              <w:rPr>
                <w:rFonts w:cstheme="minorHAnsi"/>
                <w:sz w:val="24"/>
                <w:szCs w:val="24"/>
              </w:rPr>
              <w:t>Nutri</w:t>
            </w:r>
            <w:proofErr w:type="spellEnd"/>
            <w:r w:rsidRPr="00754953">
              <w:rPr>
                <w:rFonts w:cstheme="minorHAnsi"/>
                <w:sz w:val="24"/>
                <w:szCs w:val="24"/>
              </w:rPr>
              <w:t xml:space="preserve">, </w:t>
            </w:r>
            <w:proofErr w:type="spellStart"/>
            <w:r w:rsidRPr="00754953">
              <w:rPr>
                <w:rFonts w:cstheme="minorHAnsi"/>
                <w:sz w:val="24"/>
                <w:szCs w:val="24"/>
              </w:rPr>
              <w:t>Safe</w:t>
            </w:r>
            <w:proofErr w:type="spellEnd"/>
            <w:r w:rsidRPr="00754953">
              <w:rPr>
                <w:rFonts w:cstheme="minorHAnsi"/>
                <w:sz w:val="24"/>
                <w:szCs w:val="24"/>
              </w:rPr>
              <w:t xml:space="preserve">, </w:t>
            </w:r>
            <w:proofErr w:type="spellStart"/>
            <w:r w:rsidRPr="00754953">
              <w:rPr>
                <w:rFonts w:cstheme="minorHAnsi"/>
                <w:sz w:val="24"/>
                <w:szCs w:val="24"/>
              </w:rPr>
              <w:t>Tourism</w:t>
            </w:r>
            <w:proofErr w:type="spellEnd"/>
            <w:r w:rsidRPr="00754953">
              <w:rPr>
                <w:rFonts w:cstheme="minorHAnsi"/>
                <w:sz w:val="24"/>
                <w:szCs w:val="24"/>
              </w:rPr>
              <w:t xml:space="preserve">, (Cel: </w:t>
            </w:r>
            <w:proofErr w:type="spellStart"/>
            <w:r w:rsidRPr="00754953">
              <w:rPr>
                <w:rFonts w:cstheme="minorHAnsi"/>
                <w:sz w:val="24"/>
                <w:szCs w:val="24"/>
              </w:rPr>
              <w:t>Save</w:t>
            </w:r>
            <w:proofErr w:type="spellEnd"/>
            <w:r w:rsidRPr="00754953">
              <w:rPr>
                <w:rFonts w:cstheme="minorHAnsi"/>
                <w:sz w:val="24"/>
                <w:szCs w:val="24"/>
              </w:rPr>
              <w:t xml:space="preserve"> the Sea / Wskaźniki: </w:t>
            </w:r>
            <w:proofErr w:type="spellStart"/>
            <w:r w:rsidRPr="00754953">
              <w:rPr>
                <w:rFonts w:cstheme="minorHAnsi"/>
                <w:sz w:val="24"/>
                <w:szCs w:val="24"/>
              </w:rPr>
              <w:t>Clear</w:t>
            </w:r>
            <w:proofErr w:type="spellEnd"/>
            <w:r w:rsidRPr="00754953">
              <w:rPr>
                <w:rFonts w:cstheme="minorHAnsi"/>
                <w:sz w:val="24"/>
                <w:szCs w:val="24"/>
              </w:rPr>
              <w:t xml:space="preserve"> </w:t>
            </w:r>
            <w:proofErr w:type="spellStart"/>
            <w:r w:rsidRPr="00754953">
              <w:rPr>
                <w:rFonts w:cstheme="minorHAnsi"/>
                <w:sz w:val="24"/>
                <w:szCs w:val="24"/>
              </w:rPr>
              <w:t>water</w:t>
            </w:r>
            <w:proofErr w:type="spellEnd"/>
            <w:r w:rsidRPr="00754953">
              <w:rPr>
                <w:rFonts w:cstheme="minorHAnsi"/>
                <w:sz w:val="24"/>
                <w:szCs w:val="24"/>
              </w:rPr>
              <w:t xml:space="preserve"> in the </w:t>
            </w:r>
            <w:proofErr w:type="spellStart"/>
            <w:r w:rsidRPr="00754953">
              <w:rPr>
                <w:rFonts w:cstheme="minorHAnsi"/>
                <w:sz w:val="24"/>
                <w:szCs w:val="24"/>
              </w:rPr>
              <w:t>sea</w:t>
            </w:r>
            <w:proofErr w:type="spellEnd"/>
            <w:r w:rsidRPr="00754953">
              <w:rPr>
                <w:rFonts w:cstheme="minorHAnsi"/>
                <w:sz w:val="24"/>
                <w:szCs w:val="24"/>
              </w:rPr>
              <w:t xml:space="preserve"> and </w:t>
            </w:r>
            <w:proofErr w:type="spellStart"/>
            <w:r w:rsidRPr="00754953">
              <w:rPr>
                <w:rFonts w:cstheme="minorHAnsi"/>
                <w:sz w:val="24"/>
                <w:szCs w:val="24"/>
              </w:rPr>
              <w:t>Rich</w:t>
            </w:r>
            <w:proofErr w:type="spellEnd"/>
            <w:r w:rsidRPr="00754953">
              <w:rPr>
                <w:rFonts w:cstheme="minorHAnsi"/>
                <w:sz w:val="24"/>
                <w:szCs w:val="24"/>
              </w:rPr>
              <w:t xml:space="preserve"> and </w:t>
            </w:r>
            <w:proofErr w:type="spellStart"/>
            <w:r w:rsidRPr="00754953">
              <w:rPr>
                <w:rFonts w:cstheme="minorHAnsi"/>
                <w:sz w:val="24"/>
                <w:szCs w:val="24"/>
              </w:rPr>
              <w:t>healthy</w:t>
            </w:r>
            <w:proofErr w:type="spellEnd"/>
            <w:r w:rsidRPr="00754953">
              <w:rPr>
                <w:rFonts w:cstheme="minorHAnsi"/>
                <w:sz w:val="24"/>
                <w:szCs w:val="24"/>
              </w:rPr>
              <w:t xml:space="preserve"> </w:t>
            </w:r>
            <w:proofErr w:type="spellStart"/>
            <w:r w:rsidRPr="00754953">
              <w:rPr>
                <w:rFonts w:cstheme="minorHAnsi"/>
                <w:sz w:val="24"/>
                <w:szCs w:val="24"/>
              </w:rPr>
              <w:t>wildlife</w:t>
            </w:r>
            <w:proofErr w:type="spellEnd"/>
            <w:r w:rsidRPr="00754953">
              <w:rPr>
                <w:rFonts w:cstheme="minorHAnsi"/>
                <w:sz w:val="24"/>
                <w:szCs w:val="24"/>
              </w:rPr>
              <w:t>).</w:t>
            </w:r>
          </w:p>
        </w:tc>
      </w:tr>
      <w:tr w:rsidR="005104E2" w:rsidRPr="004E2279" w14:paraId="7EB7A476" w14:textId="77777777" w:rsidTr="005E3096">
        <w:tc>
          <w:tcPr>
            <w:tcW w:w="9067" w:type="dxa"/>
            <w:gridSpan w:val="7"/>
            <w:shd w:val="clear" w:color="auto" w:fill="92D050"/>
          </w:tcPr>
          <w:p w14:paraId="692AE24A" w14:textId="77777777" w:rsidR="00F76872" w:rsidRPr="004D28D0" w:rsidRDefault="00F76872" w:rsidP="00F76872">
            <w:pPr>
              <w:spacing w:before="120" w:after="120" w:line="276" w:lineRule="auto"/>
              <w:rPr>
                <w:rFonts w:cstheme="minorHAnsi"/>
                <w:b/>
                <w:sz w:val="24"/>
                <w:szCs w:val="24"/>
              </w:rPr>
            </w:pPr>
            <w:r w:rsidRPr="004D28D0">
              <w:rPr>
                <w:rFonts w:cstheme="minorHAnsi"/>
                <w:b/>
                <w:sz w:val="24"/>
                <w:szCs w:val="24"/>
              </w:rPr>
              <w:lastRenderedPageBreak/>
              <w:t>WKŁAD W REALIZACJĘ ZOBOWIĄZAŃ AKCESYJNYCH PRZEZ POLSKĘ</w:t>
            </w:r>
          </w:p>
          <w:p w14:paraId="4151EB2B" w14:textId="2D38289F" w:rsidR="005104E2" w:rsidRPr="004E2279" w:rsidRDefault="00F76872" w:rsidP="00F76872">
            <w:pPr>
              <w:spacing w:before="120" w:after="120" w:line="276" w:lineRule="auto"/>
              <w:jc w:val="both"/>
              <w:rPr>
                <w:rFonts w:cstheme="minorHAnsi"/>
                <w:i/>
                <w:sz w:val="24"/>
                <w:szCs w:val="24"/>
              </w:rPr>
            </w:pPr>
            <w:r w:rsidRPr="004D28D0">
              <w:rPr>
                <w:rFonts w:cstheme="minorHAnsi"/>
                <w:i/>
                <w:color w:val="404040" w:themeColor="text1" w:themeTint="BF"/>
                <w:szCs w:val="24"/>
              </w:rPr>
              <w:t xml:space="preserve">W jaki sposób projekt przyczynia się do realizacji zobowiązań akcesyjnych oraz wymogów wynikających </w:t>
            </w:r>
            <w:r>
              <w:rPr>
                <w:rFonts w:cstheme="minorHAnsi"/>
                <w:i/>
                <w:color w:val="404040" w:themeColor="text1" w:themeTint="BF"/>
                <w:szCs w:val="24"/>
              </w:rPr>
              <w:t xml:space="preserve">z </w:t>
            </w:r>
            <w:r w:rsidRPr="004D28D0">
              <w:rPr>
                <w:rFonts w:cstheme="minorHAnsi"/>
                <w:i/>
                <w:color w:val="404040" w:themeColor="text1" w:themeTint="BF"/>
                <w:szCs w:val="24"/>
              </w:rPr>
              <w:t>dyrektyw i rozporządzeń obowiązujących na poziomie UE</w:t>
            </w:r>
            <w:r w:rsidRPr="004D28D0">
              <w:rPr>
                <w:rFonts w:cstheme="minorHAnsi"/>
                <w:i/>
                <w:iCs/>
                <w:color w:val="404040" w:themeColor="text1" w:themeTint="BF"/>
                <w:szCs w:val="24"/>
              </w:rPr>
              <w:t>?</w:t>
            </w:r>
          </w:p>
        </w:tc>
      </w:tr>
      <w:tr w:rsidR="009B70AC" w:rsidRPr="004E2279" w14:paraId="4C5E6F6D" w14:textId="77777777" w:rsidTr="005E3096">
        <w:tc>
          <w:tcPr>
            <w:tcW w:w="9067" w:type="dxa"/>
            <w:gridSpan w:val="7"/>
          </w:tcPr>
          <w:p w14:paraId="0C9B28AC" w14:textId="3E363120" w:rsidR="00940B57" w:rsidRPr="00754953"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Projekt jest spójny z przepisami prawa wspólnotowego, w tym odpowiednich dyrektyw środowiskowych: Ramową Dyrektywą Wodną Parlamentu Europejskiego i Rady 2000/60/WE. Projekt wpisuje się w realizację dyrektywy poprzez dążenie do osiągnięcia tych samych celów w zakresie ochrony i poprawy jakości ekosystemów zarówno wodnych, jak i</w:t>
            </w:r>
            <w:r w:rsidR="00530E56">
              <w:rPr>
                <w:rFonts w:cstheme="minorHAnsi"/>
                <w:sz w:val="24"/>
                <w:szCs w:val="24"/>
              </w:rPr>
              <w:t> </w:t>
            </w:r>
            <w:r w:rsidRPr="00754953">
              <w:rPr>
                <w:rFonts w:cstheme="minorHAnsi"/>
                <w:sz w:val="24"/>
                <w:szCs w:val="24"/>
              </w:rPr>
              <w:t>lądowych powiązanych z ekosystemami wodnymi, jak również w zakresie ograniczania negatywnych skutków powodzi i susz – poprzez przywracanie pierwotnych stosunków na tych obszarach, które w przeszłości były objęte melioracjami odwadniającymi. Jednocześnie, zgodnie z założeniami RDW projekty kładą nacisk na realizację projektów w</w:t>
            </w:r>
            <w:r w:rsidR="00530E56">
              <w:rPr>
                <w:rFonts w:cstheme="minorHAnsi"/>
                <w:sz w:val="24"/>
                <w:szCs w:val="24"/>
              </w:rPr>
              <w:t> </w:t>
            </w:r>
            <w:r w:rsidRPr="00754953">
              <w:rPr>
                <w:rFonts w:cstheme="minorHAnsi"/>
                <w:sz w:val="24"/>
                <w:szCs w:val="24"/>
              </w:rPr>
              <w:t>skali ponadregionalnej – a więc w systemie zlewniowym.</w:t>
            </w:r>
          </w:p>
          <w:p w14:paraId="37740927" w14:textId="1DCEFCF1" w:rsidR="00940B57" w:rsidRPr="00754953"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Projekt jest spójny z Dyrektywą Rady 2007/60/WE w sprawie oceny ryzyka powodziowego i</w:t>
            </w:r>
            <w:r w:rsidR="00530E56">
              <w:rPr>
                <w:rFonts w:cstheme="minorHAnsi"/>
                <w:sz w:val="24"/>
                <w:szCs w:val="24"/>
              </w:rPr>
              <w:t> </w:t>
            </w:r>
            <w:r w:rsidRPr="00754953">
              <w:rPr>
                <w:rFonts w:cstheme="minorHAnsi"/>
                <w:sz w:val="24"/>
                <w:szCs w:val="24"/>
              </w:rPr>
              <w:t>zarządzania nim. Celem niniejszej dyrektywy jest ustanowienie ram dla oceny ryzyka powodziowego i zarządzania nim, w celu ograniczania negatywnych konsekwencji dla zdrowia ludzkiego, środowiska</w:t>
            </w:r>
            <w:r w:rsidR="00921F00">
              <w:rPr>
                <w:rFonts w:cstheme="minorHAnsi"/>
                <w:sz w:val="24"/>
                <w:szCs w:val="24"/>
              </w:rPr>
              <w:t>,</w:t>
            </w:r>
            <w:r w:rsidRPr="00754953">
              <w:rPr>
                <w:rFonts w:cstheme="minorHAnsi"/>
                <w:sz w:val="24"/>
                <w:szCs w:val="24"/>
              </w:rPr>
              <w:t xml:space="preserve"> dziedzictwa kulturowego oraz działalności gospodarczej, związanych z powodziami na terytorium Wspólnoty. Projekt realizuje postanowienia dyrektywy w zakresie minimalizacji zagrożenia powodzią. </w:t>
            </w:r>
            <w:r w:rsidRPr="00754953">
              <w:rPr>
                <w:rFonts w:cstheme="minorHAnsi"/>
                <w:sz w:val="24"/>
                <w:szCs w:val="24"/>
              </w:rPr>
              <w:br/>
              <w:t xml:space="preserve">Wskazuje się na zgodność </w:t>
            </w:r>
            <w:r w:rsidR="00921F00">
              <w:rPr>
                <w:rFonts w:cstheme="minorHAnsi"/>
                <w:sz w:val="24"/>
                <w:szCs w:val="24"/>
              </w:rPr>
              <w:t>P</w:t>
            </w:r>
            <w:r w:rsidRPr="00754953">
              <w:rPr>
                <w:rFonts w:cstheme="minorHAnsi"/>
                <w:sz w:val="24"/>
                <w:szCs w:val="24"/>
              </w:rPr>
              <w:t>rojektu z Dyrektywą 2001/42/WE Parlamentu Europejskiego i</w:t>
            </w:r>
            <w:r w:rsidR="00530E56">
              <w:rPr>
                <w:rFonts w:cstheme="minorHAnsi"/>
                <w:sz w:val="24"/>
                <w:szCs w:val="24"/>
              </w:rPr>
              <w:t> </w:t>
            </w:r>
            <w:r w:rsidRPr="00754953">
              <w:rPr>
                <w:rFonts w:cstheme="minorHAnsi"/>
                <w:sz w:val="24"/>
                <w:szCs w:val="24"/>
              </w:rPr>
              <w:t xml:space="preserve">Rady w sprawie oceny wpływu niektórych planów i programów na środowisko tzw. Dyrektywą SEA (Strategic Environmental </w:t>
            </w:r>
            <w:proofErr w:type="spellStart"/>
            <w:r w:rsidRPr="00754953">
              <w:rPr>
                <w:rFonts w:cstheme="minorHAnsi"/>
                <w:sz w:val="24"/>
                <w:szCs w:val="24"/>
              </w:rPr>
              <w:t>Assessment</w:t>
            </w:r>
            <w:proofErr w:type="spellEnd"/>
            <w:r w:rsidRPr="00754953">
              <w:rPr>
                <w:rFonts w:cstheme="minorHAnsi"/>
                <w:sz w:val="24"/>
                <w:szCs w:val="24"/>
              </w:rPr>
              <w:t>). Ze względu na zasięg przestrzenny, jak również liczbę planowanych zadań/obiektów przedsięwzięcie polegające na kompleksowym zwiększeniu zdolności retencyjnych ekosystemów leśnych na terenach górskich i nizinnych, w rozumieniu Dyrektywy SEA 2001/42/WE spełnia kryteria dokumentu strategicznego (planu lub programu). Została zatem przeprowadzona strategiczna ocena oddziaływania na środowisko. Program realizowany jest zgodnie z zapisami aktów prawnych oraz dokumentów strategicznych nawiązujących swoim zakresem do tematyki ochrony jakości i zasobów wód oraz małej retencji.</w:t>
            </w:r>
          </w:p>
          <w:p w14:paraId="72EB6A6B" w14:textId="78EC29DB" w:rsidR="00310192" w:rsidRPr="004E2279" w:rsidRDefault="00940B57" w:rsidP="00940B57">
            <w:pPr>
              <w:autoSpaceDE w:val="0"/>
              <w:autoSpaceDN w:val="0"/>
              <w:adjustRightInd w:val="0"/>
              <w:spacing w:before="120" w:after="120" w:line="276" w:lineRule="auto"/>
              <w:jc w:val="both"/>
              <w:rPr>
                <w:rFonts w:cstheme="minorHAnsi"/>
                <w:sz w:val="24"/>
                <w:szCs w:val="24"/>
              </w:rPr>
            </w:pPr>
            <w:r w:rsidRPr="00754953">
              <w:rPr>
                <w:rFonts w:cstheme="minorHAnsi"/>
                <w:sz w:val="24"/>
                <w:szCs w:val="24"/>
              </w:rPr>
              <w:t xml:space="preserve">Projekt jest spójny z Dyrektywą Rady 85/337/EWG w sprawie oceny skutków niektórych publicznych i prywatnych przedsięwzięć na środowisko tzw. Dyrektywa EIA (Environmental </w:t>
            </w:r>
            <w:proofErr w:type="spellStart"/>
            <w:r w:rsidRPr="00754953">
              <w:rPr>
                <w:rFonts w:cstheme="minorHAnsi"/>
                <w:sz w:val="24"/>
                <w:szCs w:val="24"/>
              </w:rPr>
              <w:t>Impact</w:t>
            </w:r>
            <w:proofErr w:type="spellEnd"/>
            <w:r w:rsidRPr="00754953">
              <w:rPr>
                <w:rFonts w:cstheme="minorHAnsi"/>
                <w:sz w:val="24"/>
                <w:szCs w:val="24"/>
              </w:rPr>
              <w:t xml:space="preserve"> </w:t>
            </w:r>
            <w:proofErr w:type="spellStart"/>
            <w:r w:rsidRPr="00754953">
              <w:rPr>
                <w:rFonts w:cstheme="minorHAnsi"/>
                <w:sz w:val="24"/>
                <w:szCs w:val="24"/>
              </w:rPr>
              <w:t>Assessment</w:t>
            </w:r>
            <w:proofErr w:type="spellEnd"/>
            <w:r w:rsidRPr="00754953">
              <w:rPr>
                <w:rFonts w:cstheme="minorHAnsi"/>
                <w:sz w:val="24"/>
                <w:szCs w:val="24"/>
              </w:rPr>
              <w:t xml:space="preserve">). Celem Dyrektywy jest zapewnienie oceny bezpośrednich i pośrednich skutków danego przedsięwzięcia dla człowieka oraz komponentów środowiska przyrodniczego (fauny, flory, wód, gleb, powietrza, klimatu, krajobrazu), oddziaływania między tymi elementami; dóbr materialnych i dziedzictwa kultury. Ocena wpływu środowiska powinna być dokonana zgodnie z prawem polskim i odpowiednimi dyrektywami UE dotyczącymi ochrony środowiska naturalnego. Inwestycje z zakresu małej retencji podlegać będą procedurze oceny oddziaływania na środowisko zgodnie z postanowieniami dyrektywy oraz prawa polskiego. Ponadto, Projekt zapewnia spójność z dyrektywami regulującymi zagadnienia ochrony przyrody, które mogą wpływać na sposób korzystania </w:t>
            </w:r>
            <w:r w:rsidRPr="00754953">
              <w:rPr>
                <w:rFonts w:cstheme="minorHAnsi"/>
                <w:sz w:val="24"/>
                <w:szCs w:val="24"/>
              </w:rPr>
              <w:lastRenderedPageBreak/>
              <w:t>z</w:t>
            </w:r>
            <w:r w:rsidR="00530E56">
              <w:rPr>
                <w:rFonts w:cstheme="minorHAnsi"/>
                <w:sz w:val="24"/>
                <w:szCs w:val="24"/>
              </w:rPr>
              <w:t> </w:t>
            </w:r>
            <w:r w:rsidRPr="00754953">
              <w:rPr>
                <w:rFonts w:cstheme="minorHAnsi"/>
                <w:sz w:val="24"/>
                <w:szCs w:val="24"/>
              </w:rPr>
              <w:t>wód: Dyrektywą 92/43/EWG w sprawie ochrony siedlisk przyrodniczych oraz dzikiej fauny i flory tzw. Dyrektywą Siedliskową, Dyrektywą EWG 79/409/EWG o ochronie dziko żyjących ptaków zwaną Dyrektywą Ptasią. Działania z zakresu małej retencji polegające na zachowaniu i ochronie ekosystemów leśnych uzależnionych od wody oraz przywracaniu ich należytej jakości wpisują się w założenia obu omawianych dyrektyw.</w:t>
            </w:r>
          </w:p>
        </w:tc>
      </w:tr>
      <w:tr w:rsidR="00390E07" w:rsidRPr="004D28D0" w14:paraId="000A57BC" w14:textId="77777777" w:rsidTr="0068415C">
        <w:tc>
          <w:tcPr>
            <w:tcW w:w="9067" w:type="dxa"/>
            <w:gridSpan w:val="7"/>
            <w:shd w:val="clear" w:color="auto" w:fill="92D050"/>
          </w:tcPr>
          <w:p w14:paraId="5CC8C3B6" w14:textId="77777777" w:rsidR="00390E07" w:rsidRPr="0068415C" w:rsidRDefault="00390E07" w:rsidP="0068415C">
            <w:pPr>
              <w:autoSpaceDE w:val="0"/>
              <w:autoSpaceDN w:val="0"/>
              <w:adjustRightInd w:val="0"/>
              <w:spacing w:before="120" w:after="120" w:line="276" w:lineRule="auto"/>
              <w:jc w:val="both"/>
              <w:rPr>
                <w:rFonts w:cstheme="minorHAnsi"/>
                <w:b/>
                <w:sz w:val="24"/>
                <w:szCs w:val="24"/>
              </w:rPr>
            </w:pPr>
            <w:r w:rsidRPr="0068415C">
              <w:rPr>
                <w:rFonts w:cstheme="minorHAnsi"/>
                <w:b/>
                <w:sz w:val="24"/>
                <w:szCs w:val="24"/>
              </w:rPr>
              <w:lastRenderedPageBreak/>
              <w:t>ZDOLNOŚĆ DO GENEROWANIA DODATKOWYCH PROJEKTÓW</w:t>
            </w:r>
          </w:p>
          <w:p w14:paraId="1D091228" w14:textId="753814DC" w:rsidR="00390E07" w:rsidRPr="0068415C" w:rsidRDefault="00390E07" w:rsidP="0068415C">
            <w:pPr>
              <w:autoSpaceDE w:val="0"/>
              <w:autoSpaceDN w:val="0"/>
              <w:adjustRightInd w:val="0"/>
              <w:spacing w:before="120" w:after="120" w:line="276" w:lineRule="auto"/>
              <w:jc w:val="both"/>
              <w:rPr>
                <w:rFonts w:cstheme="minorHAnsi"/>
                <w:i/>
              </w:rPr>
            </w:pPr>
            <w:r w:rsidRPr="0068415C">
              <w:rPr>
                <w:rFonts w:cstheme="minorHAnsi"/>
                <w:i/>
              </w:rPr>
              <w:t>Czy beneficjent przewiduje rozszerzenie zakresu realizowanego projektu lub realizację nowych projektów</w:t>
            </w:r>
            <w:r>
              <w:rPr>
                <w:rFonts w:cstheme="minorHAnsi"/>
                <w:i/>
              </w:rPr>
              <w:t xml:space="preserve"> o podobnym ch</w:t>
            </w:r>
            <w:r w:rsidR="0057486F">
              <w:rPr>
                <w:rFonts w:cstheme="minorHAnsi"/>
                <w:i/>
              </w:rPr>
              <w:t>a</w:t>
            </w:r>
            <w:r>
              <w:rPr>
                <w:rFonts w:cstheme="minorHAnsi"/>
                <w:i/>
              </w:rPr>
              <w:t>rakterze</w:t>
            </w:r>
            <w:r w:rsidRPr="0068415C">
              <w:rPr>
                <w:rFonts w:cstheme="minorHAnsi"/>
                <w:i/>
              </w:rPr>
              <w:t>, które potencjalnie mogłyby zostać sfinansowane w POIiŚ 2014-2020? Jakie są ewentualne czynniki ograniczające?</w:t>
            </w:r>
          </w:p>
        </w:tc>
      </w:tr>
      <w:tr w:rsidR="00390E07" w:rsidRPr="004D28D0" w14:paraId="1D6E2FFE" w14:textId="77777777" w:rsidTr="0068415C">
        <w:tc>
          <w:tcPr>
            <w:tcW w:w="9067" w:type="dxa"/>
            <w:gridSpan w:val="7"/>
          </w:tcPr>
          <w:p w14:paraId="27D47A8D" w14:textId="283EA2C4" w:rsidR="00390E07" w:rsidRPr="004D28D0" w:rsidRDefault="00214ECC" w:rsidP="0068415C">
            <w:pPr>
              <w:autoSpaceDE w:val="0"/>
              <w:autoSpaceDN w:val="0"/>
              <w:adjustRightInd w:val="0"/>
              <w:spacing w:before="120" w:after="120" w:line="276" w:lineRule="auto"/>
              <w:jc w:val="both"/>
              <w:rPr>
                <w:rFonts w:cstheme="minorHAnsi"/>
                <w:sz w:val="24"/>
                <w:szCs w:val="24"/>
              </w:rPr>
            </w:pPr>
            <w:r>
              <w:rPr>
                <w:rFonts w:cstheme="minorHAnsi"/>
                <w:sz w:val="24"/>
                <w:szCs w:val="24"/>
              </w:rPr>
              <w:t>Beneficjent</w:t>
            </w:r>
            <w:r w:rsidR="00F2421D">
              <w:rPr>
                <w:rFonts w:cstheme="minorHAnsi"/>
                <w:sz w:val="24"/>
                <w:szCs w:val="24"/>
              </w:rPr>
              <w:t xml:space="preserve"> nie przewiduje po roku 2018 realizacji nowych projektów wpisujących się w</w:t>
            </w:r>
            <w:r w:rsidR="00530E56">
              <w:rPr>
                <w:rFonts w:cstheme="minorHAnsi"/>
                <w:sz w:val="24"/>
                <w:szCs w:val="24"/>
              </w:rPr>
              <w:t> </w:t>
            </w:r>
            <w:bookmarkStart w:id="1" w:name="_GoBack"/>
            <w:bookmarkEnd w:id="1"/>
            <w:r w:rsidR="00F2421D">
              <w:rPr>
                <w:rFonts w:cstheme="minorHAnsi"/>
                <w:sz w:val="24"/>
                <w:szCs w:val="24"/>
              </w:rPr>
              <w:t xml:space="preserve">założenia II osi priorytetowej POIiŚ 2014-2020.  </w:t>
            </w:r>
          </w:p>
        </w:tc>
      </w:tr>
    </w:tbl>
    <w:p w14:paraId="5DE57972" w14:textId="77777777" w:rsidR="005104E2" w:rsidRPr="005B37AB" w:rsidRDefault="005104E2" w:rsidP="005104E2">
      <w:pPr>
        <w:spacing w:line="276" w:lineRule="auto"/>
        <w:rPr>
          <w:rFonts w:cstheme="minorHAnsi"/>
          <w:sz w:val="24"/>
          <w:szCs w:val="24"/>
        </w:rPr>
      </w:pPr>
    </w:p>
    <w:sectPr w:rsidR="005104E2" w:rsidRPr="005B37AB" w:rsidSect="00FB0D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609B3" w14:textId="77777777" w:rsidR="009B5F9C" w:rsidRDefault="009B5F9C" w:rsidP="00F13819">
      <w:pPr>
        <w:spacing w:after="0" w:line="240" w:lineRule="auto"/>
      </w:pPr>
      <w:r>
        <w:separator/>
      </w:r>
    </w:p>
  </w:endnote>
  <w:endnote w:type="continuationSeparator" w:id="0">
    <w:p w14:paraId="0C1D5D0C" w14:textId="77777777" w:rsidR="009B5F9C" w:rsidRDefault="009B5F9C"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1041A" w14:textId="77777777" w:rsidR="009B5F9C" w:rsidRDefault="009B5F9C" w:rsidP="00F13819">
      <w:pPr>
        <w:spacing w:after="0" w:line="240" w:lineRule="auto"/>
      </w:pPr>
      <w:r>
        <w:separator/>
      </w:r>
    </w:p>
  </w:footnote>
  <w:footnote w:type="continuationSeparator" w:id="0">
    <w:p w14:paraId="1C37C593" w14:textId="77777777" w:rsidR="009B5F9C" w:rsidRDefault="009B5F9C" w:rsidP="00F13819">
      <w:pPr>
        <w:spacing w:after="0" w:line="240" w:lineRule="auto"/>
      </w:pPr>
      <w:r>
        <w:continuationSeparator/>
      </w:r>
    </w:p>
  </w:footnote>
  <w:footnote w:id="1">
    <w:p w14:paraId="0870F1D6" w14:textId="77777777" w:rsidR="00707B70" w:rsidRDefault="00707B70" w:rsidP="00707B70">
      <w:pPr>
        <w:pStyle w:val="Tekstprzypisudolnego"/>
      </w:pPr>
      <w:r>
        <w:rPr>
          <w:rStyle w:val="Odwoanieprzypisudolnego"/>
        </w:rPr>
        <w:footnoteRef/>
      </w:r>
      <w:r>
        <w:t xml:space="preserve"> </w:t>
      </w:r>
      <w:r w:rsidRPr="0068415C">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03A28"/>
    <w:rsid w:val="00012C24"/>
    <w:rsid w:val="00057FE6"/>
    <w:rsid w:val="00065B52"/>
    <w:rsid w:val="00071518"/>
    <w:rsid w:val="00091A31"/>
    <w:rsid w:val="000A4580"/>
    <w:rsid w:val="000C08CA"/>
    <w:rsid w:val="000D4822"/>
    <w:rsid w:val="000E502A"/>
    <w:rsid w:val="001014AF"/>
    <w:rsid w:val="001126E4"/>
    <w:rsid w:val="00120855"/>
    <w:rsid w:val="00125E86"/>
    <w:rsid w:val="00134CAE"/>
    <w:rsid w:val="00191972"/>
    <w:rsid w:val="002045C2"/>
    <w:rsid w:val="00210123"/>
    <w:rsid w:val="00214ECC"/>
    <w:rsid w:val="00223572"/>
    <w:rsid w:val="00227F13"/>
    <w:rsid w:val="00244D50"/>
    <w:rsid w:val="00271D22"/>
    <w:rsid w:val="002A1FE7"/>
    <w:rsid w:val="002A793B"/>
    <w:rsid w:val="002B7A54"/>
    <w:rsid w:val="002C49C2"/>
    <w:rsid w:val="002D2B32"/>
    <w:rsid w:val="002F038B"/>
    <w:rsid w:val="00302BEF"/>
    <w:rsid w:val="00306A84"/>
    <w:rsid w:val="00310192"/>
    <w:rsid w:val="003334F2"/>
    <w:rsid w:val="003735AF"/>
    <w:rsid w:val="00390E07"/>
    <w:rsid w:val="003B20BE"/>
    <w:rsid w:val="003C3255"/>
    <w:rsid w:val="003D31E2"/>
    <w:rsid w:val="003E4DF2"/>
    <w:rsid w:val="003E752F"/>
    <w:rsid w:val="00430CF0"/>
    <w:rsid w:val="00450C90"/>
    <w:rsid w:val="00475D30"/>
    <w:rsid w:val="00476DD8"/>
    <w:rsid w:val="004D322D"/>
    <w:rsid w:val="004D70A9"/>
    <w:rsid w:val="004E2279"/>
    <w:rsid w:val="004E2C67"/>
    <w:rsid w:val="005104E2"/>
    <w:rsid w:val="00522A17"/>
    <w:rsid w:val="005258E0"/>
    <w:rsid w:val="00530E22"/>
    <w:rsid w:val="00530E56"/>
    <w:rsid w:val="00540B7A"/>
    <w:rsid w:val="00540D69"/>
    <w:rsid w:val="0057486F"/>
    <w:rsid w:val="005B37AB"/>
    <w:rsid w:val="005B51CB"/>
    <w:rsid w:val="005B6593"/>
    <w:rsid w:val="005B7279"/>
    <w:rsid w:val="005B7C06"/>
    <w:rsid w:val="005C14E1"/>
    <w:rsid w:val="005C54F0"/>
    <w:rsid w:val="005C6829"/>
    <w:rsid w:val="005D1D52"/>
    <w:rsid w:val="005D2C1F"/>
    <w:rsid w:val="005E3096"/>
    <w:rsid w:val="005F29CC"/>
    <w:rsid w:val="005F7541"/>
    <w:rsid w:val="00626248"/>
    <w:rsid w:val="00672FF0"/>
    <w:rsid w:val="006827BA"/>
    <w:rsid w:val="006A78A5"/>
    <w:rsid w:val="006B2A43"/>
    <w:rsid w:val="006C3C80"/>
    <w:rsid w:val="00707B70"/>
    <w:rsid w:val="00732556"/>
    <w:rsid w:val="00734545"/>
    <w:rsid w:val="00745AE0"/>
    <w:rsid w:val="00753BBE"/>
    <w:rsid w:val="00771EEC"/>
    <w:rsid w:val="007964B7"/>
    <w:rsid w:val="008036F3"/>
    <w:rsid w:val="00815A4E"/>
    <w:rsid w:val="00843069"/>
    <w:rsid w:val="0086590B"/>
    <w:rsid w:val="00870C07"/>
    <w:rsid w:val="00871595"/>
    <w:rsid w:val="008917F2"/>
    <w:rsid w:val="008944CF"/>
    <w:rsid w:val="008A7028"/>
    <w:rsid w:val="008C21B6"/>
    <w:rsid w:val="008D4734"/>
    <w:rsid w:val="00903338"/>
    <w:rsid w:val="00921F00"/>
    <w:rsid w:val="00924FC8"/>
    <w:rsid w:val="00940B57"/>
    <w:rsid w:val="00951672"/>
    <w:rsid w:val="00952171"/>
    <w:rsid w:val="009A0239"/>
    <w:rsid w:val="009B30BA"/>
    <w:rsid w:val="009B5F9C"/>
    <w:rsid w:val="009B70AC"/>
    <w:rsid w:val="009C0562"/>
    <w:rsid w:val="009C563C"/>
    <w:rsid w:val="009F36E2"/>
    <w:rsid w:val="00A47573"/>
    <w:rsid w:val="00A71481"/>
    <w:rsid w:val="00A80692"/>
    <w:rsid w:val="00A84B7F"/>
    <w:rsid w:val="00AA043C"/>
    <w:rsid w:val="00AA04D2"/>
    <w:rsid w:val="00AC293C"/>
    <w:rsid w:val="00AE55A0"/>
    <w:rsid w:val="00AE6BFF"/>
    <w:rsid w:val="00B038E1"/>
    <w:rsid w:val="00B11612"/>
    <w:rsid w:val="00B47AAB"/>
    <w:rsid w:val="00B70904"/>
    <w:rsid w:val="00B75019"/>
    <w:rsid w:val="00B84B89"/>
    <w:rsid w:val="00B85055"/>
    <w:rsid w:val="00BA7D0B"/>
    <w:rsid w:val="00BC1634"/>
    <w:rsid w:val="00BE2D64"/>
    <w:rsid w:val="00C459F0"/>
    <w:rsid w:val="00C5175B"/>
    <w:rsid w:val="00C60EAB"/>
    <w:rsid w:val="00C76D6A"/>
    <w:rsid w:val="00CB0AAB"/>
    <w:rsid w:val="00CB5715"/>
    <w:rsid w:val="00CD51BC"/>
    <w:rsid w:val="00CE25BF"/>
    <w:rsid w:val="00D241CF"/>
    <w:rsid w:val="00D33FFF"/>
    <w:rsid w:val="00D82DCB"/>
    <w:rsid w:val="00DB320F"/>
    <w:rsid w:val="00DC17E4"/>
    <w:rsid w:val="00DD5C80"/>
    <w:rsid w:val="00DE08C4"/>
    <w:rsid w:val="00DE37B7"/>
    <w:rsid w:val="00DE5BBB"/>
    <w:rsid w:val="00E04658"/>
    <w:rsid w:val="00E10961"/>
    <w:rsid w:val="00E335EC"/>
    <w:rsid w:val="00E47043"/>
    <w:rsid w:val="00E54E9E"/>
    <w:rsid w:val="00E61E5A"/>
    <w:rsid w:val="00E66F28"/>
    <w:rsid w:val="00E75F8A"/>
    <w:rsid w:val="00E81549"/>
    <w:rsid w:val="00E916E5"/>
    <w:rsid w:val="00ED5761"/>
    <w:rsid w:val="00EE0093"/>
    <w:rsid w:val="00EE1DD6"/>
    <w:rsid w:val="00EF4BE3"/>
    <w:rsid w:val="00EF4D64"/>
    <w:rsid w:val="00F12D9E"/>
    <w:rsid w:val="00F13819"/>
    <w:rsid w:val="00F2421D"/>
    <w:rsid w:val="00F24892"/>
    <w:rsid w:val="00F25619"/>
    <w:rsid w:val="00F30B36"/>
    <w:rsid w:val="00F55454"/>
    <w:rsid w:val="00F71187"/>
    <w:rsid w:val="00F76872"/>
    <w:rsid w:val="00FB0DFD"/>
    <w:rsid w:val="00FB4BFF"/>
    <w:rsid w:val="00FB63FC"/>
    <w:rsid w:val="00FC73B9"/>
    <w:rsid w:val="00FD2107"/>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E09C2"/>
  <w15:docId w15:val="{B8B292A6-B86C-4BDC-9350-B99720A3D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0D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paragraph" w:customStyle="1" w:styleId="ox-cf17792aa9-msonormal">
    <w:name w:val="ox-cf17792aa9-msonormal"/>
    <w:basedOn w:val="Normalny"/>
    <w:rsid w:val="00003A2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B8185-F7D5-4D63-9EE6-48E733BB7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2895</Words>
  <Characters>17375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Radomir Dyjak</cp:lastModifiedBy>
  <cp:revision>5</cp:revision>
  <dcterms:created xsi:type="dcterms:W3CDTF">2019-02-22T09:33:00Z</dcterms:created>
  <dcterms:modified xsi:type="dcterms:W3CDTF">2019-02-25T22:25:00Z</dcterms:modified>
</cp:coreProperties>
</file>