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6.1.0.0 -->
  <w:body>
    <w:p w:rsidR="009276B2" w:rsidRPr="004215B7" w:rsidP="009276B2">
      <w:pPr>
        <w:spacing w:after="0" w:line="240" w:lineRule="auto"/>
      </w:pPr>
    </w:p>
    <w:p w:rsidR="009276B2" w:rsidRPr="004215B7" w:rsidP="009276B2">
      <w:pPr>
        <w:spacing w:after="0" w:line="240" w:lineRule="auto"/>
      </w:pPr>
    </w:p>
    <w:p w:rsidR="009276B2" w:rsidRPr="004215B7" w:rsidP="009276B2">
      <w:pPr>
        <w:spacing w:after="0" w:line="240" w:lineRule="auto"/>
      </w:pPr>
    </w:p>
    <w:p w:rsidR="009276B2" w:rsidP="009276B2">
      <w:pPr>
        <w:spacing w:after="0" w:line="240" w:lineRule="auto"/>
      </w:pPr>
      <w:bookmarkStart w:id="0" w:name="ezdSprawaZnak"/>
      <w:r>
        <w:t>DP-WOPI.0220.54.2020</w:t>
      </w:r>
      <w:bookmarkEnd w:id="0"/>
      <w:r>
        <w:t>.</w:t>
      </w:r>
      <w:bookmarkStart w:id="1" w:name="ezdAutorInicjaly"/>
      <w:r>
        <w:t>AM</w:t>
      </w:r>
      <w:bookmarkEnd w:id="1"/>
    </w:p>
    <w:p w:rsidR="00E8360D" w:rsidRPr="00880541" w:rsidP="009276B2">
      <w:pPr>
        <w:spacing w:after="0" w:line="240" w:lineRule="auto"/>
        <w:rPr>
          <w:sz w:val="18"/>
          <w:szCs w:val="18"/>
        </w:rPr>
      </w:pPr>
      <w:bookmarkStart w:id="2" w:name="ezdIdentyfikatorDokumentuPDF"/>
      <w:r w:rsidRPr="00880541">
        <w:rPr>
          <w:sz w:val="18"/>
          <w:szCs w:val="18"/>
        </w:rPr>
        <w:t>$</w:t>
      </w:r>
      <w:r w:rsidRPr="00880541">
        <w:rPr>
          <w:sz w:val="18"/>
          <w:szCs w:val="18"/>
        </w:rPr>
        <w:t>Id_</w:t>
      </w:r>
      <w:r>
        <w:rPr>
          <w:sz w:val="18"/>
          <w:szCs w:val="18"/>
        </w:rPr>
        <w:t>dokumentu</w:t>
      </w:r>
      <w:bookmarkEnd w:id="2"/>
    </w:p>
    <w:p w:rsidR="009276B2" w:rsidRPr="004215B7" w:rsidP="009276B2">
      <w:pPr>
        <w:spacing w:after="0" w:line="240" w:lineRule="auto"/>
      </w:pPr>
      <w:r w:rsidRPr="004215B7">
        <w:t xml:space="preserve">Warszawa, </w:t>
      </w:r>
      <w:bookmarkStart w:id="3" w:name="ezdDataPodpisu"/>
      <w:r>
        <w:t>23-12-2022</w:t>
      </w:r>
      <w:bookmarkEnd w:id="3"/>
    </w:p>
    <w:p w:rsidR="009276B2" w:rsidRPr="004215B7" w:rsidP="009276B2">
      <w:pPr>
        <w:spacing w:after="0" w:line="240" w:lineRule="auto"/>
      </w:pPr>
    </w:p>
    <w:p w:rsidR="009276B2" w:rsidRPr="004215B7" w:rsidP="009276B2">
      <w:pPr>
        <w:spacing w:after="0" w:line="240" w:lineRule="auto"/>
      </w:pPr>
    </w:p>
    <w:p w:rsidR="009276B2" w:rsidRPr="004215B7" w:rsidP="009276B2">
      <w:pPr>
        <w:spacing w:after="0" w:line="240" w:lineRule="auto"/>
      </w:pPr>
    </w:p>
    <w:p w:rsidR="00F450D1" w:rsidRPr="00F450D1" w:rsidP="00F450D1">
      <w:pPr>
        <w:spacing w:after="0" w:line="240" w:lineRule="auto"/>
        <w:rPr>
          <w:b/>
          <w:iCs/>
        </w:rPr>
      </w:pPr>
      <w:r w:rsidRPr="00F450D1">
        <w:rPr>
          <w:b/>
          <w:iCs/>
        </w:rPr>
        <w:t>Pani</w:t>
      </w:r>
    </w:p>
    <w:p w:rsidR="00F450D1" w:rsidRPr="00F450D1" w:rsidP="00F450D1">
      <w:pPr>
        <w:spacing w:after="0" w:line="240" w:lineRule="auto"/>
        <w:rPr>
          <w:b/>
          <w:iCs/>
        </w:rPr>
      </w:pPr>
      <w:r w:rsidRPr="00F450D1">
        <w:rPr>
          <w:b/>
          <w:iCs/>
        </w:rPr>
        <w:t>Wioletta Zwara</w:t>
      </w:r>
    </w:p>
    <w:p w:rsidR="00F450D1" w:rsidRPr="00F450D1" w:rsidP="00F450D1">
      <w:pPr>
        <w:spacing w:after="0" w:line="240" w:lineRule="auto"/>
        <w:rPr>
          <w:iCs/>
        </w:rPr>
      </w:pPr>
      <w:r w:rsidRPr="00F450D1">
        <w:rPr>
          <w:iCs/>
        </w:rPr>
        <w:t>Sekretarz</w:t>
      </w:r>
    </w:p>
    <w:p w:rsidR="00F450D1" w:rsidRPr="00F450D1" w:rsidP="00F450D1">
      <w:pPr>
        <w:spacing w:after="0" w:line="240" w:lineRule="auto"/>
        <w:rPr>
          <w:iCs/>
        </w:rPr>
      </w:pPr>
      <w:r w:rsidRPr="00F450D1">
        <w:rPr>
          <w:iCs/>
        </w:rPr>
        <w:t>Komitetu Rady Ministrów</w:t>
      </w:r>
    </w:p>
    <w:p w:rsidR="00F450D1" w:rsidRPr="00F450D1" w:rsidP="00F450D1">
      <w:pPr>
        <w:spacing w:after="0" w:line="240" w:lineRule="auto"/>
        <w:rPr>
          <w:iCs/>
        </w:rPr>
      </w:pPr>
      <w:r w:rsidRPr="00F450D1">
        <w:rPr>
          <w:iCs/>
        </w:rPr>
        <w:t>do spraw Cyfryzacji</w:t>
      </w:r>
    </w:p>
    <w:p w:rsidR="009276B2" w:rsidP="009276B2">
      <w:pPr>
        <w:spacing w:after="0" w:line="240" w:lineRule="auto"/>
      </w:pPr>
    </w:p>
    <w:p w:rsidR="00FE26E4" w:rsidRPr="004215B7" w:rsidP="009276B2">
      <w:pPr>
        <w:spacing w:after="0" w:line="240" w:lineRule="auto"/>
      </w:pPr>
    </w:p>
    <w:p w:rsidR="009276B2" w:rsidRPr="004215B7" w:rsidP="009276B2">
      <w:pPr>
        <w:spacing w:after="0" w:line="240" w:lineRule="auto"/>
      </w:pPr>
    </w:p>
    <w:p w:rsidR="009276B2" w:rsidRPr="002A7391" w:rsidP="004215B7">
      <w:pPr>
        <w:spacing w:after="200" w:line="240" w:lineRule="auto"/>
        <w:rPr>
          <w:i/>
          <w:iCs/>
        </w:rPr>
      </w:pPr>
      <w:r w:rsidRPr="002A7391">
        <w:rPr>
          <w:i/>
          <w:iCs/>
        </w:rPr>
        <w:t>Szanowna Pani Sekretarz</w:t>
      </w:r>
    </w:p>
    <w:p w:rsidR="00F450D1" w:rsidRPr="00F450D1" w:rsidP="00F450D1">
      <w:pPr>
        <w:spacing w:after="200" w:line="240" w:lineRule="auto"/>
        <w:rPr>
          <w:iCs/>
        </w:rPr>
      </w:pPr>
      <w:r w:rsidRPr="00F450D1">
        <w:rPr>
          <w:iCs/>
        </w:rPr>
        <w:t xml:space="preserve">Stosownie do postanowień uchwały nr 190 Rady Ministrów z dnia 29 października 2013 r. - Regulamin pracy Rady Ministrów w załączeniu przekazuję </w:t>
      </w:r>
      <w:r w:rsidRPr="00F450D1">
        <w:rPr>
          <w:b/>
          <w:iCs/>
        </w:rPr>
        <w:t xml:space="preserve">projekt ustawy o zmianie ustawy o </w:t>
      </w:r>
      <w:r>
        <w:rPr>
          <w:b/>
          <w:iCs/>
        </w:rPr>
        <w:t>odnawialnych źródłach energii oraz niektórych innych ustaw</w:t>
      </w:r>
      <w:r w:rsidRPr="00F450D1">
        <w:rPr>
          <w:b/>
          <w:iCs/>
        </w:rPr>
        <w:t xml:space="preserve"> </w:t>
      </w:r>
      <w:r w:rsidRPr="00F450D1">
        <w:rPr>
          <w:bCs/>
          <w:iCs/>
        </w:rPr>
        <w:t xml:space="preserve">(nr </w:t>
      </w:r>
      <w:r>
        <w:rPr>
          <w:bCs/>
          <w:iCs/>
        </w:rPr>
        <w:t>UC 99</w:t>
      </w:r>
      <w:r w:rsidRPr="00F450D1">
        <w:rPr>
          <w:bCs/>
          <w:iCs/>
        </w:rPr>
        <w:t xml:space="preserve">w Wykazie prac legislacyjnych i programowych Rady Ministrów), </w:t>
      </w:r>
      <w:r w:rsidRPr="00F450D1">
        <w:rPr>
          <w:iCs/>
        </w:rPr>
        <w:t>z uprzejmą prośbą o jego skierowanie do rozpatrzenia przez Komitet Rady Ministrów do spraw Cyfryzacji</w:t>
      </w:r>
      <w:r>
        <w:rPr>
          <w:iCs/>
        </w:rPr>
        <w:t xml:space="preserve"> w trybie obiegowym</w:t>
      </w:r>
      <w:r w:rsidRPr="00F450D1">
        <w:rPr>
          <w:iCs/>
        </w:rPr>
        <w:t xml:space="preserve">. </w:t>
      </w:r>
    </w:p>
    <w:p w:rsidR="00F450D1" w:rsidRPr="00F450D1" w:rsidP="00F450D1">
      <w:pPr>
        <w:spacing w:after="200" w:line="240" w:lineRule="auto"/>
        <w:rPr>
          <w:iCs/>
        </w:rPr>
      </w:pPr>
      <w:r w:rsidRPr="00F450D1">
        <w:rPr>
          <w:iCs/>
        </w:rPr>
        <w:t>Przedkładany projekt  ma na celu</w:t>
      </w:r>
      <w:r>
        <w:rPr>
          <w:iCs/>
        </w:rPr>
        <w:t xml:space="preserve"> przede wszystkim wdrożenie, w zakresie swojej regulacji,</w:t>
      </w:r>
      <w:r w:rsidRPr="00F450D1">
        <w:t xml:space="preserve"> </w:t>
      </w:r>
      <w:r w:rsidRPr="00F450D1">
        <w:rPr>
          <w:iCs/>
        </w:rPr>
        <w:t>dyrektywy Parlamentu Europejskiego i Rady (UE) 2018/2001 z dnia 11 grudnia 2018 r. w sprawie promowania stosowania energii ze źródeł odnawialnych (Dz. U. L 328 z 21.12.2018, str. 82—209)</w:t>
      </w:r>
      <w:r>
        <w:rPr>
          <w:iCs/>
        </w:rPr>
        <w:t xml:space="preserve"> oraz  wprowadzenie rozwiązań mających na celu </w:t>
      </w:r>
      <w:r w:rsidRPr="00F450D1">
        <w:rPr>
          <w:iCs/>
        </w:rPr>
        <w:t>zwiększenie udziału źródeł odnawialnych w krajowym zużyciu energii brutto, a także szeroko pojęty rozwój sektora energii zgodny z ambicjami redukcji emisyjności gospodarki i spełniania zobowiązań międzynarodowych</w:t>
      </w:r>
      <w:r>
        <w:rPr>
          <w:iCs/>
        </w:rPr>
        <w:t>.</w:t>
      </w:r>
    </w:p>
    <w:p w:rsidR="00F450D1" w:rsidRPr="00F450D1" w:rsidP="00F450D1">
      <w:pPr>
        <w:spacing w:after="200" w:line="240" w:lineRule="auto"/>
        <w:rPr>
          <w:iCs/>
        </w:rPr>
      </w:pPr>
      <w:r w:rsidRPr="00F450D1">
        <w:rPr>
          <w:iCs/>
        </w:rPr>
        <w:t xml:space="preserve">W wyniku przeprowadzonych </w:t>
      </w:r>
      <w:r w:rsidRPr="00F450D1" w:rsidR="0009184C">
        <w:rPr>
          <w:iCs/>
        </w:rPr>
        <w:t>uzgodnień</w:t>
      </w:r>
      <w:r w:rsidR="0009184C">
        <w:rPr>
          <w:iCs/>
        </w:rPr>
        <w:t>,</w:t>
      </w:r>
      <w:r w:rsidRPr="00F450D1" w:rsidR="0009184C">
        <w:rPr>
          <w:iCs/>
        </w:rPr>
        <w:t xml:space="preserve"> </w:t>
      </w:r>
      <w:r w:rsidRPr="00F450D1">
        <w:rPr>
          <w:iCs/>
        </w:rPr>
        <w:t xml:space="preserve">trwających od 25.02.2022 r.  do 28.03.2022 r., uwagi zgłosili Minister ds. Unii Europejskiej, Minister Funduszy i Polityki Regionalnej, Minister Sprawiedliwości, Minister Aktywów Państwowych, Minister Rolnictwa i Rozwoju Wsi,  Minister Rozwoju i Technologii, Minister Infrastruktury, Koordynator Oceny Skutków Regulacji oraz Prezes Rządowego Centrum Legislacji. Wszystkie uwagi zostały przeanalizowane a stanowiska do nich zaprezentowane w tabelarycznym zestawieniu przekazanym </w:t>
      </w:r>
      <w:r w:rsidRPr="00F450D1">
        <w:rPr>
          <w:iCs/>
        </w:rPr>
        <w:t>uwagodawcom</w:t>
      </w:r>
      <w:r w:rsidRPr="00F450D1">
        <w:rPr>
          <w:iCs/>
        </w:rPr>
        <w:t xml:space="preserve"> 9.12. 2022 r. oraz zamieszczonym na stronie RCL RPL. Zaprezentowane przez Ministra Klimatu i Środowiska stanowiska do uwag zostały zaakceptowane, nie wniesiono do nich zastrzeżeń, zaś </w:t>
      </w:r>
      <w:r w:rsidRPr="00F450D1">
        <w:rPr>
          <w:iCs/>
        </w:rPr>
        <w:t>MdsUE</w:t>
      </w:r>
      <w:r w:rsidRPr="00F450D1">
        <w:rPr>
          <w:iCs/>
        </w:rPr>
        <w:t xml:space="preserve">, </w:t>
      </w:r>
      <w:r w:rsidRPr="00F450D1">
        <w:rPr>
          <w:iCs/>
        </w:rPr>
        <w:t>MRiRW</w:t>
      </w:r>
      <w:r w:rsidRPr="00F450D1">
        <w:rPr>
          <w:iCs/>
        </w:rPr>
        <w:t xml:space="preserve">, MI, MAP, </w:t>
      </w:r>
      <w:r w:rsidRPr="00F450D1">
        <w:rPr>
          <w:iCs/>
        </w:rPr>
        <w:t>MRiT</w:t>
      </w:r>
      <w:r w:rsidR="00472EBD">
        <w:rPr>
          <w:iCs/>
        </w:rPr>
        <w:t xml:space="preserve"> (w trybie roboczym)</w:t>
      </w:r>
      <w:r w:rsidRPr="00F450D1">
        <w:rPr>
          <w:iCs/>
        </w:rPr>
        <w:t xml:space="preserve"> i RCL dodatkowo poinformowały o jego  przyjęciu. Nie została uwzględniona </w:t>
      </w:r>
      <w:r w:rsidRPr="00F450D1" w:rsidR="0009184C">
        <w:rPr>
          <w:iCs/>
        </w:rPr>
        <w:t>uwaga</w:t>
      </w:r>
      <w:r w:rsidRPr="00F450D1" w:rsidR="0009184C">
        <w:rPr>
          <w:iCs/>
        </w:rPr>
        <w:t xml:space="preserve"> </w:t>
      </w:r>
      <w:r w:rsidRPr="00F450D1">
        <w:rPr>
          <w:iCs/>
        </w:rPr>
        <w:t>podtrzymana przez Ministra Sprawiedliwości w zakresie uwzględnienia w OSR sądów (Sądu Ochrony Konkurencji i Konsumenta oraz  Sądu Apelacyjnego w Warszawie) w celu wzmocnienia tych jednostek o dodatkowe etaty. Uwaga została zamieszczona w protokole rozbieżności stanowiącym załącznik do niniejszego pisma.</w:t>
      </w:r>
    </w:p>
    <w:p w:rsidR="003C0E7A" w:rsidRPr="003C0E7A" w:rsidP="003C0E7A">
      <w:pPr>
        <w:spacing w:after="200" w:line="240" w:lineRule="auto"/>
        <w:rPr>
          <w:iCs/>
        </w:rPr>
      </w:pPr>
      <w:r w:rsidRPr="00472EBD">
        <w:rPr>
          <w:iCs/>
        </w:rPr>
        <w:t>Projekt ustawy, z uwagi na regulacje w zakresie funkcjonowania klastrów energii</w:t>
      </w:r>
      <w:r w:rsidRPr="00472EBD">
        <w:rPr>
          <w:iCs/>
        </w:rPr>
        <w:br/>
        <w:t>w szczególności ich terytorialnego zakresu działania, wymagał zaopiniowania przez Komisję</w:t>
      </w:r>
      <w:r w:rsidRPr="00472EBD">
        <w:rPr>
          <w:iCs/>
        </w:rPr>
        <w:br/>
        <w:t>Wspólną Rządu i Samorządu Terytorialnego (</w:t>
      </w:r>
      <w:r w:rsidRPr="00472EBD">
        <w:rPr>
          <w:iCs/>
        </w:rPr>
        <w:t>KWRiST</w:t>
      </w:r>
      <w:r w:rsidRPr="00472EBD">
        <w:rPr>
          <w:iCs/>
        </w:rPr>
        <w:t>), zgodnie z zakresem spraw, o których</w:t>
      </w:r>
      <w:r w:rsidRPr="00472EBD">
        <w:rPr>
          <w:iCs/>
        </w:rPr>
        <w:br/>
        <w:t>mowa w art. 8 ust. 1 ustawy z dnia 6 maja 2005 r. o Komisji Wspólnej Rządu i Samorządu</w:t>
      </w:r>
      <w:r w:rsidRPr="00472EBD">
        <w:rPr>
          <w:iCs/>
        </w:rPr>
        <w:br/>
        <w:t>Terytorialnego oraz o przedstawicielach Rzeczypospolitej Polskiej w Komitecie Regionów</w:t>
      </w:r>
      <w:r w:rsidRPr="00472EBD">
        <w:rPr>
          <w:iCs/>
        </w:rPr>
        <w:br/>
      </w:r>
      <w:r w:rsidRPr="00472EBD">
        <w:rPr>
          <w:iCs/>
        </w:rPr>
        <w:t>Unii Europejskiej</w:t>
      </w:r>
      <w:r>
        <w:rPr>
          <w:iCs/>
        </w:rPr>
        <w:t xml:space="preserve">. </w:t>
      </w:r>
      <w:r w:rsidRPr="003C0E7A">
        <w:rPr>
          <w:iCs/>
        </w:rPr>
        <w:t xml:space="preserve">W dniu 21 grudnia 2022 r. </w:t>
      </w:r>
      <w:r>
        <w:rPr>
          <w:iCs/>
        </w:rPr>
        <w:t>KWRiST</w:t>
      </w:r>
      <w:r w:rsidRPr="003C0E7A">
        <w:rPr>
          <w:iCs/>
        </w:rPr>
        <w:t xml:space="preserve"> wydała opinię negatywną o projekcie ustawy wskazując, że projekt nie uwzględnia istotnych postulatów środowiska samorządowego w zakresie m.in: </w:t>
      </w:r>
    </w:p>
    <w:p w:rsidR="003C0E7A" w:rsidRPr="003C0E7A" w:rsidP="003C0E7A">
      <w:pPr>
        <w:pStyle w:val="ListParagraph"/>
        <w:numPr>
          <w:ilvl w:val="0"/>
          <w:numId w:val="1"/>
        </w:numPr>
        <w:spacing w:after="200" w:line="240" w:lineRule="auto"/>
        <w:rPr>
          <w:iCs/>
        </w:rPr>
      </w:pPr>
      <w:r w:rsidRPr="003C0E7A">
        <w:rPr>
          <w:iCs/>
        </w:rPr>
        <w:t xml:space="preserve">biomasy (postulat usunięcia z jej definicji biomasy stałej, która nadal stanowi jedno z głównych źródeł produkcji </w:t>
      </w:r>
      <w:r w:rsidRPr="003C0E7A">
        <w:rPr>
          <w:iCs/>
        </w:rPr>
        <w:t>oze</w:t>
      </w:r>
      <w:r w:rsidRPr="003C0E7A">
        <w:rPr>
          <w:iCs/>
        </w:rPr>
        <w:t>),</w:t>
      </w:r>
    </w:p>
    <w:p w:rsidR="003C0E7A" w:rsidRPr="003C0E7A" w:rsidP="003C0E7A">
      <w:pPr>
        <w:pStyle w:val="ListParagraph"/>
        <w:numPr>
          <w:ilvl w:val="0"/>
          <w:numId w:val="1"/>
        </w:numPr>
        <w:spacing w:after="200" w:line="240" w:lineRule="auto"/>
        <w:rPr>
          <w:iCs/>
        </w:rPr>
      </w:pPr>
      <w:r w:rsidRPr="003C0E7A">
        <w:rPr>
          <w:iCs/>
        </w:rPr>
        <w:t xml:space="preserve">wodoru (postulat ograniczenia definicji wodoru jedynie do tego </w:t>
      </w:r>
      <w:r w:rsidRPr="003C0E7A">
        <w:rPr>
          <w:i/>
          <w:iCs/>
        </w:rPr>
        <w:t>stricte</w:t>
      </w:r>
      <w:r w:rsidRPr="003C0E7A">
        <w:rPr>
          <w:iCs/>
        </w:rPr>
        <w:t xml:space="preserve"> odnawialnego z uwagi na znaczące ilości energii niezbędne do jego wytworzenia),</w:t>
      </w:r>
    </w:p>
    <w:p w:rsidR="003C0E7A" w:rsidRPr="003C0E7A" w:rsidP="003C0E7A">
      <w:pPr>
        <w:pStyle w:val="ListParagraph"/>
        <w:numPr>
          <w:ilvl w:val="0"/>
          <w:numId w:val="1"/>
        </w:numPr>
        <w:spacing w:after="200" w:line="240" w:lineRule="auto"/>
        <w:rPr>
          <w:iCs/>
        </w:rPr>
      </w:pPr>
      <w:r w:rsidRPr="003C0E7A">
        <w:rPr>
          <w:iCs/>
        </w:rPr>
        <w:t>klastrów energii (postulaty: zwolnienia klastrów z opłat za dystrybucję energii celem obniżenia kosztów jej wytwarzania; umożliwienia uczestnictwa w klastrach związków i stowarzyszeń jednostek samorządu terytorialnego działających w obszarze energetyki, w celu poprawy efektywności ich działania),</w:t>
      </w:r>
    </w:p>
    <w:p w:rsidR="003C0E7A" w:rsidP="003C0E7A">
      <w:pPr>
        <w:pStyle w:val="ListParagraph"/>
        <w:numPr>
          <w:ilvl w:val="0"/>
          <w:numId w:val="1"/>
        </w:numPr>
        <w:spacing w:after="200" w:line="240" w:lineRule="auto"/>
        <w:rPr>
          <w:iCs/>
        </w:rPr>
      </w:pPr>
      <w:r w:rsidRPr="003C0E7A">
        <w:rPr>
          <w:iCs/>
        </w:rPr>
        <w:t>regulacji dla lokalizacji lądowych elektrowni wiatrowych (zmiany reguły 10h).</w:t>
      </w:r>
    </w:p>
    <w:p w:rsidR="003C0E7A" w:rsidP="00F450D1">
      <w:pPr>
        <w:spacing w:after="200" w:line="240" w:lineRule="auto"/>
        <w:rPr>
          <w:iCs/>
        </w:rPr>
      </w:pPr>
      <w:r>
        <w:rPr>
          <w:iCs/>
        </w:rPr>
        <w:t>W opinii projektodawcy zastrzeżenia</w:t>
      </w:r>
      <w:r w:rsidRPr="003C0E7A">
        <w:rPr>
          <w:iCs/>
        </w:rPr>
        <w:t xml:space="preserve"> </w:t>
      </w:r>
      <w:r w:rsidRPr="003C0E7A">
        <w:rPr>
          <w:iCs/>
        </w:rPr>
        <w:t>KWiRST</w:t>
      </w:r>
      <w:r w:rsidRPr="003C0E7A">
        <w:rPr>
          <w:iCs/>
        </w:rPr>
        <w:t>, jakkolwiek ważne i rozważane do uwzględnienia przy dalszych pracach nad powyższymi zagadnieniami, nie są uwagami o charakterze zasadniczym dla projektu ustawy i nie mają wagi wstrzymującej jego dalsze procedowanie.</w:t>
      </w:r>
      <w:r>
        <w:rPr>
          <w:iCs/>
        </w:rPr>
        <w:t xml:space="preserve"> Co więcej, w przypadku kwestii reguły 10h, pozostają one poza zakresem przedmiotowym niniejszego projektu, zaś w pewnych kwestiach ich pełne i proste uwzględnienie nie jest możliwe z uwagi na regulacje unijne (np. w przypadku zmiany definicji biomasy oraz zwolnienia klastrów z opłat za dystrybucję</w:t>
      </w:r>
      <w:r w:rsidR="00472EBD">
        <w:rPr>
          <w:iCs/>
        </w:rPr>
        <w:t>; przy czym projekt zawiera rozwiązania preferencyjne dla klastrów w zakresie opłat dystrybucyjnych</w:t>
      </w:r>
      <w:r>
        <w:rPr>
          <w:iCs/>
        </w:rPr>
        <w:t xml:space="preserve">). W związku z tym, wnoszę o rozpatrzenie projektu mimo negatywnej opinii </w:t>
      </w:r>
      <w:r>
        <w:rPr>
          <w:iCs/>
        </w:rPr>
        <w:t>KWRiST</w:t>
      </w:r>
      <w:r>
        <w:rPr>
          <w:iCs/>
        </w:rPr>
        <w:t>.</w:t>
      </w:r>
    </w:p>
    <w:p w:rsidR="00F450D1" w:rsidP="00F450D1">
      <w:pPr>
        <w:spacing w:after="200" w:line="240" w:lineRule="auto"/>
        <w:rPr>
          <w:iCs/>
        </w:rPr>
      </w:pPr>
      <w:r w:rsidRPr="00F450D1">
        <w:rPr>
          <w:iCs/>
        </w:rPr>
        <w:t>Przedmiotowy projekt realizuje w sposób częściowy kamień milowy Krajowego Planu Odbudowy i Zwiększenia Odporności (KPO) w zakresie  w ramach reformy B2.2. „</w:t>
      </w:r>
      <w:r w:rsidRPr="00F450D1">
        <w:rPr>
          <w:b/>
          <w:bCs/>
          <w:iCs/>
        </w:rPr>
        <w:t>Poprawa warunków dla rozwoju odnawialnych źródeł energii</w:t>
      </w:r>
      <w:r w:rsidRPr="00F450D1">
        <w:rPr>
          <w:iCs/>
        </w:rPr>
        <w:t>” w zakresie kamienia milowego – B22G „</w:t>
      </w:r>
      <w:r w:rsidRPr="00F450D1">
        <w:rPr>
          <w:b/>
          <w:bCs/>
          <w:iCs/>
        </w:rPr>
        <w:t xml:space="preserve">Wejście w życie nowelizacji ram prawnych dla wspólnot odnawialnych źródeł energii i </w:t>
      </w:r>
      <w:r w:rsidRPr="00F450D1">
        <w:rPr>
          <w:b/>
          <w:bCs/>
          <w:iCs/>
        </w:rPr>
        <w:t>biometanu</w:t>
      </w:r>
      <w:r w:rsidRPr="00F450D1">
        <w:rPr>
          <w:b/>
          <w:bCs/>
          <w:iCs/>
        </w:rPr>
        <w:t>: nowelizacja ustawy o OZE, nowelizacja przepisów dotyczących rynku energii, i wejście w życie rozporządzenia do ustawy o OZE</w:t>
      </w:r>
      <w:r w:rsidRPr="00F450D1">
        <w:rPr>
          <w:iCs/>
        </w:rPr>
        <w:t xml:space="preserve">”. Wprowadzane rozwiązania wychodzą naprzeciw wymaganiom znajdującym się w opisie ww. kamienia milowego poprzez zmianę zasad funkcjonowania klastrów energii (lepsze warunki do powoływania takich podmiotów, wprowadzenie zasad, definicji lub pojęć dotyczących zakresu, umów, przedmiotu działania klastra energii, rejestru klastra energii czy współpracy poszczególnych członków z operatorami systemów) oraz wprowadzenie przepisów regulujących zasady prowadzenia działalności gospodarczej w sektorze </w:t>
      </w:r>
      <w:r w:rsidRPr="00F450D1">
        <w:rPr>
          <w:iCs/>
        </w:rPr>
        <w:t>biometanu</w:t>
      </w:r>
      <w:r w:rsidRPr="00F450D1">
        <w:rPr>
          <w:iCs/>
        </w:rPr>
        <w:t>.</w:t>
      </w:r>
    </w:p>
    <w:p w:rsidR="00B639EF" w:rsidP="00F450D1">
      <w:pPr>
        <w:spacing w:after="200" w:line="240" w:lineRule="auto"/>
        <w:rPr>
          <w:iCs/>
        </w:rPr>
      </w:pPr>
      <w:r w:rsidRPr="00B639EF">
        <w:rPr>
          <w:iCs/>
        </w:rPr>
        <w:t xml:space="preserve">Ze względu na regulacje zawarte w projekcie ustawy, </w:t>
      </w:r>
      <w:r>
        <w:rPr>
          <w:iCs/>
        </w:rPr>
        <w:t>dotyczące</w:t>
      </w:r>
      <w:r w:rsidRPr="00B639EF">
        <w:rPr>
          <w:iCs/>
        </w:rPr>
        <w:t xml:space="preserve"> powstania</w:t>
      </w:r>
      <w:r w:rsidRPr="00B639EF">
        <w:rPr>
          <w:iCs/>
        </w:rPr>
        <w:br/>
        <w:t>nowego systemu teleinformatycznego w ramach powoływanego Krajowego Punktu</w:t>
      </w:r>
      <w:r w:rsidRPr="00B639EF">
        <w:rPr>
          <w:iCs/>
        </w:rPr>
        <w:br/>
        <w:t>Kontaktowego do spraw odnawialnych źródeł energii prowadzonego przez ministra</w:t>
      </w:r>
      <w:r w:rsidRPr="00B639EF">
        <w:rPr>
          <w:iCs/>
        </w:rPr>
        <w:br/>
        <w:t>właściwego do spraw klimatu, konieczne jest wydanie opinii w zakresie zadań realizowanych</w:t>
      </w:r>
      <w:r w:rsidRPr="00B639EF">
        <w:rPr>
          <w:iCs/>
        </w:rPr>
        <w:br/>
        <w:t>przez</w:t>
      </w:r>
      <w:r>
        <w:rPr>
          <w:iCs/>
        </w:rPr>
        <w:t xml:space="preserve"> </w:t>
      </w:r>
      <w:r w:rsidRPr="00B639EF">
        <w:rPr>
          <w:iCs/>
        </w:rPr>
        <w:t>Komitet Rady Ministrów do spraw Cyfryzacji</w:t>
      </w:r>
      <w:r>
        <w:rPr>
          <w:iCs/>
        </w:rPr>
        <w:t xml:space="preserve">. </w:t>
      </w:r>
      <w:r w:rsidRPr="00B639EF">
        <w:rPr>
          <w:iCs/>
        </w:rPr>
        <w:t>Dodatkowo</w:t>
      </w:r>
      <w:r>
        <w:rPr>
          <w:iCs/>
        </w:rPr>
        <w:t>,</w:t>
      </w:r>
      <w:r w:rsidRPr="00B639EF">
        <w:rPr>
          <w:iCs/>
        </w:rPr>
        <w:t xml:space="preserve"> ocenie </w:t>
      </w:r>
      <w:r>
        <w:rPr>
          <w:iCs/>
        </w:rPr>
        <w:t>Komitetu</w:t>
      </w:r>
      <w:r w:rsidRPr="00B639EF">
        <w:rPr>
          <w:iCs/>
        </w:rPr>
        <w:t xml:space="preserve"> powinny zostać przedstawione przepisy będące podstawą prawną</w:t>
      </w:r>
      <w:r>
        <w:rPr>
          <w:iCs/>
        </w:rPr>
        <w:t xml:space="preserve"> </w:t>
      </w:r>
      <w:r w:rsidRPr="00B639EF">
        <w:rPr>
          <w:iCs/>
        </w:rPr>
        <w:t>do powołania platform partnerskiego handlu energią z odnawialnych źródeł energii (</w:t>
      </w:r>
      <w:r w:rsidRPr="00B639EF">
        <w:rPr>
          <w:iCs/>
        </w:rPr>
        <w:t>peer</w:t>
      </w:r>
      <w:r w:rsidRPr="00B639EF">
        <w:rPr>
          <w:iCs/>
        </w:rPr>
        <w:t>-to-</w:t>
      </w:r>
      <w:r w:rsidRPr="00B639EF">
        <w:rPr>
          <w:iCs/>
        </w:rPr>
        <w:t>peer</w:t>
      </w:r>
      <w:r w:rsidRPr="00B639EF">
        <w:rPr>
          <w:iCs/>
        </w:rPr>
        <w:t>), które będą umożliwiać sprzedaż energii z OZE pomiędzy uczestnikami rynku.</w:t>
      </w:r>
      <w:r w:rsidR="002A7391">
        <w:rPr>
          <w:iCs/>
        </w:rPr>
        <w:t xml:space="preserve"> </w:t>
      </w:r>
      <w:r w:rsidRPr="00B639EF">
        <w:rPr>
          <w:iCs/>
        </w:rPr>
        <w:t>Podkreślenia jednak wymaga, że zgodnie z projektem nie powstanie jedna, centralna</w:t>
      </w:r>
      <w:r w:rsidR="002A7391">
        <w:rPr>
          <w:iCs/>
        </w:rPr>
        <w:t xml:space="preserve"> </w:t>
      </w:r>
      <w:r w:rsidRPr="00B639EF">
        <w:rPr>
          <w:iCs/>
        </w:rPr>
        <w:t xml:space="preserve">i prowadzona przez podmiot publicznych platforma </w:t>
      </w:r>
      <w:r w:rsidRPr="00B639EF">
        <w:rPr>
          <w:iCs/>
        </w:rPr>
        <w:t>peer</w:t>
      </w:r>
      <w:r w:rsidRPr="00B639EF">
        <w:rPr>
          <w:iCs/>
        </w:rPr>
        <w:t>-to-</w:t>
      </w:r>
      <w:r w:rsidRPr="00B639EF">
        <w:rPr>
          <w:iCs/>
        </w:rPr>
        <w:t>peer</w:t>
      </w:r>
      <w:r w:rsidRPr="00B639EF">
        <w:rPr>
          <w:iCs/>
        </w:rPr>
        <w:t>. Będą to platformy, które</w:t>
      </w:r>
      <w:r w:rsidR="002A7391">
        <w:rPr>
          <w:iCs/>
        </w:rPr>
        <w:t xml:space="preserve"> </w:t>
      </w:r>
      <w:r w:rsidRPr="00B639EF">
        <w:rPr>
          <w:iCs/>
        </w:rPr>
        <w:t>będą mogły prowadzić przedsiębiorstwa spełniające wymogi określone w ustawie, zatem</w:t>
      </w:r>
      <w:r w:rsidR="002A7391">
        <w:rPr>
          <w:iCs/>
        </w:rPr>
        <w:t xml:space="preserve"> </w:t>
      </w:r>
      <w:r w:rsidRPr="00B639EF">
        <w:rPr>
          <w:iCs/>
        </w:rPr>
        <w:t>będą to inicjatywy prywatne i komercyjne.</w:t>
      </w:r>
    </w:p>
    <w:p w:rsidR="00F450D1" w:rsidP="004215B7">
      <w:pPr>
        <w:spacing w:after="200" w:line="240" w:lineRule="auto"/>
        <w:rPr>
          <w:iCs/>
        </w:rPr>
      </w:pPr>
      <w:r w:rsidRPr="00F450D1">
        <w:rPr>
          <w:iCs/>
        </w:rPr>
        <w:t xml:space="preserve">Z uwagi na </w:t>
      </w:r>
      <w:r>
        <w:rPr>
          <w:iCs/>
        </w:rPr>
        <w:t xml:space="preserve">fakt,  </w:t>
      </w:r>
      <w:r w:rsidRPr="00F450D1">
        <w:rPr>
          <w:iCs/>
        </w:rPr>
        <w:t xml:space="preserve">iż przedmiotowy projekt wdraża </w:t>
      </w:r>
      <w:r>
        <w:rPr>
          <w:iCs/>
        </w:rPr>
        <w:t xml:space="preserve">ww. </w:t>
      </w:r>
      <w:r w:rsidRPr="00F450D1">
        <w:rPr>
          <w:iCs/>
        </w:rPr>
        <w:t xml:space="preserve">dyrektywę Parlamentu Europejskiego i Rady (UE) 2018/2001, której termin wdrożenia upłynął 30 czerwca 2021 r., konieczne jest </w:t>
      </w:r>
      <w:r w:rsidRPr="00F450D1">
        <w:rPr>
          <w:iCs/>
        </w:rPr>
        <w:t>pilne procedowanie projektu</w:t>
      </w:r>
      <w:r>
        <w:rPr>
          <w:iCs/>
        </w:rPr>
        <w:t>, w związku z tym uprzejmie proszę o potraktowanie sprawy jako pilnej.</w:t>
      </w:r>
    </w:p>
    <w:p w:rsidR="004215B7" w:rsidP="00FE26E4">
      <w:pPr>
        <w:spacing w:after="200" w:line="240" w:lineRule="auto"/>
        <w:rPr>
          <w:i/>
          <w:iCs/>
        </w:rPr>
      </w:pPr>
      <w:r w:rsidRPr="002A7391">
        <w:rPr>
          <w:i/>
          <w:iCs/>
        </w:rPr>
        <w:t>Z wyrazami szacunku</w:t>
      </w:r>
    </w:p>
    <w:p w:rsidR="00275EFF" w:rsidRPr="00275EFF" w:rsidP="00FE26E4">
      <w:pPr>
        <w:spacing w:after="200" w:line="240" w:lineRule="auto"/>
      </w:pPr>
      <w:r>
        <w:t xml:space="preserve">W </w:t>
      </w:r>
      <w:r>
        <w:t>zast</w:t>
      </w:r>
      <w:r>
        <w:t>. Ministra</w:t>
      </w:r>
    </w:p>
    <w:p w:rsidR="004215B7" w:rsidRPr="004215B7" w:rsidP="00C90D8C">
      <w:pPr>
        <w:spacing w:after="0" w:line="240" w:lineRule="auto"/>
        <w:jc w:val="left"/>
      </w:pPr>
      <w:bookmarkStart w:id="4" w:name="ezdPracownikPodpisNazwa"/>
      <w:r w:rsidRPr="004215B7">
        <w:t>Anna Łukaszewska-Trzeciakowska</w:t>
      </w:r>
      <w:bookmarkEnd w:id="4"/>
    </w:p>
    <w:p w:rsidR="004215B7" w:rsidRPr="004215B7" w:rsidP="00C90D8C">
      <w:pPr>
        <w:spacing w:after="0" w:line="240" w:lineRule="auto"/>
        <w:jc w:val="left"/>
      </w:pPr>
      <w:bookmarkStart w:id="5" w:name="ezdPracownikPodpisStanowisko"/>
      <w:r w:rsidRPr="004215B7">
        <w:t>Podsekretarz Stanu</w:t>
      </w:r>
      <w:bookmarkEnd w:id="5"/>
    </w:p>
    <w:p w:rsidR="004215B7" w:rsidRPr="004215B7" w:rsidP="00C90D8C">
      <w:pPr>
        <w:spacing w:after="0" w:line="240" w:lineRule="auto"/>
        <w:jc w:val="left"/>
      </w:pPr>
      <w:r w:rsidRPr="004215B7">
        <w:t>Ministerstwo Klimatu i Środowiska</w:t>
      </w:r>
      <w:r w:rsidRPr="004215B7">
        <w:br/>
        <w:t>/ – podpisany cyfrowo/</w:t>
      </w:r>
    </w:p>
    <w:p w:rsidR="000F390E" w:rsidP="009276B2">
      <w:pPr>
        <w:spacing w:after="120" w:line="240" w:lineRule="auto"/>
      </w:pPr>
    </w:p>
    <w:p w:rsidR="00F450D1" w:rsidP="009276B2">
      <w:pPr>
        <w:spacing w:after="120" w:line="240" w:lineRule="auto"/>
      </w:pPr>
    </w:p>
    <w:p w:rsidR="00A84BEF" w:rsidP="009276B2">
      <w:pPr>
        <w:spacing w:after="120" w:line="240" w:lineRule="auto"/>
      </w:pPr>
    </w:p>
    <w:p w:rsidR="00B639EF" w:rsidP="00F450D1">
      <w:pPr>
        <w:spacing w:after="120" w:line="240" w:lineRule="auto"/>
        <w:rPr>
          <w:b/>
          <w:bCs/>
        </w:rPr>
      </w:pPr>
    </w:p>
    <w:p w:rsidR="00F450D1" w:rsidRPr="00F450D1" w:rsidP="002A7391">
      <w:pPr>
        <w:spacing w:after="0" w:line="240" w:lineRule="auto"/>
        <w:rPr>
          <w:b/>
          <w:bCs/>
        </w:rPr>
      </w:pPr>
      <w:r w:rsidRPr="00F450D1">
        <w:rPr>
          <w:b/>
          <w:bCs/>
        </w:rPr>
        <w:t>Załączniki:</w:t>
      </w:r>
    </w:p>
    <w:p w:rsidR="00F450D1" w:rsidRPr="00F450D1" w:rsidP="002A7391">
      <w:pPr>
        <w:spacing w:after="0" w:line="240" w:lineRule="auto"/>
      </w:pPr>
      <w:r w:rsidRPr="00F450D1">
        <w:t xml:space="preserve">1) </w:t>
      </w:r>
      <w:r>
        <w:t>projekt, uzasadnienie, OSR</w:t>
      </w:r>
      <w:r w:rsidRPr="00F450D1">
        <w:t>;</w:t>
      </w:r>
    </w:p>
    <w:p w:rsidR="00F450D1" w:rsidRPr="00F450D1" w:rsidP="002A7391">
      <w:pPr>
        <w:spacing w:after="0" w:line="240" w:lineRule="auto"/>
      </w:pPr>
      <w:r w:rsidRPr="00F450D1">
        <w:t>2) protokół rozbieżności, zestawienie uwag oraz raport z konsultacji, o których mowa odpowiednio w § 50 ust. 1 i 3 oraz § 51 uchwały nr 190 Rady Ministrów z dnia 29 października 2013 r. - Regulamin pracy Rady Ministrów (M. P. z 2016 r. poz. 1006 i 1204 oraz z 2018 r. poz. 114 i 278</w:t>
      </w:r>
      <w:r>
        <w:t>;</w:t>
      </w:r>
    </w:p>
    <w:p w:rsidR="00F450D1" w:rsidRPr="00F450D1" w:rsidP="002A7391">
      <w:pPr>
        <w:spacing w:after="0" w:line="240" w:lineRule="auto"/>
      </w:pPr>
      <w:r w:rsidRPr="00F450D1">
        <w:t>3) opinia o zgodności projektu z prawem Unii Europejskiej;</w:t>
      </w:r>
    </w:p>
    <w:p w:rsidR="00F450D1" w:rsidRPr="00F450D1" w:rsidP="002A7391">
      <w:pPr>
        <w:spacing w:after="0" w:line="240" w:lineRule="auto"/>
      </w:pPr>
      <w:r>
        <w:t>4</w:t>
      </w:r>
      <w:r w:rsidRPr="00F450D1">
        <w:rPr>
          <w:b/>
          <w:bCs/>
        </w:rPr>
        <w:t xml:space="preserve">) </w:t>
      </w:r>
      <w:r w:rsidRPr="00F450D1">
        <w:t>list</w:t>
      </w:r>
      <w:r w:rsidRPr="00EB71B8">
        <w:t>a</w:t>
      </w:r>
      <w:r w:rsidRPr="00F450D1">
        <w:t xml:space="preserve"> kontroln</w:t>
      </w:r>
      <w:r w:rsidRPr="00EB71B8">
        <w:t>a</w:t>
      </w:r>
      <w:r w:rsidRPr="00F450D1">
        <w:t xml:space="preserve"> osiągania interoperacyjności przez system teleinformatyczny regulowany przez projekt dokumentu rządowego;</w:t>
      </w:r>
    </w:p>
    <w:p w:rsidR="00F450D1" w:rsidRPr="00F450D1" w:rsidP="002A7391">
      <w:pPr>
        <w:spacing w:after="0" w:line="240" w:lineRule="auto"/>
      </w:pPr>
      <w:r>
        <w:t>5</w:t>
      </w:r>
      <w:r w:rsidRPr="00F450D1">
        <w:t xml:space="preserve">) </w:t>
      </w:r>
      <w:r>
        <w:t>tabela legislacyjna</w:t>
      </w:r>
      <w:r w:rsidRPr="00F450D1">
        <w:t>.</w:t>
      </w:r>
    </w:p>
    <w:p w:rsidR="00F450D1" w:rsidRPr="004215B7" w:rsidP="009276B2">
      <w:pPr>
        <w:spacing w:after="120" w:line="240" w:lineRule="auto"/>
      </w:pPr>
    </w:p>
    <w:sectPr w:rsidSect="0034455C">
      <w:headerReference w:type="default" r:id="rId5"/>
      <w:headerReference w:type="first" r:id="rId6"/>
      <w:footerReference w:type="first" r:id="rId7"/>
      <w:pgSz w:w="11906" w:h="16838"/>
      <w:pgMar w:top="2113" w:right="1985" w:bottom="1985" w:left="1985"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embedRegular r:id="rId1" w:fontKey="{74866977-FA41-4D6D-990C-88E4E307AD86}"/>
    <w:embedBold r:id="rId2" w:fontKey="{923CA605-00EA-4247-A03A-3E39B3EDF170}"/>
    <w:embedItalic r:id="rId3" w:fontKey="{60EA878B-7255-44B8-A019-DF5E5420D625}"/>
  </w:font>
  <w:font w:name="Times New Roman">
    <w:panose1 w:val="02020603050405020304"/>
    <w:charset w:val="EE"/>
    <w:family w:val="roman"/>
    <w:pitch w:val="variable"/>
    <w:sig w:usb0="E0002EFF" w:usb1="C000785B" w:usb2="00000009" w:usb3="00000000" w:csb0="000001FF" w:csb1="00000000"/>
  </w:font>
  <w:font w:name="Lato">
    <w:panose1 w:val="020F0502020204030203"/>
    <w:charset w:val="EE"/>
    <w:family w:val="swiss"/>
    <w:pitch w:val="variable"/>
    <w:sig w:usb0="E10002FF" w:usb1="5000ECFF" w:usb2="00000021" w:usb3="00000000" w:csb0="0000019F" w:csb1="00000000"/>
    <w:embedRegular r:id="rId4" w:fontKey="{66B3A9FC-90A2-4681-B8E1-5628201F2893}"/>
    <w:embedBold r:id="rId5" w:fontKey="{9FAB861F-F00B-40BC-B345-747B0A21D2DA}"/>
    <w:embedItalic r:id="rId6" w:fontKey="{D5F53AD3-6E70-497F-BBAF-2D2CFD48C093}"/>
  </w:font>
  <w:font w:name="Calibri Light">
    <w:panose1 w:val="020F0302020204030204"/>
    <w:charset w:val="EE"/>
    <w:family w:val="swiss"/>
    <w:pitch w:val="variable"/>
    <w:sig w:usb0="E4002EFF" w:usb1="C000247B" w:usb2="00000009" w:usb3="00000000" w:csb0="000001FF" w:csb1="00000000"/>
    <w:embedRegular r:id="rId7" w:fontKey="{F7376511-B58A-42B2-8B76-527405F711A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34455C" w:rsidRPr="00590C4E" w:rsidP="0034455C">
    <w:pPr>
      <w:pStyle w:val="Footer"/>
      <w:tabs>
        <w:tab w:val="clear" w:pos="4536"/>
        <w:tab w:val="left" w:pos="5954"/>
        <w:tab w:val="clear" w:pos="9072"/>
      </w:tabs>
    </w:pPr>
    <w:r w:rsidRPr="00590C4E">
      <w:tab/>
    </w:r>
    <w:r>
      <w:t xml:space="preserve"> </w:t>
    </w:r>
  </w:p>
  <w:p w:rsidR="00D71249" w:rsidRPr="0078775A" w:rsidP="00D71249">
    <w:pPr>
      <w:pStyle w:val="Footer"/>
      <w:tabs>
        <w:tab w:val="clear" w:pos="4536"/>
        <w:tab w:val="left" w:pos="5103"/>
        <w:tab w:val="clear" w:pos="9072"/>
      </w:tabs>
    </w:pPr>
    <w:r w:rsidRPr="0078775A">
      <w:rPr>
        <w:noProof/>
        <w:sz w:val="14"/>
        <w:lang w:eastAsia="pl-PL"/>
      </w:rPr>
      <mc:AlternateContent>
        <mc:Choice Requires="wps">
          <w:drawing>
            <wp:anchor distT="0" distB="0" distL="114300" distR="114300" simplePos="0" relativeHeight="251659264" behindDoc="0" locked="0" layoutInCell="1" allowOverlap="1">
              <wp:simplePos x="0" y="0"/>
              <wp:positionH relativeFrom="margin">
                <wp:posOffset>0</wp:posOffset>
              </wp:positionH>
              <wp:positionV relativeFrom="paragraph">
                <wp:posOffset>-120650</wp:posOffset>
              </wp:positionV>
              <wp:extent cx="5040000" cy="0"/>
              <wp:effectExtent l="0" t="0" r="27305" b="19050"/>
              <wp:wrapNone/>
              <wp:docPr id="1" name="Łącznik prosty 1"/>
              <wp:cNvGraphicFramePr/>
              <a:graphic xmlns:a="http://schemas.openxmlformats.org/drawingml/2006/main">
                <a:graphicData uri="http://schemas.microsoft.com/office/word/2010/wordprocessingShape">
                  <wps:wsp xmlns:wps="http://schemas.microsoft.com/office/word/2010/wordprocessingShape">
                    <wps:cNvCnPr/>
                    <wps:spPr>
                      <a:xfrm>
                        <a:off x="0" y="0"/>
                        <a:ext cx="5040000" cy="0"/>
                      </a:xfrm>
                      <a:prstGeom prst="line">
                        <a:avLst/>
                      </a:prstGeom>
                      <a:noFill/>
                      <a:ln w="6350">
                        <a:solidFill>
                          <a:sysClr val="windowText" lastClr="000000"/>
                        </a:solidFill>
                        <a:miter lim="800000"/>
                      </a:ln>
                    </wps:spPr>
                    <wps:bodyPr/>
                  </wps:wsp>
                </a:graphicData>
              </a:graphic>
              <wp14:sizeRelH relativeFrom="margin">
                <wp14:pctWidth>0</wp14:pctWidth>
              </wp14:sizeRelH>
              <wp14:sizeRelV relativeFrom="margin">
                <wp14:pctHeight>0</wp14:pctHeight>
              </wp14:sizeRelV>
            </wp:anchor>
          </w:drawing>
        </mc:Choice>
        <mc:Fallback>
          <w:pict>
            <v:line id="Łącznik prosty 1" o:spid="_x0000_s2049" style="mso-height-percent:0;mso-height-relative:margin;mso-position-horizontal-relative:margin;mso-width-percent:0;mso-width-relative:margin;mso-wrap-distance-bottom:0;mso-wrap-distance-left:9pt;mso-wrap-distance-right:9pt;mso-wrap-distance-top:0;mso-wrap-style:square;position:absolute;visibility:visible;z-index:251660288" from="0,-9.5pt" to="396.85pt,-9.5pt" strokecolor="black" strokeweight="0.5pt">
              <v:stroke joinstyle="miter"/>
              <w10:wrap anchorx="margin"/>
            </v:line>
          </w:pict>
        </mc:Fallback>
      </mc:AlternateContent>
    </w:r>
    <w:r w:rsidRPr="0078775A">
      <w:t>Telefon: (+48) 22</w:t>
    </w:r>
    <w:r>
      <w:t> </w:t>
    </w:r>
    <w:r w:rsidRPr="0078775A">
      <w:t>369</w:t>
    </w:r>
    <w:r>
      <w:t xml:space="preserve"> </w:t>
    </w:r>
    <w:r w:rsidRPr="0078775A">
      <w:t>29</w:t>
    </w:r>
    <w:r>
      <w:t xml:space="preserve"> </w:t>
    </w:r>
    <w:r w:rsidRPr="0078775A">
      <w:t>00</w:t>
    </w:r>
    <w:r w:rsidRPr="0078775A">
      <w:tab/>
      <w:t xml:space="preserve">ul. Wawelska 52/54, 00-922 Warszawa  </w:t>
    </w:r>
  </w:p>
  <w:p w:rsidR="00D71249" w:rsidRPr="0078775A" w:rsidP="00D71249">
    <w:pPr>
      <w:pStyle w:val="Footer"/>
      <w:tabs>
        <w:tab w:val="clear" w:pos="4536"/>
        <w:tab w:val="left" w:pos="5387"/>
        <w:tab w:val="clear" w:pos="9072"/>
      </w:tabs>
    </w:pPr>
    <w:r w:rsidRPr="0078775A">
      <w:t>info@klimat.gov.pl</w:t>
    </w:r>
    <w:r w:rsidRPr="0078775A">
      <w:tab/>
      <w:t xml:space="preserve">Ministerstwo Klimatu i Środowiska  </w:t>
    </w:r>
  </w:p>
  <w:p w:rsidR="00D71249" w:rsidRPr="0078775A" w:rsidP="00D71249">
    <w:pPr>
      <w:pStyle w:val="Footer"/>
      <w:tabs>
        <w:tab w:val="left" w:pos="5954"/>
      </w:tabs>
    </w:pPr>
    <w:r w:rsidRPr="0078775A">
      <w:t>www.gov.pl/klimat</w:t>
    </w:r>
  </w:p>
  <w:p w:rsidR="0034455C" w:rsidRPr="00D71249" w:rsidP="00D71249">
    <w:pPr>
      <w:pStyle w:val="Footer"/>
      <w:jc w:val="center"/>
      <w:rPr>
        <w:sz w:val="14"/>
      </w:rPr>
    </w:pPr>
    <w:r w:rsidRPr="0078775A">
      <w:rPr>
        <w:sz w:val="14"/>
      </w:rPr>
      <w:t>Działamy zgodnie z EMAS - zarządzając instytucją, dbamy o środowisko</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276B2" w:rsidP="009276B2">
    <w:pPr>
      <w:pStyle w:val="Header"/>
      <w:tabs>
        <w:tab w:val="clear" w:pos="4536"/>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34455C">
    <w:pPr>
      <w:pStyle w:val="Header"/>
    </w:pPr>
    <w:r>
      <w:rPr>
        <w:noProof/>
        <w:lang w:eastAsia="pl-PL"/>
      </w:rPr>
      <w:drawing>
        <wp:anchor distT="0" distB="0" distL="114300" distR="114300" simplePos="0" relativeHeight="251658240" behindDoc="0" locked="0" layoutInCell="1" allowOverlap="1">
          <wp:simplePos x="0" y="0"/>
          <wp:positionH relativeFrom="column">
            <wp:posOffset>-911225</wp:posOffset>
          </wp:positionH>
          <wp:positionV relativeFrom="paragraph">
            <wp:posOffset>-76835</wp:posOffset>
          </wp:positionV>
          <wp:extent cx="3146425" cy="1061720"/>
          <wp:effectExtent l="0" t="0" r="0" b="0"/>
          <wp:wrapThrough wrapText="bothSides">
            <wp:wrapPolygon>
              <wp:start x="3139" y="2325"/>
              <wp:lineTo x="1700" y="3876"/>
              <wp:lineTo x="785" y="6589"/>
              <wp:lineTo x="1308" y="17053"/>
              <wp:lineTo x="3531" y="18215"/>
              <wp:lineTo x="6016" y="18990"/>
              <wp:lineTo x="20532" y="18990"/>
              <wp:lineTo x="20794" y="15890"/>
              <wp:lineTo x="5493" y="15502"/>
              <wp:lineTo x="20401" y="13952"/>
              <wp:lineTo x="20663" y="9689"/>
              <wp:lineTo x="13470" y="9301"/>
              <wp:lineTo x="13601" y="6589"/>
              <wp:lineTo x="10331" y="4651"/>
              <wp:lineTo x="3662" y="2325"/>
              <wp:lineTo x="3139" y="2325"/>
            </wp:wrapPolygon>
          </wp:wrapThrough>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owakowski\AppData\Local\Microsoft\Windows\INetCache\Content.Word\01_znak_podstawowy_kolor_biale_tlo.png"/>
                  <pic:cNvPicPr>
                    <a:picLocks noChangeAspect="1" noChangeArrowheads="1"/>
                  </pic:cNvPicPr>
                </pic:nvPicPr>
                <pic:blipFill rotWithShape="1">
                  <a:blip xmlns:r="http://schemas.openxmlformats.org/officeDocument/2006/relationships" r:embed="rId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6425" cy="1061720"/>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60381B8F"/>
    <w:multiLevelType w:val="hybridMultilevel"/>
    <w:tmpl w:val="FE64D410"/>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TrueTypeFonts/>
  <w:proofState w:spelling="clean"/>
  <w:defaultTabStop w:val="709"/>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m:mathPr>
    <m:mathFont m:val="Cambria Math"/>
  </m:mathPr>
  <w:themeFontLang w:val="pl-PL"/>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0D8C"/>
    <w:pPr>
      <w:jc w:val="both"/>
    </w:pPr>
    <w:rPr>
      <w:rFonts w:ascii="Lato" w:hAnsi="Lato"/>
      <w:sz w:val="20"/>
    </w:rPr>
  </w:style>
  <w:style w:type="paragraph" w:styleId="Heading1">
    <w:name w:val="heading 1"/>
    <w:basedOn w:val="Normal"/>
    <w:next w:val="Normal"/>
    <w:link w:val="Nagwek1Znak"/>
    <w:uiPriority w:val="9"/>
    <w:qFormat/>
    <w:rsid w:val="00F450D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NagwekZnak"/>
    <w:uiPriority w:val="99"/>
    <w:unhideWhenUsed/>
    <w:rsid w:val="009276B2"/>
    <w:pPr>
      <w:tabs>
        <w:tab w:val="center" w:pos="4536"/>
        <w:tab w:val="right" w:pos="9072"/>
      </w:tabs>
      <w:spacing w:after="0" w:line="240" w:lineRule="auto"/>
    </w:pPr>
  </w:style>
  <w:style w:type="character" w:customStyle="1" w:styleId="NagwekZnak">
    <w:name w:val="Nagłówek Znak"/>
    <w:basedOn w:val="DefaultParagraphFont"/>
    <w:link w:val="Header"/>
    <w:uiPriority w:val="99"/>
    <w:rsid w:val="009276B2"/>
  </w:style>
  <w:style w:type="paragraph" w:styleId="Footer">
    <w:name w:val="footer"/>
    <w:basedOn w:val="Normal"/>
    <w:link w:val="StopkaZnak"/>
    <w:uiPriority w:val="99"/>
    <w:unhideWhenUsed/>
    <w:qFormat/>
    <w:rsid w:val="000F390E"/>
    <w:pPr>
      <w:tabs>
        <w:tab w:val="center" w:pos="4536"/>
        <w:tab w:val="right" w:pos="9072"/>
      </w:tabs>
      <w:spacing w:after="0" w:line="240" w:lineRule="auto"/>
      <w:jc w:val="left"/>
    </w:pPr>
    <w:rPr>
      <w:sz w:val="16"/>
    </w:rPr>
  </w:style>
  <w:style w:type="character" w:customStyle="1" w:styleId="StopkaZnak">
    <w:name w:val="Stopka Znak"/>
    <w:basedOn w:val="DefaultParagraphFont"/>
    <w:link w:val="Footer"/>
    <w:uiPriority w:val="99"/>
    <w:rsid w:val="000F390E"/>
    <w:rPr>
      <w:rFonts w:ascii="Lato" w:hAnsi="Lato"/>
      <w:sz w:val="16"/>
    </w:rPr>
  </w:style>
  <w:style w:type="paragraph" w:styleId="CommentText">
    <w:name w:val="annotation text"/>
    <w:basedOn w:val="Normal"/>
    <w:link w:val="TekstkomentarzaZnak"/>
    <w:uiPriority w:val="99"/>
    <w:semiHidden/>
    <w:unhideWhenUsed/>
    <w:rsid w:val="00F450D1"/>
    <w:pPr>
      <w:spacing w:line="240" w:lineRule="auto"/>
    </w:pPr>
    <w:rPr>
      <w:szCs w:val="20"/>
    </w:rPr>
  </w:style>
  <w:style w:type="character" w:customStyle="1" w:styleId="TekstkomentarzaZnak">
    <w:name w:val="Tekst komentarza Znak"/>
    <w:basedOn w:val="DefaultParagraphFont"/>
    <w:link w:val="CommentText"/>
    <w:uiPriority w:val="99"/>
    <w:semiHidden/>
    <w:rsid w:val="00F450D1"/>
    <w:rPr>
      <w:rFonts w:ascii="Lato" w:hAnsi="Lato"/>
      <w:sz w:val="20"/>
      <w:szCs w:val="20"/>
    </w:rPr>
  </w:style>
  <w:style w:type="character" w:customStyle="1" w:styleId="Nagwek1Znak">
    <w:name w:val="Nagłówek 1 Znak"/>
    <w:basedOn w:val="DefaultParagraphFont"/>
    <w:link w:val="Heading1"/>
    <w:uiPriority w:val="9"/>
    <w:rsid w:val="00F450D1"/>
    <w:rPr>
      <w:rFonts w:asciiTheme="majorHAnsi" w:eastAsiaTheme="majorEastAsia" w:hAnsiTheme="majorHAnsi" w:cstheme="majorBidi"/>
      <w:color w:val="2E74B5" w:themeColor="accent1" w:themeShade="BF"/>
      <w:sz w:val="32"/>
      <w:szCs w:val="32"/>
    </w:rPr>
  </w:style>
  <w:style w:type="character" w:styleId="CommentReference">
    <w:name w:val="annotation reference"/>
    <w:rsid w:val="00F450D1"/>
    <w:rPr>
      <w:sz w:val="16"/>
      <w:szCs w:val="16"/>
    </w:rPr>
  </w:style>
  <w:style w:type="character" w:styleId="Hyperlink">
    <w:name w:val="Hyperlink"/>
    <w:basedOn w:val="DefaultParagraphFont"/>
    <w:uiPriority w:val="99"/>
    <w:unhideWhenUsed/>
    <w:rsid w:val="00F450D1"/>
    <w:rPr>
      <w:color w:val="0563C1" w:themeColor="hyperlink"/>
      <w:u w:val="single"/>
    </w:rPr>
  </w:style>
  <w:style w:type="paragraph" w:styleId="ListParagraph">
    <w:name w:val="List Paragraph"/>
    <w:basedOn w:val="Normal"/>
    <w:uiPriority w:val="34"/>
    <w:qFormat/>
    <w:rsid w:val="003C0E7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header" Target="header1.xml" /><Relationship Id="rId6" Type="http://schemas.openxmlformats.org/officeDocument/2006/relationships/header" Target="header2.xml" /><Relationship Id="rId7" Type="http://schemas.openxmlformats.org/officeDocument/2006/relationships/footer" Target="footer1.xml" /><Relationship Id="rId8" Type="http://schemas.openxmlformats.org/officeDocument/2006/relationships/theme" Target="theme/theme1.xml" /><Relationship Id="rId9" Type="http://schemas.openxmlformats.org/officeDocument/2006/relationships/numbering" Target="numbering.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s>
</file>

<file path=word/_rels/header2.xml.rels>&#65279;<?xml version="1.0" encoding="utf-8" standalone="yes"?><Relationships xmlns="http://schemas.openxmlformats.org/package/2006/relationships"><Relationship Id="rId1" Type="http://schemas.openxmlformats.org/officeDocument/2006/relationships/image" Target="media/image1.png"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CF819E-6B7E-402B-A1BA-AF484019C4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3</Pages>
  <Words>1020</Words>
  <Characters>6124</Characters>
  <Application>Microsoft Office Word</Application>
  <DocSecurity>0</DocSecurity>
  <Lines>51</Lines>
  <Paragraphs>14</Paragraphs>
  <ScaleCrop>false</ScaleCrop>
  <HeadingPairs>
    <vt:vector size="2" baseType="variant">
      <vt:variant>
        <vt:lpstr>Tytuł</vt:lpstr>
      </vt:variant>
      <vt:variant>
        <vt:i4>1</vt:i4>
      </vt:variant>
    </vt:vector>
  </HeadingPairs>
  <TitlesOfParts>
    <vt:vector size="1" baseType="lpstr">
      <vt:lpstr>Minister Klimatu i Środowiska Anna Moskwa kolor</vt:lpstr>
    </vt:vector>
  </TitlesOfParts>
  <Company>Ministerstwo Klimatu i Środowiska</Company>
  <LinksUpToDate>false</LinksUpToDate>
  <CharactersWithSpaces>7130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Minister Klimatu i Środowiska Anna Moskwa kolor</dc:title>
  <dc:creator>Nowakowski Adam</dc:creator>
  <cp:keywords>PL, kolor</cp:keywords>
  <dc:description>Wersja 10.2, dostępny od 6.12.2022</dc:description>
  <cp:lastModifiedBy>KUDELSKI Piotr</cp:lastModifiedBy>
  <cp:revision>9</cp:revision>
  <cp:lastPrinted>2022-09-08T13:34:00Z</cp:lastPrinted>
  <dcterms:created xsi:type="dcterms:W3CDTF">2022-12-20T16:08:00Z</dcterms:created>
  <dcterms:modified xsi:type="dcterms:W3CDTF">2022-12-23T09:24:00Z</dcterms:modified>
  <cp:category>KIEROWNICTWO</cp:category>
</cp:coreProperties>
</file>