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E64BB1" w14:textId="77777777" w:rsidR="009276B2" w:rsidRDefault="00000000" w:rsidP="009276B2">
      <w:pPr>
        <w:spacing w:after="0" w:line="240" w:lineRule="auto"/>
      </w:pPr>
    </w:p>
    <w:p w14:paraId="0FF28C90" w14:textId="77777777" w:rsidR="001D1CA9" w:rsidRPr="009276B2" w:rsidRDefault="00000000" w:rsidP="009276B2">
      <w:pPr>
        <w:spacing w:after="0" w:line="240" w:lineRule="auto"/>
      </w:pPr>
    </w:p>
    <w:p w14:paraId="670719D2" w14:textId="46978486" w:rsidR="009276B2" w:rsidRDefault="005C0A1C" w:rsidP="005C0A1C">
      <w:pPr>
        <w:spacing w:after="0" w:line="240" w:lineRule="auto"/>
        <w:jc w:val="center"/>
        <w:rPr>
          <w:b/>
          <w:bCs/>
          <w:sz w:val="24"/>
          <w:szCs w:val="24"/>
        </w:rPr>
      </w:pPr>
      <w:r w:rsidRPr="005C0A1C">
        <w:rPr>
          <w:b/>
          <w:bCs/>
          <w:sz w:val="24"/>
          <w:szCs w:val="24"/>
        </w:rPr>
        <w:t>Protokół rozbieżności</w:t>
      </w:r>
      <w:r>
        <w:rPr>
          <w:b/>
          <w:bCs/>
          <w:sz w:val="24"/>
          <w:szCs w:val="24"/>
        </w:rPr>
        <w:t xml:space="preserve"> do projektu ustawy o zmianie ustawy o odnawialnych źródłach energii oraz niektórych innych ustaw (nr  w wykazie Prac Legislacyjnych i Programowych Rady Ministrów - UC99)</w:t>
      </w:r>
    </w:p>
    <w:p w14:paraId="3DC3D1E3" w14:textId="1C57B6B3" w:rsidR="005C0A1C" w:rsidRDefault="005C0A1C" w:rsidP="005C0A1C">
      <w:pPr>
        <w:spacing w:after="0" w:line="240" w:lineRule="auto"/>
        <w:jc w:val="center"/>
        <w:rPr>
          <w:b/>
          <w:bCs/>
          <w:sz w:val="24"/>
          <w:szCs w:val="24"/>
        </w:rPr>
      </w:pPr>
    </w:p>
    <w:tbl>
      <w:tblPr>
        <w:tblStyle w:val="Tabela-Siatka"/>
        <w:tblW w:w="13603" w:type="dxa"/>
        <w:tblLook w:val="04A0" w:firstRow="1" w:lastRow="0" w:firstColumn="1" w:lastColumn="0" w:noHBand="0" w:noVBand="1"/>
      </w:tblPr>
      <w:tblGrid>
        <w:gridCol w:w="561"/>
        <w:gridCol w:w="1776"/>
        <w:gridCol w:w="5342"/>
        <w:gridCol w:w="5924"/>
      </w:tblGrid>
      <w:tr w:rsidR="005C0A1C" w14:paraId="1547FFE7" w14:textId="77777777" w:rsidTr="00705CF9">
        <w:tc>
          <w:tcPr>
            <w:tcW w:w="562" w:type="dxa"/>
          </w:tcPr>
          <w:p w14:paraId="33F27A90" w14:textId="2B993CE5" w:rsidR="005C0A1C" w:rsidRPr="005C0A1C" w:rsidRDefault="005C0A1C" w:rsidP="005C0A1C">
            <w:pPr>
              <w:jc w:val="center"/>
              <w:rPr>
                <w:b/>
                <w:bCs/>
                <w:sz w:val="22"/>
              </w:rPr>
            </w:pPr>
            <w:r w:rsidRPr="005C0A1C">
              <w:rPr>
                <w:b/>
                <w:bCs/>
                <w:sz w:val="22"/>
              </w:rPr>
              <w:t>Nr</w:t>
            </w:r>
          </w:p>
        </w:tc>
        <w:tc>
          <w:tcPr>
            <w:tcW w:w="1701" w:type="dxa"/>
          </w:tcPr>
          <w:p w14:paraId="7854B8BB" w14:textId="55C8A7AE" w:rsidR="005C0A1C" w:rsidRPr="005C0A1C" w:rsidRDefault="005C0A1C" w:rsidP="005C0A1C">
            <w:pPr>
              <w:jc w:val="center"/>
              <w:rPr>
                <w:b/>
                <w:bCs/>
                <w:sz w:val="22"/>
              </w:rPr>
            </w:pPr>
            <w:r w:rsidRPr="005C0A1C">
              <w:rPr>
                <w:b/>
                <w:bCs/>
                <w:sz w:val="22"/>
              </w:rPr>
              <w:t>Podmiot zgłaszający</w:t>
            </w:r>
          </w:p>
        </w:tc>
        <w:tc>
          <w:tcPr>
            <w:tcW w:w="5375" w:type="dxa"/>
          </w:tcPr>
          <w:p w14:paraId="653FD6A4" w14:textId="4AC7522C" w:rsidR="005C0A1C" w:rsidRPr="005C0A1C" w:rsidRDefault="005C0A1C" w:rsidP="005C0A1C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Treść uwagi</w:t>
            </w:r>
          </w:p>
        </w:tc>
        <w:tc>
          <w:tcPr>
            <w:tcW w:w="5965" w:type="dxa"/>
          </w:tcPr>
          <w:p w14:paraId="5D1A4365" w14:textId="2DC90C5B" w:rsidR="005C0A1C" w:rsidRPr="005C0A1C" w:rsidRDefault="005C0A1C" w:rsidP="005C0A1C">
            <w:pPr>
              <w:jc w:val="center"/>
              <w:rPr>
                <w:b/>
                <w:bCs/>
                <w:sz w:val="22"/>
              </w:rPr>
            </w:pPr>
            <w:r w:rsidRPr="005C0A1C">
              <w:rPr>
                <w:b/>
                <w:bCs/>
                <w:sz w:val="22"/>
              </w:rPr>
              <w:t>Stanowisko Ministerstwa Klimatu i Środowiska</w:t>
            </w:r>
          </w:p>
        </w:tc>
      </w:tr>
      <w:tr w:rsidR="005C0A1C" w14:paraId="117779E5" w14:textId="77777777" w:rsidTr="00705CF9">
        <w:tc>
          <w:tcPr>
            <w:tcW w:w="562" w:type="dxa"/>
          </w:tcPr>
          <w:p w14:paraId="0630ED94" w14:textId="5F3728E5" w:rsidR="005C0A1C" w:rsidRDefault="005C0A1C" w:rsidP="005C0A1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1.</w:t>
            </w:r>
          </w:p>
        </w:tc>
        <w:tc>
          <w:tcPr>
            <w:tcW w:w="1701" w:type="dxa"/>
          </w:tcPr>
          <w:p w14:paraId="1E170422" w14:textId="6584734C" w:rsidR="005C0A1C" w:rsidRDefault="005C0A1C" w:rsidP="005C0A1C">
            <w:pPr>
              <w:jc w:val="center"/>
              <w:rPr>
                <w:sz w:val="22"/>
              </w:rPr>
            </w:pPr>
            <w:r>
              <w:rPr>
                <w:sz w:val="22"/>
              </w:rPr>
              <w:t>Ministerstwo Sprawiedliwości</w:t>
            </w:r>
          </w:p>
        </w:tc>
        <w:tc>
          <w:tcPr>
            <w:tcW w:w="5375" w:type="dxa"/>
          </w:tcPr>
          <w:p w14:paraId="3536C5E0" w14:textId="2ED9CD67" w:rsidR="00705CF9" w:rsidRPr="00705CF9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Nie są przekonujące wyjaśnienia projektodawcy z pkt 194 tabeli uwag, odnoszące się do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pominięcia w OSR Sądu Ochrony Konkurencji i Konsumentów w Warszawie oraz Sądu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Apelacyjnego w Warszawie jako podmiotów, na które będzie oddziaływał projekt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i konieczności uwzględnienia w OSR środków na wzmocnienie etatowe tych jednostek.</w:t>
            </w:r>
          </w:p>
          <w:p w14:paraId="113CFC0B" w14:textId="2EF8B660" w:rsidR="00705CF9" w:rsidRPr="00705CF9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W opinii projektodawcy proponowane rozwiązania nie wpłyną na wzrost liczby spraw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 xml:space="preserve">prowadzonych m.in. przez </w:t>
            </w:r>
            <w:proofErr w:type="spellStart"/>
            <w:r w:rsidRPr="00705CF9">
              <w:rPr>
                <w:sz w:val="22"/>
              </w:rPr>
              <w:t>SOKiK</w:t>
            </w:r>
            <w:proofErr w:type="spellEnd"/>
            <w:r w:rsidRPr="00705CF9">
              <w:rPr>
                <w:sz w:val="22"/>
              </w:rPr>
              <w:t xml:space="preserve"> i na obciążenie tego sądu.</w:t>
            </w:r>
          </w:p>
          <w:p w14:paraId="25423011" w14:textId="462D0C16" w:rsidR="00705CF9" w:rsidRPr="00705CF9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Z powyższą opinią nie sposób się zgodzić, gdyż projektowane przepisy poszerzają katalog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 xml:space="preserve">decyzji i postanowień Prezesa URE podlegających zaskarżeniu do </w:t>
            </w:r>
            <w:proofErr w:type="spellStart"/>
            <w:r w:rsidRPr="00705CF9">
              <w:rPr>
                <w:sz w:val="22"/>
              </w:rPr>
              <w:t>SOKiK</w:t>
            </w:r>
            <w:proofErr w:type="spellEnd"/>
            <w:r w:rsidRPr="00705CF9">
              <w:rPr>
                <w:sz w:val="22"/>
              </w:rPr>
              <w:t xml:space="preserve"> o:</w:t>
            </w:r>
          </w:p>
          <w:p w14:paraId="535C830B" w14:textId="536CE0A1" w:rsidR="00705CF9" w:rsidRPr="00705CF9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a) decyzje o zakazie wykonywania przez wytwórcę działalności gospodarczej w zakresie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 xml:space="preserve">wytwarzania biogazu na potrzeby wytwarzania </w:t>
            </w:r>
            <w:proofErr w:type="spellStart"/>
            <w:r w:rsidRPr="00705CF9">
              <w:rPr>
                <w:sz w:val="22"/>
              </w:rPr>
              <w:t>biometanu</w:t>
            </w:r>
            <w:proofErr w:type="spellEnd"/>
            <w:r w:rsidRPr="00705CF9">
              <w:rPr>
                <w:sz w:val="22"/>
              </w:rPr>
              <w:t xml:space="preserve"> lub wytwarzania </w:t>
            </w:r>
            <w:proofErr w:type="spellStart"/>
            <w:r w:rsidRPr="00705CF9">
              <w:rPr>
                <w:sz w:val="22"/>
              </w:rPr>
              <w:t>biometanu</w:t>
            </w:r>
            <w:proofErr w:type="spellEnd"/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z biogazu;</w:t>
            </w:r>
          </w:p>
          <w:p w14:paraId="6C570102" w14:textId="21E4C16B" w:rsidR="00705CF9" w:rsidRPr="00705CF9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b) decyzje w przedmiocie uzgodnienia lub odmowy uzgodnienia planu rozwoju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 xml:space="preserve">przedsiębiorstwa energetycznego w zakresie zaspokojenia obecnego i </w:t>
            </w:r>
            <w:r w:rsidRPr="00705CF9">
              <w:rPr>
                <w:sz w:val="22"/>
              </w:rPr>
              <w:lastRenderedPageBreak/>
              <w:t>przyszłego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zapotrzebowania na paliwa gazowe lub energię;</w:t>
            </w:r>
          </w:p>
          <w:p w14:paraId="72FDE558" w14:textId="3BA6E229" w:rsidR="00705CF9" w:rsidRPr="00705CF9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c) decyzje w przedmiocie ponownego uzgodnienia planu rozwoju w zakresie planowanego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spełnienia przez system ciepłowniczy warunków uznania za efektywny energetycznie;</w:t>
            </w:r>
          </w:p>
          <w:p w14:paraId="1154521D" w14:textId="77777777" w:rsidR="00705CF9" w:rsidRPr="00705CF9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d) decyzje o stwierdzeniu wygaśnięcia decyzji uzgadniającej plan rozwoju;</w:t>
            </w:r>
          </w:p>
          <w:p w14:paraId="6ADEE0CC" w14:textId="77777777" w:rsidR="00705CF9" w:rsidRPr="00705CF9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e) decyzje o wykreśleniu klastra energii z rejestru klastrów energii;</w:t>
            </w:r>
          </w:p>
          <w:p w14:paraId="67259E99" w14:textId="4DAD72FB" w:rsidR="00705CF9" w:rsidRPr="00705CF9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f) postanowienia o odmowie wydania wytwórcom energii elektrycznej z odnawialnych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źródeł energii zaświadczenia o możliwości sprzedaży niewykorzystanej energii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elektrycznej.</w:t>
            </w:r>
          </w:p>
          <w:p w14:paraId="3B686456" w14:textId="60A61F3B" w:rsidR="00705CF9" w:rsidRPr="00705CF9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Nie jest zrozumiałe, dlaczego projektodawca zakłada, że zainteresowani nie będą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 xml:space="preserve">korzystać z przysługującego im prawa zaskarżenia ww. decyzji i postanowień do </w:t>
            </w:r>
            <w:proofErr w:type="spellStart"/>
            <w:r w:rsidRPr="00705CF9">
              <w:rPr>
                <w:sz w:val="22"/>
              </w:rPr>
              <w:t>SOKiK</w:t>
            </w:r>
            <w:proofErr w:type="spellEnd"/>
            <w:r w:rsidRPr="00705CF9">
              <w:rPr>
                <w:sz w:val="22"/>
              </w:rPr>
              <w:t>.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W OSR projektu zidentyfikowano aż 396 podmiotów posiadających koncesję na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wytwarzanie ciepła i obrót nim, 140 spółek obrotu energią, 180 operatorów systemów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 xml:space="preserve">dystrybucyjnych, 250 wytwórców energii rocznie w instalacjach innych niż </w:t>
            </w:r>
            <w:proofErr w:type="spellStart"/>
            <w:r w:rsidRPr="00705CF9">
              <w:rPr>
                <w:sz w:val="22"/>
              </w:rPr>
              <w:t>mikroinstalacje</w:t>
            </w:r>
            <w:proofErr w:type="spellEnd"/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 xml:space="preserve">oraz 300 000 wytwórców energii w </w:t>
            </w:r>
            <w:proofErr w:type="spellStart"/>
            <w:r w:rsidRPr="00705CF9">
              <w:rPr>
                <w:sz w:val="22"/>
              </w:rPr>
              <w:t>mikroinstalacjach</w:t>
            </w:r>
            <w:proofErr w:type="spellEnd"/>
            <w:r w:rsidRPr="00705CF9">
              <w:rPr>
                <w:sz w:val="22"/>
              </w:rPr>
              <w:t>.</w:t>
            </w:r>
          </w:p>
          <w:p w14:paraId="2EDE17C0" w14:textId="6008F64B" w:rsidR="00705CF9" w:rsidRPr="00705CF9" w:rsidRDefault="00705CF9" w:rsidP="00705CF9">
            <w:pPr>
              <w:rPr>
                <w:sz w:val="22"/>
              </w:rPr>
            </w:pPr>
          </w:p>
          <w:p w14:paraId="74065D1F" w14:textId="7EBA0740" w:rsidR="005C0A1C" w:rsidRDefault="00705CF9" w:rsidP="00705CF9">
            <w:pPr>
              <w:rPr>
                <w:sz w:val="22"/>
              </w:rPr>
            </w:pPr>
            <w:r w:rsidRPr="00705CF9">
              <w:rPr>
                <w:sz w:val="22"/>
              </w:rPr>
              <w:t>Wobec powyższego podtrzymania wymagają dotychczasowe uwagi w zakresie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konieczności uwzględnienia w OSR sądów (</w:t>
            </w:r>
            <w:proofErr w:type="spellStart"/>
            <w:r w:rsidRPr="00705CF9">
              <w:rPr>
                <w:sz w:val="22"/>
              </w:rPr>
              <w:t>SOKiK</w:t>
            </w:r>
            <w:proofErr w:type="spellEnd"/>
            <w:r w:rsidRPr="00705CF9">
              <w:rPr>
                <w:sz w:val="22"/>
              </w:rPr>
              <w:t xml:space="preserve"> oraz Sądu Apelacyjnego w Warszawie)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 xml:space="preserve">wśród podmiotów, na </w:t>
            </w:r>
            <w:r w:rsidRPr="00705CF9">
              <w:rPr>
                <w:sz w:val="22"/>
              </w:rPr>
              <w:lastRenderedPageBreak/>
              <w:t>które oddziałuje projekt oraz zabezpieczenia środków na</w:t>
            </w:r>
            <w:r>
              <w:rPr>
                <w:sz w:val="22"/>
              </w:rPr>
              <w:t xml:space="preserve"> </w:t>
            </w:r>
            <w:r w:rsidRPr="00705CF9">
              <w:rPr>
                <w:sz w:val="22"/>
              </w:rPr>
              <w:t>wzmocnienie etatowe tych jednostek.</w:t>
            </w:r>
          </w:p>
        </w:tc>
        <w:tc>
          <w:tcPr>
            <w:tcW w:w="5965" w:type="dxa"/>
          </w:tcPr>
          <w:p w14:paraId="0869C5AE" w14:textId="7B1E728E" w:rsidR="00950A75" w:rsidRPr="00950A75" w:rsidRDefault="00950A75" w:rsidP="00950A75">
            <w:pPr>
              <w:rPr>
                <w:b/>
                <w:bCs/>
                <w:sz w:val="22"/>
              </w:rPr>
            </w:pPr>
            <w:r w:rsidRPr="00950A75">
              <w:rPr>
                <w:b/>
                <w:bCs/>
                <w:sz w:val="22"/>
              </w:rPr>
              <w:lastRenderedPageBreak/>
              <w:t>Uwaga nieprzyjęta</w:t>
            </w:r>
          </w:p>
          <w:p w14:paraId="5CD149E6" w14:textId="77777777" w:rsidR="00950A75" w:rsidRPr="00950A75" w:rsidRDefault="00950A75" w:rsidP="00950A75">
            <w:pPr>
              <w:rPr>
                <w:sz w:val="22"/>
              </w:rPr>
            </w:pPr>
          </w:p>
          <w:p w14:paraId="332F671F" w14:textId="640CE467" w:rsidR="005C0A1C" w:rsidRDefault="00950A75" w:rsidP="00950A75">
            <w:pPr>
              <w:rPr>
                <w:sz w:val="22"/>
              </w:rPr>
            </w:pPr>
            <w:r w:rsidRPr="00950A75">
              <w:rPr>
                <w:sz w:val="22"/>
              </w:rPr>
              <w:t xml:space="preserve">W opinii Ministra Klimatu i Środowiska proponowane rozwiązania nie wpłyną na wzrost liczby sporów a przez to spraw prowadzonych przez </w:t>
            </w:r>
            <w:proofErr w:type="spellStart"/>
            <w:r w:rsidRPr="00950A75">
              <w:rPr>
                <w:sz w:val="22"/>
              </w:rPr>
              <w:t>SOKiK</w:t>
            </w:r>
            <w:proofErr w:type="spellEnd"/>
            <w:r w:rsidRPr="00950A75">
              <w:rPr>
                <w:sz w:val="22"/>
              </w:rPr>
              <w:t xml:space="preserve"> i dodatkowe obciążenie finansowe.</w:t>
            </w:r>
          </w:p>
        </w:tc>
      </w:tr>
    </w:tbl>
    <w:p w14:paraId="6C08C492" w14:textId="77777777" w:rsidR="005C0A1C" w:rsidRPr="005C0A1C" w:rsidRDefault="005C0A1C" w:rsidP="005C0A1C">
      <w:pPr>
        <w:spacing w:after="0" w:line="240" w:lineRule="auto"/>
        <w:jc w:val="center"/>
        <w:rPr>
          <w:sz w:val="22"/>
        </w:rPr>
      </w:pPr>
    </w:p>
    <w:sectPr w:rsidR="005C0A1C" w:rsidRPr="005C0A1C" w:rsidSect="005C0A1C">
      <w:headerReference w:type="default" r:id="rId7"/>
      <w:headerReference w:type="first" r:id="rId8"/>
      <w:footerReference w:type="first" r:id="rId9"/>
      <w:pgSz w:w="16838" w:h="11906" w:orient="landscape"/>
      <w:pgMar w:top="1985" w:right="2113" w:bottom="1985" w:left="1985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34A98F" w14:textId="77777777" w:rsidR="009A3ABF" w:rsidRDefault="009A3ABF">
      <w:pPr>
        <w:spacing w:after="0" w:line="240" w:lineRule="auto"/>
      </w:pPr>
      <w:r>
        <w:separator/>
      </w:r>
    </w:p>
  </w:endnote>
  <w:endnote w:type="continuationSeparator" w:id="0">
    <w:p w14:paraId="6D3DC7EE" w14:textId="77777777" w:rsidR="009A3ABF" w:rsidRDefault="009A3A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7DBB5BC-B131-4813-95F9-A1BDE5EDCD69}"/>
    <w:embedBold r:id="rId2" w:fontKey="{221D4C86-CA71-4700-B851-93DEBA871D9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3" w:fontKey="{5908CBFE-5DF6-4DBF-984E-6EA21361C39C}"/>
    <w:embedBold r:id="rId4" w:fontKey="{09AC32B2-44FB-4D2D-BB52-AC83823F4560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5E334237-D2E8-4FB3-9012-B4D95C24AA0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64134" w14:textId="77777777" w:rsidR="0020194A" w:rsidRPr="0078775A" w:rsidRDefault="00000000" w:rsidP="0020194A">
    <w:pPr>
      <w:pStyle w:val="Stopka"/>
      <w:tabs>
        <w:tab w:val="clear" w:pos="4536"/>
        <w:tab w:val="clear" w:pos="9072"/>
        <w:tab w:val="left" w:pos="5103"/>
      </w:tabs>
    </w:pPr>
    <w:r w:rsidRPr="0078775A">
      <w:rPr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C6A7663" wp14:editId="1B4CBECF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ysClr val="windowText" lastClr="000000"/>
                        </a:solidFill>
                        <a:miter lim="800000"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2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0288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78775A">
      <w:t>Telefon: (+48) 22</w:t>
    </w:r>
    <w:r>
      <w:t> </w:t>
    </w:r>
    <w:r w:rsidRPr="0078775A">
      <w:t>369</w:t>
    </w:r>
    <w:r>
      <w:t xml:space="preserve"> </w:t>
    </w:r>
    <w:r w:rsidRPr="0078775A">
      <w:t>29</w:t>
    </w:r>
    <w:r>
      <w:t xml:space="preserve"> </w:t>
    </w:r>
    <w:r w:rsidRPr="0078775A">
      <w:t>00</w:t>
    </w:r>
    <w:r w:rsidRPr="0078775A">
      <w:tab/>
      <w:t xml:space="preserve">ul. Wawelska 52/54, 00-922 Warszawa  </w:t>
    </w:r>
  </w:p>
  <w:p w14:paraId="73001CDD" w14:textId="77777777" w:rsidR="0020194A" w:rsidRPr="0078775A" w:rsidRDefault="00000000" w:rsidP="0020194A">
    <w:pPr>
      <w:pStyle w:val="Stopka"/>
      <w:tabs>
        <w:tab w:val="clear" w:pos="4536"/>
        <w:tab w:val="clear" w:pos="9072"/>
        <w:tab w:val="left" w:pos="5387"/>
      </w:tabs>
    </w:pPr>
    <w:r w:rsidRPr="0078775A">
      <w:t>info@klimat.gov.pl</w:t>
    </w:r>
    <w:r w:rsidRPr="0078775A">
      <w:tab/>
      <w:t xml:space="preserve">Ministerstwo Klimatu i Środowiska  </w:t>
    </w:r>
  </w:p>
  <w:p w14:paraId="6660343B" w14:textId="77777777" w:rsidR="0020194A" w:rsidRPr="0078775A" w:rsidRDefault="00000000" w:rsidP="0020194A">
    <w:pPr>
      <w:pStyle w:val="Stopka"/>
      <w:tabs>
        <w:tab w:val="left" w:pos="5954"/>
      </w:tabs>
    </w:pPr>
    <w:r w:rsidRPr="0078775A">
      <w:t>www.gov.pl/klimat</w:t>
    </w:r>
  </w:p>
  <w:p w14:paraId="13C0B5A5" w14:textId="77777777" w:rsidR="00A5787D" w:rsidRPr="0020194A" w:rsidRDefault="00000000" w:rsidP="0020194A">
    <w:pPr>
      <w:pStyle w:val="Stopka"/>
      <w:jc w:val="center"/>
      <w:rPr>
        <w:sz w:val="14"/>
      </w:rPr>
    </w:pPr>
    <w:r w:rsidRPr="0078775A">
      <w:rPr>
        <w:sz w:val="14"/>
      </w:rPr>
      <w:t>Działamy zgodnie z EMAS - zarządzając instytucją, dbamy o środowisko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EAB41E" w14:textId="77777777" w:rsidR="009A3ABF" w:rsidRDefault="009A3ABF">
      <w:pPr>
        <w:spacing w:after="0" w:line="240" w:lineRule="auto"/>
      </w:pPr>
      <w:r>
        <w:separator/>
      </w:r>
    </w:p>
  </w:footnote>
  <w:footnote w:type="continuationSeparator" w:id="0">
    <w:p w14:paraId="685D0F05" w14:textId="77777777" w:rsidR="009A3ABF" w:rsidRDefault="009A3A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1BE81" w14:textId="77777777" w:rsidR="009276B2" w:rsidRDefault="00000000" w:rsidP="009276B2">
    <w:pPr>
      <w:pStyle w:val="Nagwek"/>
      <w:tabs>
        <w:tab w:val="clear" w:pos="4536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6730F" w14:textId="77777777" w:rsidR="00A5787D" w:rsidRDefault="00000000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0F082D91" wp14:editId="47C8C641">
          <wp:simplePos x="0" y="0"/>
          <wp:positionH relativeFrom="column">
            <wp:posOffset>-908050</wp:posOffset>
          </wp:positionH>
          <wp:positionV relativeFrom="paragraph">
            <wp:posOffset>-67310</wp:posOffset>
          </wp:positionV>
          <wp:extent cx="3146425" cy="1061720"/>
          <wp:effectExtent l="0" t="0" r="0" b="0"/>
          <wp:wrapThrough wrapText="bothSides">
            <wp:wrapPolygon edited="0">
              <wp:start x="3139" y="2325"/>
              <wp:lineTo x="1700" y="3876"/>
              <wp:lineTo x="785" y="6589"/>
              <wp:lineTo x="1308" y="17053"/>
              <wp:lineTo x="3531" y="18215"/>
              <wp:lineTo x="6016" y="18990"/>
              <wp:lineTo x="20532" y="18990"/>
              <wp:lineTo x="20794" y="15890"/>
              <wp:lineTo x="5493" y="15502"/>
              <wp:lineTo x="20401" y="13952"/>
              <wp:lineTo x="20663" y="9689"/>
              <wp:lineTo x="13470" y="9301"/>
              <wp:lineTo x="13601" y="6589"/>
              <wp:lineTo x="10331" y="4651"/>
              <wp:lineTo x="3662" y="2325"/>
              <wp:lineTo x="3139" y="2325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3146425" cy="10617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0A1C"/>
    <w:rsid w:val="0007105E"/>
    <w:rsid w:val="005336E2"/>
    <w:rsid w:val="005C0A1C"/>
    <w:rsid w:val="00705CF9"/>
    <w:rsid w:val="00950A75"/>
    <w:rsid w:val="009A3ABF"/>
    <w:rsid w:val="00BC2BEE"/>
    <w:rsid w:val="00DC5802"/>
    <w:rsid w:val="00F93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385DFB"/>
  <w15:docId w15:val="{DBB8FCEC-978A-46BE-BE6D-80BD9897C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6E07D8"/>
    <w:pPr>
      <w:jc w:val="both"/>
    </w:pPr>
    <w:rPr>
      <w:rFonts w:ascii="Lato" w:hAnsi="Lato"/>
      <w:sz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276B2"/>
  </w:style>
  <w:style w:type="paragraph" w:styleId="Stopka">
    <w:name w:val="footer"/>
    <w:basedOn w:val="Normalny"/>
    <w:link w:val="StopkaZnak"/>
    <w:uiPriority w:val="99"/>
    <w:unhideWhenUsed/>
    <w:qFormat/>
    <w:rsid w:val="006939C0"/>
    <w:pPr>
      <w:tabs>
        <w:tab w:val="center" w:pos="4536"/>
        <w:tab w:val="right" w:pos="9072"/>
      </w:tabs>
      <w:spacing w:after="0" w:line="240" w:lineRule="auto"/>
      <w:jc w:val="left"/>
    </w:pPr>
    <w:rPr>
      <w:sz w:val="16"/>
    </w:rPr>
  </w:style>
  <w:style w:type="character" w:customStyle="1" w:styleId="StopkaZnak">
    <w:name w:val="Stopka Znak"/>
    <w:basedOn w:val="Domylnaczcionkaakapitu"/>
    <w:link w:val="Stopka"/>
    <w:uiPriority w:val="99"/>
    <w:rsid w:val="006939C0"/>
    <w:rPr>
      <w:rFonts w:ascii="Lato" w:hAnsi="Lato"/>
      <w:sz w:val="16"/>
    </w:rPr>
  </w:style>
  <w:style w:type="table" w:styleId="Tabela-Siatka">
    <w:name w:val="Table Grid"/>
    <w:basedOn w:val="Standardowy"/>
    <w:uiPriority w:val="39"/>
    <w:rsid w:val="005C0A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CF819E-6B7E-402B-A1BA-AF484019C4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387</Words>
  <Characters>2322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Minister Klimatu i Środowiska kolor</vt:lpstr>
    </vt:vector>
  </TitlesOfParts>
  <Company>Ministerstwo Klimatu i Środowiska</Company>
  <LinksUpToDate>false</LinksUpToDate>
  <CharactersWithSpaces>2704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Minister Klimatu i Środowiska kolor</dc:title>
  <dc:creator>MOŁDAWSKA Agnieszka</dc:creator>
  <cp:keywords>PL, KOLOR</cp:keywords>
  <dc:description>Wersja 8.2, dostępny od 6.12.2022</dc:description>
  <cp:lastModifiedBy>MOŁDAWSKA Agnieszka</cp:lastModifiedBy>
  <cp:revision>2</cp:revision>
  <cp:lastPrinted>2022-09-08T13:34:00Z</cp:lastPrinted>
  <dcterms:created xsi:type="dcterms:W3CDTF">2022-12-21T11:57:00Z</dcterms:created>
  <dcterms:modified xsi:type="dcterms:W3CDTF">2022-12-21T11:57:00Z</dcterms:modified>
  <cp:category>KIEROWNICTWO</cp:category>
</cp:coreProperties>
</file>