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A66B" w14:textId="00119F5C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AB19D" w14:textId="77777777" w:rsidR="00AE4E75" w:rsidRDefault="00AE4E75" w:rsidP="00AE4E75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DA7E67">
        <w:rPr>
          <w:rFonts w:ascii="Times New Roman" w:hAnsi="Times New Roman" w:cs="Times New Roman"/>
          <w:sz w:val="20"/>
          <w:szCs w:val="20"/>
        </w:rPr>
        <w:t>Załącznik nr 2 do SWZ</w:t>
      </w:r>
    </w:p>
    <w:p w14:paraId="378CB24C" w14:textId="77777777" w:rsidR="00AE4E75" w:rsidRPr="0049784D" w:rsidRDefault="00AE4E75" w:rsidP="00AE4E75">
      <w:pPr>
        <w:tabs>
          <w:tab w:val="right" w:leader="dot" w:pos="284"/>
        </w:tabs>
        <w:autoSpaceDE w:val="0"/>
        <w:autoSpaceDN w:val="0"/>
        <w:spacing w:after="0" w:line="36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</w:p>
    <w:p w14:paraId="2BA0D46B" w14:textId="77777777" w:rsidR="00AE4E75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przedmiotowy</w:t>
      </w:r>
    </w:p>
    <w:p w14:paraId="5401D94C" w14:textId="77777777" w:rsidR="00AE4E75" w:rsidRPr="0049784D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9628" w:type="dxa"/>
        <w:tblLook w:val="04A0" w:firstRow="1" w:lastRow="0" w:firstColumn="1" w:lastColumn="0" w:noHBand="0" w:noVBand="1"/>
      </w:tblPr>
      <w:tblGrid>
        <w:gridCol w:w="603"/>
        <w:gridCol w:w="6622"/>
        <w:gridCol w:w="2403"/>
      </w:tblGrid>
      <w:tr w:rsidR="00AE4E75" w:rsidRPr="0049784D" w14:paraId="581AD8DC" w14:textId="77777777" w:rsidTr="00EC39A4">
        <w:tc>
          <w:tcPr>
            <w:tcW w:w="9628" w:type="dxa"/>
            <w:gridSpan w:val="3"/>
          </w:tcPr>
          <w:p w14:paraId="65FA1CF0" w14:textId="77777777" w:rsidR="00AE4E75" w:rsidRPr="0049784D" w:rsidRDefault="00AE4E75" w:rsidP="00EC3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rzedmiot zamówienia: </w:t>
            </w:r>
          </w:p>
          <w:p w14:paraId="47350558" w14:textId="77777777" w:rsidR="00AE4E75" w:rsidRPr="0049784D" w:rsidRDefault="00AE4E75" w:rsidP="00EC3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Spektrometr absorpcji atomowej z atomizacją elektrotermiczną (piec grafitowy) z możliwością atomizacji w płomieniu </w:t>
            </w:r>
          </w:p>
        </w:tc>
      </w:tr>
      <w:tr w:rsidR="00AE4E75" w:rsidRPr="0049784D" w14:paraId="1636E63B" w14:textId="77777777" w:rsidTr="00EC39A4">
        <w:tc>
          <w:tcPr>
            <w:tcW w:w="603" w:type="dxa"/>
            <w:vAlign w:val="center"/>
          </w:tcPr>
          <w:p w14:paraId="18FE4C3C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622" w:type="dxa"/>
            <w:vAlign w:val="center"/>
          </w:tcPr>
          <w:p w14:paraId="6EBF6B3E" w14:textId="77777777" w:rsidR="00AE4E75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</w:t>
            </w:r>
          </w:p>
          <w:p w14:paraId="4082145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(określone parametry mają charakter obligatoryjny, nie spełnienie chociażby jednego parametru będzie skutkować odrzuceniem oferty)</w:t>
            </w:r>
          </w:p>
        </w:tc>
        <w:tc>
          <w:tcPr>
            <w:tcW w:w="2403" w:type="dxa"/>
          </w:tcPr>
          <w:p w14:paraId="59545B4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14:paraId="143D7ED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AE4E75" w:rsidRPr="0049784D" w14:paraId="2AC4D534" w14:textId="77777777" w:rsidTr="00EC39A4">
        <w:tc>
          <w:tcPr>
            <w:tcW w:w="603" w:type="dxa"/>
            <w:vAlign w:val="center"/>
          </w:tcPr>
          <w:p w14:paraId="532B11C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25" w:type="dxa"/>
            <w:gridSpan w:val="2"/>
            <w:vAlign w:val="center"/>
          </w:tcPr>
          <w:p w14:paraId="3656609A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Moduł do pracy techniką z atomizacją elektrotermiczną (kuweta grafitowa) </w:t>
            </w:r>
          </w:p>
        </w:tc>
      </w:tr>
      <w:tr w:rsidR="00AE4E75" w:rsidRPr="0049784D" w14:paraId="3F9F7854" w14:textId="77777777" w:rsidTr="00EC39A4">
        <w:tc>
          <w:tcPr>
            <w:tcW w:w="603" w:type="dxa"/>
            <w:vAlign w:val="center"/>
          </w:tcPr>
          <w:p w14:paraId="5C33FCE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22" w:type="dxa"/>
            <w:vAlign w:val="center"/>
          </w:tcPr>
          <w:p w14:paraId="517977D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System jednowiązkowy, wyposażony w kuwetę grafitową oraz programowalny autosampler </w:t>
            </w:r>
          </w:p>
        </w:tc>
        <w:tc>
          <w:tcPr>
            <w:tcW w:w="2403" w:type="dxa"/>
          </w:tcPr>
          <w:p w14:paraId="3BF84C9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F3FA5E5" w14:textId="77777777" w:rsidTr="00EC39A4">
        <w:tc>
          <w:tcPr>
            <w:tcW w:w="603" w:type="dxa"/>
            <w:vAlign w:val="center"/>
          </w:tcPr>
          <w:p w14:paraId="63D7F3D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22" w:type="dxa"/>
            <w:vAlign w:val="center"/>
          </w:tcPr>
          <w:p w14:paraId="6EB1C02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Zakres spektralny nie mniejszy niż 185-900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3425F54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596B450" w14:textId="77777777" w:rsidTr="00EC39A4">
        <w:tc>
          <w:tcPr>
            <w:tcW w:w="603" w:type="dxa"/>
            <w:vAlign w:val="center"/>
          </w:tcPr>
          <w:p w14:paraId="37CC1AC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22" w:type="dxa"/>
            <w:vAlign w:val="center"/>
          </w:tcPr>
          <w:p w14:paraId="2C2B52C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Monochromator o długości drogi optycznej nie mniej niż 25 cm</w:t>
            </w:r>
          </w:p>
        </w:tc>
        <w:tc>
          <w:tcPr>
            <w:tcW w:w="2403" w:type="dxa"/>
          </w:tcPr>
          <w:p w14:paraId="15136F0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A4A765F" w14:textId="77777777" w:rsidTr="00EC39A4">
        <w:tc>
          <w:tcPr>
            <w:tcW w:w="603" w:type="dxa"/>
            <w:vAlign w:val="center"/>
          </w:tcPr>
          <w:p w14:paraId="21901BF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22" w:type="dxa"/>
            <w:vAlign w:val="center"/>
          </w:tcPr>
          <w:p w14:paraId="308D570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Siatka dyfrakcyjna nie mniej niż 1200 linii/mm</w:t>
            </w:r>
          </w:p>
        </w:tc>
        <w:tc>
          <w:tcPr>
            <w:tcW w:w="2403" w:type="dxa"/>
          </w:tcPr>
          <w:p w14:paraId="394F826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728521C" w14:textId="77777777" w:rsidTr="00EC39A4">
        <w:tc>
          <w:tcPr>
            <w:tcW w:w="603" w:type="dxa"/>
            <w:vAlign w:val="center"/>
          </w:tcPr>
          <w:p w14:paraId="55ABE2E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22" w:type="dxa"/>
            <w:vAlign w:val="center"/>
          </w:tcPr>
          <w:p w14:paraId="3E2C308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Fotopowielacz jako detektor</w:t>
            </w:r>
          </w:p>
        </w:tc>
        <w:tc>
          <w:tcPr>
            <w:tcW w:w="2403" w:type="dxa"/>
          </w:tcPr>
          <w:p w14:paraId="404D790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3BB6FA4" w14:textId="77777777" w:rsidTr="00EC39A4">
        <w:tc>
          <w:tcPr>
            <w:tcW w:w="603" w:type="dxa"/>
            <w:vAlign w:val="center"/>
          </w:tcPr>
          <w:p w14:paraId="60E2FD3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22" w:type="dxa"/>
            <w:vAlign w:val="center"/>
          </w:tcPr>
          <w:p w14:paraId="7F185F4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Automatyczny wybór długości fali oraz szerokości szczeliny pomiarowej</w:t>
            </w:r>
          </w:p>
        </w:tc>
        <w:tc>
          <w:tcPr>
            <w:tcW w:w="2403" w:type="dxa"/>
          </w:tcPr>
          <w:p w14:paraId="650BE0C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5881E7C" w14:textId="77777777" w:rsidTr="00EC39A4">
        <w:tc>
          <w:tcPr>
            <w:tcW w:w="603" w:type="dxa"/>
            <w:vAlign w:val="center"/>
          </w:tcPr>
          <w:p w14:paraId="18B69A4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22" w:type="dxa"/>
            <w:vAlign w:val="center"/>
          </w:tcPr>
          <w:p w14:paraId="30497C5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Wybór szczeliny spektralnej w zakresie co najmniej 0.2 – 1.0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0E35158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0A70944" w14:textId="77777777" w:rsidTr="00EC39A4">
        <w:tc>
          <w:tcPr>
            <w:tcW w:w="603" w:type="dxa"/>
            <w:vAlign w:val="center"/>
          </w:tcPr>
          <w:p w14:paraId="72063C3B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22" w:type="dxa"/>
            <w:vAlign w:val="center"/>
          </w:tcPr>
          <w:p w14:paraId="7441A4A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Korekcja tła z wykorzystaniem efektu Zeemana </w:t>
            </w:r>
          </w:p>
        </w:tc>
        <w:tc>
          <w:tcPr>
            <w:tcW w:w="2403" w:type="dxa"/>
          </w:tcPr>
          <w:p w14:paraId="1557B42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D09269B" w14:textId="77777777" w:rsidTr="00EC39A4">
        <w:tc>
          <w:tcPr>
            <w:tcW w:w="603" w:type="dxa"/>
            <w:vAlign w:val="center"/>
          </w:tcPr>
          <w:p w14:paraId="031B726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22" w:type="dxa"/>
            <w:vAlign w:val="center"/>
          </w:tcPr>
          <w:p w14:paraId="4EFFFD0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Kuweta grafitowa pracująca w zakresie temperatury pieca do min. 3000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14:paraId="4D9AF72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B9AB813" w14:textId="77777777" w:rsidTr="00EC39A4">
        <w:tc>
          <w:tcPr>
            <w:tcW w:w="603" w:type="dxa"/>
            <w:vAlign w:val="center"/>
          </w:tcPr>
          <w:p w14:paraId="731AD70E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22" w:type="dxa"/>
            <w:vAlign w:val="center"/>
          </w:tcPr>
          <w:p w14:paraId="67B9309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Uchwyty na min. cztery lampy z katodą wnękową, każdy z wbudowanym, niezależnym zasilaczem</w:t>
            </w:r>
          </w:p>
        </w:tc>
        <w:tc>
          <w:tcPr>
            <w:tcW w:w="2403" w:type="dxa"/>
          </w:tcPr>
          <w:p w14:paraId="468AF30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BAB01B7" w14:textId="77777777" w:rsidTr="00EC39A4">
        <w:tc>
          <w:tcPr>
            <w:tcW w:w="603" w:type="dxa"/>
            <w:vAlign w:val="center"/>
          </w:tcPr>
          <w:p w14:paraId="59948AE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22" w:type="dxa"/>
            <w:vAlign w:val="center"/>
          </w:tcPr>
          <w:p w14:paraId="32A12C7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Wbudowany zasilacz umożliwiający pracę z co najmniej dwiema lampami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>o podwyższonej intensywności</w:t>
            </w:r>
          </w:p>
        </w:tc>
        <w:tc>
          <w:tcPr>
            <w:tcW w:w="2403" w:type="dxa"/>
          </w:tcPr>
          <w:p w14:paraId="6C3295D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1EE9548" w14:textId="77777777" w:rsidTr="00EC39A4">
        <w:tc>
          <w:tcPr>
            <w:tcW w:w="603" w:type="dxa"/>
            <w:vAlign w:val="center"/>
          </w:tcPr>
          <w:p w14:paraId="1A6DB4B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22" w:type="dxa"/>
            <w:vAlign w:val="center"/>
          </w:tcPr>
          <w:p w14:paraId="7DBA348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rozpoznawania lamp kodowanych</w:t>
            </w:r>
          </w:p>
        </w:tc>
        <w:tc>
          <w:tcPr>
            <w:tcW w:w="2403" w:type="dxa"/>
          </w:tcPr>
          <w:p w14:paraId="6B7E28C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72C5663" w14:textId="77777777" w:rsidTr="00EC39A4">
        <w:tc>
          <w:tcPr>
            <w:tcW w:w="603" w:type="dxa"/>
            <w:vAlign w:val="center"/>
          </w:tcPr>
          <w:p w14:paraId="18E1E04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22" w:type="dxa"/>
            <w:vAlign w:val="center"/>
          </w:tcPr>
          <w:p w14:paraId="2C658D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Regulowane natężenie pola magnetycznego w zakresie co najmniej 0,1 – 0,8 Tesli</w:t>
            </w:r>
          </w:p>
        </w:tc>
        <w:tc>
          <w:tcPr>
            <w:tcW w:w="2403" w:type="dxa"/>
          </w:tcPr>
          <w:p w14:paraId="4EE80C4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109E756" w14:textId="77777777" w:rsidTr="00EC39A4">
        <w:tc>
          <w:tcPr>
            <w:tcW w:w="603" w:type="dxa"/>
            <w:vAlign w:val="center"/>
          </w:tcPr>
          <w:p w14:paraId="3AFAF63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22" w:type="dxa"/>
            <w:vAlign w:val="center"/>
          </w:tcPr>
          <w:p w14:paraId="48C3BB0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Wbudowana kamera do podglądu wnętrza kuwety grafitowej (podczas etapu dozowania próbki, suszenia i pirolizy)</w:t>
            </w:r>
          </w:p>
        </w:tc>
        <w:tc>
          <w:tcPr>
            <w:tcW w:w="2403" w:type="dxa"/>
          </w:tcPr>
          <w:p w14:paraId="17EAAD6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BC3E8B1" w14:textId="77777777" w:rsidTr="00EC39A4">
        <w:tc>
          <w:tcPr>
            <w:tcW w:w="603" w:type="dxa"/>
            <w:vAlign w:val="center"/>
          </w:tcPr>
          <w:p w14:paraId="13FC8F3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22" w:type="dxa"/>
            <w:vAlign w:val="center"/>
          </w:tcPr>
          <w:p w14:paraId="5B0EAA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Komputerowe sterowanie przepływem gazów w kuwecie</w:t>
            </w:r>
          </w:p>
        </w:tc>
        <w:tc>
          <w:tcPr>
            <w:tcW w:w="2403" w:type="dxa"/>
          </w:tcPr>
          <w:p w14:paraId="5CA5B2A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4B42FAA" w14:textId="77777777" w:rsidTr="00EC39A4">
        <w:tc>
          <w:tcPr>
            <w:tcW w:w="603" w:type="dxa"/>
            <w:vAlign w:val="center"/>
          </w:tcPr>
          <w:p w14:paraId="05C2AC57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22" w:type="dxa"/>
            <w:vAlign w:val="center"/>
          </w:tcPr>
          <w:p w14:paraId="185A3783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Autosampler z tacą na co najmniej 50 próbek oraz nie mniej niż 5 pozycji na modyfikatory/wzorce z automatycznym dodawaniem modyfikatora matrycy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tzw. inteligentnym rozcieńczaniem (przygotowanie krzywej wzorcowej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jednego wzorca, samoczynny dobór rozcieńczenia przez system w przypadku próbek wykraczających poza zakres krzywej wzorcowej)  </w:t>
            </w:r>
          </w:p>
        </w:tc>
        <w:tc>
          <w:tcPr>
            <w:tcW w:w="2403" w:type="dxa"/>
          </w:tcPr>
          <w:p w14:paraId="58104F0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638E80E" w14:textId="77777777" w:rsidTr="00EC39A4">
        <w:tc>
          <w:tcPr>
            <w:tcW w:w="603" w:type="dxa"/>
            <w:vAlign w:val="center"/>
          </w:tcPr>
          <w:p w14:paraId="0F952CC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622" w:type="dxa"/>
            <w:vAlign w:val="center"/>
          </w:tcPr>
          <w:p w14:paraId="68E2B11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System usuwania oparów znad kuwety grafitowej z podłączeniem do istniejącej instalacji wyciągowej. </w:t>
            </w:r>
          </w:p>
        </w:tc>
        <w:tc>
          <w:tcPr>
            <w:tcW w:w="2403" w:type="dxa"/>
          </w:tcPr>
          <w:p w14:paraId="5BB0BC6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E1B1610" w14:textId="77777777" w:rsidTr="00EC39A4">
        <w:tc>
          <w:tcPr>
            <w:tcW w:w="603" w:type="dxa"/>
            <w:vAlign w:val="center"/>
          </w:tcPr>
          <w:p w14:paraId="702B27BE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622" w:type="dxa"/>
            <w:vAlign w:val="center"/>
          </w:tcPr>
          <w:p w14:paraId="42A088E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wyposażony w lusterko z podświetleniem ułatwiającym podgląd portu nastrzykowego rurki grafitowej</w:t>
            </w:r>
          </w:p>
        </w:tc>
        <w:tc>
          <w:tcPr>
            <w:tcW w:w="2403" w:type="dxa"/>
          </w:tcPr>
          <w:p w14:paraId="23AFE61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18EE097" w14:textId="77777777" w:rsidTr="00EC39A4">
        <w:tc>
          <w:tcPr>
            <w:tcW w:w="603" w:type="dxa"/>
          </w:tcPr>
          <w:p w14:paraId="602A3A8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25" w:type="dxa"/>
            <w:gridSpan w:val="2"/>
          </w:tcPr>
          <w:p w14:paraId="4F1346C5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Moduł do pracy techniką płomieniową </w:t>
            </w:r>
          </w:p>
        </w:tc>
      </w:tr>
      <w:tr w:rsidR="00AE4E75" w:rsidRPr="0049784D" w14:paraId="4C663711" w14:textId="77777777" w:rsidTr="00EC39A4">
        <w:tc>
          <w:tcPr>
            <w:tcW w:w="603" w:type="dxa"/>
            <w:vAlign w:val="center"/>
          </w:tcPr>
          <w:p w14:paraId="514ABF5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22" w:type="dxa"/>
            <w:vAlign w:val="center"/>
          </w:tcPr>
          <w:p w14:paraId="3B9B7F8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dwuwiązkowy</w:t>
            </w:r>
          </w:p>
        </w:tc>
        <w:tc>
          <w:tcPr>
            <w:tcW w:w="2403" w:type="dxa"/>
          </w:tcPr>
          <w:p w14:paraId="5778B28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4377F12" w14:textId="77777777" w:rsidTr="00EC39A4">
        <w:tc>
          <w:tcPr>
            <w:tcW w:w="603" w:type="dxa"/>
            <w:vAlign w:val="center"/>
          </w:tcPr>
          <w:p w14:paraId="085B6657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622" w:type="dxa"/>
            <w:vAlign w:val="center"/>
          </w:tcPr>
          <w:p w14:paraId="3571BEF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Zakres spektralny nie węższy niż 185 - 900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67B70B4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045280F" w14:textId="77777777" w:rsidTr="00EC39A4">
        <w:tc>
          <w:tcPr>
            <w:tcW w:w="603" w:type="dxa"/>
            <w:vAlign w:val="center"/>
          </w:tcPr>
          <w:p w14:paraId="1012DA2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622" w:type="dxa"/>
            <w:vAlign w:val="center"/>
          </w:tcPr>
          <w:p w14:paraId="3E48443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Monochromator o długości drogi optycznej nie mniej niż 25 cm</w:t>
            </w:r>
          </w:p>
        </w:tc>
        <w:tc>
          <w:tcPr>
            <w:tcW w:w="2403" w:type="dxa"/>
          </w:tcPr>
          <w:p w14:paraId="756DCC5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E8402F8" w14:textId="77777777" w:rsidTr="00EC39A4">
        <w:tc>
          <w:tcPr>
            <w:tcW w:w="603" w:type="dxa"/>
            <w:vAlign w:val="center"/>
          </w:tcPr>
          <w:p w14:paraId="481E8411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622" w:type="dxa"/>
            <w:vAlign w:val="center"/>
          </w:tcPr>
          <w:p w14:paraId="55BD57F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Szybkość skanowania monochromatora nie mniejsza niż 2000 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403" w:type="dxa"/>
          </w:tcPr>
          <w:p w14:paraId="5BE5809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D57CE77" w14:textId="77777777" w:rsidTr="00EC39A4">
        <w:tc>
          <w:tcPr>
            <w:tcW w:w="603" w:type="dxa"/>
            <w:vAlign w:val="center"/>
          </w:tcPr>
          <w:p w14:paraId="7972A83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622" w:type="dxa"/>
            <w:vAlign w:val="center"/>
          </w:tcPr>
          <w:p w14:paraId="3EABB10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Siatka dyfrakcyjna nie mniej niż 1200 linii/mm</w:t>
            </w:r>
          </w:p>
        </w:tc>
        <w:tc>
          <w:tcPr>
            <w:tcW w:w="2403" w:type="dxa"/>
          </w:tcPr>
          <w:p w14:paraId="5BB22C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FB49F4F" w14:textId="77777777" w:rsidTr="00EC39A4">
        <w:tc>
          <w:tcPr>
            <w:tcW w:w="603" w:type="dxa"/>
            <w:vAlign w:val="center"/>
          </w:tcPr>
          <w:p w14:paraId="0C988ED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622" w:type="dxa"/>
            <w:vAlign w:val="center"/>
          </w:tcPr>
          <w:p w14:paraId="53AB846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Fotopowielacz jako detektor</w:t>
            </w:r>
          </w:p>
        </w:tc>
        <w:tc>
          <w:tcPr>
            <w:tcW w:w="2403" w:type="dxa"/>
          </w:tcPr>
          <w:p w14:paraId="760317C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15B600D" w14:textId="77777777" w:rsidTr="00EC39A4">
        <w:tc>
          <w:tcPr>
            <w:tcW w:w="603" w:type="dxa"/>
            <w:vAlign w:val="center"/>
          </w:tcPr>
          <w:p w14:paraId="7F508E8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622" w:type="dxa"/>
            <w:vAlign w:val="center"/>
          </w:tcPr>
          <w:p w14:paraId="5078185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Deuterowa korekcja tła</w:t>
            </w:r>
          </w:p>
        </w:tc>
        <w:tc>
          <w:tcPr>
            <w:tcW w:w="2403" w:type="dxa"/>
          </w:tcPr>
          <w:p w14:paraId="2A49EED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DFDD6FF" w14:textId="77777777" w:rsidTr="00EC39A4">
        <w:tc>
          <w:tcPr>
            <w:tcW w:w="603" w:type="dxa"/>
            <w:vAlign w:val="center"/>
          </w:tcPr>
          <w:p w14:paraId="5980BF4B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622" w:type="dxa"/>
            <w:vAlign w:val="center"/>
          </w:tcPr>
          <w:p w14:paraId="3B3781B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Automatyczny wybór długości fali oraz szerokości szczeliny pomiarowej</w:t>
            </w:r>
          </w:p>
        </w:tc>
        <w:tc>
          <w:tcPr>
            <w:tcW w:w="2403" w:type="dxa"/>
          </w:tcPr>
          <w:p w14:paraId="5B78A27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7226427" w14:textId="77777777" w:rsidTr="00EC39A4">
        <w:tc>
          <w:tcPr>
            <w:tcW w:w="603" w:type="dxa"/>
            <w:vAlign w:val="center"/>
          </w:tcPr>
          <w:p w14:paraId="4E2DC2B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622" w:type="dxa"/>
            <w:vAlign w:val="center"/>
          </w:tcPr>
          <w:p w14:paraId="4C93A44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Wybór szczeliny spektralnej w zakresie co najmniej 0.2 – 1.0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03" w:type="dxa"/>
          </w:tcPr>
          <w:p w14:paraId="5712CBD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4CCB67D" w14:textId="77777777" w:rsidTr="00EC39A4">
        <w:tc>
          <w:tcPr>
            <w:tcW w:w="603" w:type="dxa"/>
            <w:vAlign w:val="center"/>
          </w:tcPr>
          <w:p w14:paraId="4D68E15E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622" w:type="dxa"/>
            <w:vAlign w:val="center"/>
          </w:tcPr>
          <w:p w14:paraId="4B9AABA3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Uchwyty na min. cztery lampy z katodą wnękową, każdy z wbudowanym, niezależnym zasilaczem</w:t>
            </w:r>
          </w:p>
        </w:tc>
        <w:tc>
          <w:tcPr>
            <w:tcW w:w="2403" w:type="dxa"/>
          </w:tcPr>
          <w:p w14:paraId="07B779E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E76FA2D" w14:textId="77777777" w:rsidTr="00EC39A4">
        <w:tc>
          <w:tcPr>
            <w:tcW w:w="603" w:type="dxa"/>
            <w:vAlign w:val="center"/>
          </w:tcPr>
          <w:p w14:paraId="5C81A0E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622" w:type="dxa"/>
            <w:vAlign w:val="center"/>
          </w:tcPr>
          <w:p w14:paraId="74062F9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System rozpoznawania lamp kodowanych</w:t>
            </w:r>
          </w:p>
        </w:tc>
        <w:tc>
          <w:tcPr>
            <w:tcW w:w="2403" w:type="dxa"/>
          </w:tcPr>
          <w:p w14:paraId="2C5D32E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00E42380" w14:textId="77777777" w:rsidTr="00EC39A4">
        <w:tc>
          <w:tcPr>
            <w:tcW w:w="603" w:type="dxa"/>
            <w:vAlign w:val="center"/>
          </w:tcPr>
          <w:p w14:paraId="0568488C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622" w:type="dxa"/>
            <w:vAlign w:val="center"/>
          </w:tcPr>
          <w:p w14:paraId="0CB3DF2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Odczyt wiązki badanej i wiązki odniesienia w trakcie pomiaru z częstotliwością nie mniejszą niż 50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03" w:type="dxa"/>
          </w:tcPr>
          <w:p w14:paraId="6B85A3A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ACB8570" w14:textId="77777777" w:rsidTr="00EC39A4">
        <w:tc>
          <w:tcPr>
            <w:tcW w:w="603" w:type="dxa"/>
            <w:vAlign w:val="center"/>
          </w:tcPr>
          <w:p w14:paraId="4B32934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622" w:type="dxa"/>
            <w:vAlign w:val="center"/>
          </w:tcPr>
          <w:p w14:paraId="6E490A5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Automatyczne przełączanie pomiędzy różnymi typami gazów</w:t>
            </w:r>
          </w:p>
        </w:tc>
        <w:tc>
          <w:tcPr>
            <w:tcW w:w="2403" w:type="dxa"/>
          </w:tcPr>
          <w:p w14:paraId="031DD6F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17531B0" w14:textId="77777777" w:rsidTr="00EC39A4">
        <w:tc>
          <w:tcPr>
            <w:tcW w:w="603" w:type="dxa"/>
            <w:vAlign w:val="center"/>
          </w:tcPr>
          <w:p w14:paraId="5CCAE1C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622" w:type="dxa"/>
            <w:vAlign w:val="center"/>
          </w:tcPr>
          <w:p w14:paraId="6E44295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Programowalny system kontroli gazów</w:t>
            </w:r>
          </w:p>
        </w:tc>
        <w:tc>
          <w:tcPr>
            <w:tcW w:w="2403" w:type="dxa"/>
          </w:tcPr>
          <w:p w14:paraId="47F3DD1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9C9D46B" w14:textId="77777777" w:rsidTr="00EC39A4">
        <w:tc>
          <w:tcPr>
            <w:tcW w:w="603" w:type="dxa"/>
            <w:vAlign w:val="center"/>
          </w:tcPr>
          <w:p w14:paraId="38001C9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622" w:type="dxa"/>
            <w:vAlign w:val="center"/>
          </w:tcPr>
          <w:p w14:paraId="77554C7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Palnik acetylen-powietrze o szczelinie 10 cm</w:t>
            </w:r>
          </w:p>
        </w:tc>
        <w:tc>
          <w:tcPr>
            <w:tcW w:w="2403" w:type="dxa"/>
          </w:tcPr>
          <w:p w14:paraId="1E63E80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F13A6CE" w14:textId="77777777" w:rsidTr="00EC39A4">
        <w:tc>
          <w:tcPr>
            <w:tcW w:w="603" w:type="dxa"/>
            <w:vAlign w:val="center"/>
          </w:tcPr>
          <w:p w14:paraId="4EE718B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622" w:type="dxa"/>
            <w:vAlign w:val="center"/>
          </w:tcPr>
          <w:p w14:paraId="12AAEFA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Zapewniający szybką analizę wielopierwiastkową</w:t>
            </w:r>
          </w:p>
          <w:p w14:paraId="42B9B49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(pomiar absorbancji wszystkich analizowanych pierwiastków w jednej próbce zanim nastąpi pomiar tych samych pierwiastków w próbce następnej, czas analizy do 10 pierwiastków w próbce w czasie poniżej 2 minut)</w:t>
            </w:r>
          </w:p>
        </w:tc>
        <w:tc>
          <w:tcPr>
            <w:tcW w:w="2403" w:type="dxa"/>
          </w:tcPr>
          <w:p w14:paraId="6951B82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DA1EBC7" w14:textId="77777777" w:rsidTr="00EC39A4">
        <w:tc>
          <w:tcPr>
            <w:tcW w:w="603" w:type="dxa"/>
            <w:vAlign w:val="center"/>
          </w:tcPr>
          <w:p w14:paraId="2FF334D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622" w:type="dxa"/>
            <w:vAlign w:val="center"/>
          </w:tcPr>
          <w:p w14:paraId="203E9CE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Komora mgielna przystosowana do pracy z roztworami wodno-kwaśnymi</w:t>
            </w:r>
          </w:p>
        </w:tc>
        <w:tc>
          <w:tcPr>
            <w:tcW w:w="2403" w:type="dxa"/>
          </w:tcPr>
          <w:p w14:paraId="1D17303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C3BF588" w14:textId="77777777" w:rsidTr="00EC39A4">
        <w:tc>
          <w:tcPr>
            <w:tcW w:w="603" w:type="dxa"/>
            <w:vAlign w:val="center"/>
          </w:tcPr>
          <w:p w14:paraId="67DEE87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622" w:type="dxa"/>
            <w:vAlign w:val="center"/>
          </w:tcPr>
          <w:p w14:paraId="6D8804E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Zapewniający płynną regulację (zmianę) szybkości zasysania (przepływu) próbki</w:t>
            </w:r>
          </w:p>
        </w:tc>
        <w:tc>
          <w:tcPr>
            <w:tcW w:w="2403" w:type="dxa"/>
          </w:tcPr>
          <w:p w14:paraId="1630E13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086A813" w14:textId="77777777" w:rsidTr="00EC39A4">
        <w:tc>
          <w:tcPr>
            <w:tcW w:w="603" w:type="dxa"/>
            <w:vAlign w:val="center"/>
          </w:tcPr>
          <w:p w14:paraId="53474F5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622" w:type="dxa"/>
            <w:vAlign w:val="center"/>
          </w:tcPr>
          <w:p w14:paraId="71BC0DBA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Musi posiadać systemem wprowadzania próbki oparty na dwóch pompach perystaltycznych umożliwiający automatyczne:</w:t>
            </w:r>
          </w:p>
          <w:p w14:paraId="56679733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tworzenie krzywej kalibracyjnej z jednego wzorca</w:t>
            </w:r>
          </w:p>
          <w:p w14:paraId="5F20587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rozcieńczanie próbek w trybie „on-line”</w:t>
            </w:r>
          </w:p>
          <w:p w14:paraId="76EEBE5F" w14:textId="77777777" w:rsidR="00AE4E75" w:rsidRPr="0049784D" w:rsidRDefault="00AE4E75" w:rsidP="00EC39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dodatek standardu wewnętrznego</w:t>
            </w:r>
          </w:p>
        </w:tc>
        <w:tc>
          <w:tcPr>
            <w:tcW w:w="2403" w:type="dxa"/>
          </w:tcPr>
          <w:p w14:paraId="400A26FE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2104068" w14:textId="77777777" w:rsidTr="00EC39A4">
        <w:tc>
          <w:tcPr>
            <w:tcW w:w="603" w:type="dxa"/>
            <w:vAlign w:val="center"/>
          </w:tcPr>
          <w:p w14:paraId="28EADDE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622" w:type="dxa"/>
            <w:vAlign w:val="center"/>
          </w:tcPr>
          <w:p w14:paraId="554F000A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Możliwość współpracy z przystawką do generacji wodorków do pracy w trybie ciągłym (przepływowym). </w:t>
            </w:r>
          </w:p>
        </w:tc>
        <w:tc>
          <w:tcPr>
            <w:tcW w:w="2403" w:type="dxa"/>
          </w:tcPr>
          <w:p w14:paraId="52C170C6" w14:textId="77777777" w:rsidR="00AE4E75" w:rsidRPr="0049784D" w:rsidRDefault="00AE4E75" w:rsidP="00EC39A4">
            <w:pPr>
              <w:tabs>
                <w:tab w:val="left" w:pos="851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C33AD3D" w14:textId="77777777" w:rsidTr="00EC39A4">
        <w:tc>
          <w:tcPr>
            <w:tcW w:w="603" w:type="dxa"/>
            <w:vAlign w:val="center"/>
          </w:tcPr>
          <w:p w14:paraId="2483C5E0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25" w:type="dxa"/>
            <w:gridSpan w:val="2"/>
            <w:vAlign w:val="center"/>
          </w:tcPr>
          <w:p w14:paraId="6E4AF205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Wymagane wyposażenie oraz sterowanie modułami </w:t>
            </w:r>
          </w:p>
        </w:tc>
      </w:tr>
      <w:tr w:rsidR="00AE4E75" w:rsidRPr="0049784D" w14:paraId="7EACACCA" w14:textId="77777777" w:rsidTr="00EC39A4">
        <w:tc>
          <w:tcPr>
            <w:tcW w:w="603" w:type="dxa"/>
            <w:vAlign w:val="center"/>
          </w:tcPr>
          <w:p w14:paraId="7589EE1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622" w:type="dxa"/>
            <w:vAlign w:val="center"/>
          </w:tcPr>
          <w:p w14:paraId="477F44D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Zapewniający sterowanie modułami oraz prowadzenie analiz w technice płomieniowej oraz kuwety grafitowej w tym samym czasie z poziomu jednego komputera z jednego i tego samego oprogramowania </w:t>
            </w:r>
          </w:p>
        </w:tc>
        <w:tc>
          <w:tcPr>
            <w:tcW w:w="2403" w:type="dxa"/>
          </w:tcPr>
          <w:p w14:paraId="7880C25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C1F6CD4" w14:textId="77777777" w:rsidTr="00EC39A4">
        <w:tc>
          <w:tcPr>
            <w:tcW w:w="603" w:type="dxa"/>
            <w:vAlign w:val="center"/>
          </w:tcPr>
          <w:p w14:paraId="416DC74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622" w:type="dxa"/>
          </w:tcPr>
          <w:p w14:paraId="2B82DF6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Oprogramowanie sterujące modułami </w:t>
            </w:r>
            <w:r w:rsidRPr="004978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języku polskim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: 64-bitowe pracujące w środowisku Windows 10 Pro, umożliwiające pracę spektrometru we wszystkich trybach pracy (FAAS, ETAAS, HGAAS), monitorowanie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>i sterowanie wszystkimi funkcjami i parametrami aparatu, zbierające dane, dające możliwość wyboru algorytmu krzywej (co najmniej algorytm liniowy, kwadratowy), statystyczną kontrolę wyników i kalibracji, przygotowanie raportów, automatyczny dobór czasu integracji sygnału przy zadanym poziomie % RSD w technice płomieniowej, automatyczny dobór i optymalizacja programu temperaturowego kuwety grafitowej</w:t>
            </w:r>
          </w:p>
        </w:tc>
        <w:tc>
          <w:tcPr>
            <w:tcW w:w="2403" w:type="dxa"/>
          </w:tcPr>
          <w:p w14:paraId="56C1993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B6A6F06" w14:textId="77777777" w:rsidTr="00EC39A4">
        <w:tc>
          <w:tcPr>
            <w:tcW w:w="603" w:type="dxa"/>
            <w:vAlign w:val="center"/>
          </w:tcPr>
          <w:p w14:paraId="3C9EF468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622" w:type="dxa"/>
          </w:tcPr>
          <w:p w14:paraId="3913092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5251110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Zestaw komputerowy do sterowania aparatem z nagrywarką CD/DVD +/-RW, procesor i5 lub wyższej klasy, pamięć operacyjna min. 8 GB, dysk twardy SSD o poj. min. 512 GB, min. 6 szt. portów USB wyprowadzonych na zewnątrz komputera, klawiatura USB, mysz laserowa USB, monitor min. 24 cale</w:t>
            </w:r>
            <w:r w:rsidRPr="004978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system operacyjny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Windows 10 Pro, odpowiedni do zainstalowanego oprogramowania sterującego zestawem, drukarka laserowa</w:t>
            </w:r>
            <w:bookmarkEnd w:id="0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14:paraId="2A521E8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4E30D4C" w14:textId="77777777" w:rsidTr="00EC39A4">
        <w:tc>
          <w:tcPr>
            <w:tcW w:w="603" w:type="dxa"/>
            <w:vAlign w:val="center"/>
          </w:tcPr>
          <w:p w14:paraId="2D31F95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622" w:type="dxa"/>
            <w:vAlign w:val="center"/>
          </w:tcPr>
          <w:p w14:paraId="713684D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Cichy, bezolejowy kompresor powietrza do techniki płomieniowej</w:t>
            </w:r>
          </w:p>
        </w:tc>
        <w:tc>
          <w:tcPr>
            <w:tcW w:w="2403" w:type="dxa"/>
          </w:tcPr>
          <w:p w14:paraId="53934C4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DAB45EE" w14:textId="77777777" w:rsidTr="00EC39A4">
        <w:tc>
          <w:tcPr>
            <w:tcW w:w="603" w:type="dxa"/>
            <w:vAlign w:val="center"/>
          </w:tcPr>
          <w:p w14:paraId="258208F5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622" w:type="dxa"/>
            <w:vAlign w:val="center"/>
          </w:tcPr>
          <w:p w14:paraId="089E6B8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Zamknięty system chłodzenia do kuwety grafitowej z obiegiem wymuszonym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br/>
              <w:t>z cyfrową kontrolą temperatury</w:t>
            </w:r>
          </w:p>
        </w:tc>
        <w:tc>
          <w:tcPr>
            <w:tcW w:w="2403" w:type="dxa"/>
          </w:tcPr>
          <w:p w14:paraId="408F1F2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7B36985" w14:textId="77777777" w:rsidTr="00EC39A4">
        <w:tc>
          <w:tcPr>
            <w:tcW w:w="603" w:type="dxa"/>
            <w:vAlign w:val="center"/>
          </w:tcPr>
          <w:p w14:paraId="3EA693BA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622" w:type="dxa"/>
          </w:tcPr>
          <w:p w14:paraId="177E1F5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Zestaw kodowanych lamp pierwiastkowych:</w:t>
            </w:r>
          </w:p>
          <w:p w14:paraId="5C85EFA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1 lampa katodowa HCL wielopierwiastkowa o podwyższonej intensywności - Pb/Cd</w:t>
            </w:r>
          </w:p>
          <w:p w14:paraId="1946B9D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Zestaw kodowanych lamp pierwiastkowych:</w:t>
            </w:r>
          </w:p>
          <w:p w14:paraId="495482D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8 lamp katodowych HCL jednopierwiastkowych - Fe, Mn, Na, Cr, Ni, Cu, </w:t>
            </w:r>
            <w:proofErr w:type="spellStart"/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Zn,K</w:t>
            </w:r>
            <w:proofErr w:type="spellEnd"/>
          </w:p>
        </w:tc>
        <w:tc>
          <w:tcPr>
            <w:tcW w:w="2403" w:type="dxa"/>
          </w:tcPr>
          <w:p w14:paraId="4A2B3C4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85A23BF" w14:textId="77777777" w:rsidTr="00EC39A4">
        <w:tc>
          <w:tcPr>
            <w:tcW w:w="603" w:type="dxa"/>
            <w:vAlign w:val="center"/>
          </w:tcPr>
          <w:p w14:paraId="38E4005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622" w:type="dxa"/>
            <w:vAlign w:val="center"/>
          </w:tcPr>
          <w:p w14:paraId="1DEDC82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Kuwetki grafitowe pokrywane pirolitycznie: nie mniej niż 30 szt.</w:t>
            </w:r>
          </w:p>
          <w:p w14:paraId="46250D2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Naczynka 2 ml do autosamplera: nie mniej niż 3000 szt.</w:t>
            </w:r>
          </w:p>
          <w:p w14:paraId="1676BB2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Naczynia na wzorce/modyfikatory do autosamplera: nie mniej niż 5 szt.</w:t>
            </w:r>
          </w:p>
          <w:p w14:paraId="63F7B305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Wymienna kapilara próbkująca autosamplera: nie mniej niż 5 szt.</w:t>
            </w:r>
          </w:p>
          <w:p w14:paraId="309BA27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Rurka koncentrująca atomy do techniki płomieniowej dla zwiększenia czułości analiz: nie mniej niż 10 szt.</w:t>
            </w:r>
          </w:p>
          <w:p w14:paraId="5DB41B99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Uchwyt do rurki koncentrującej atomy: 1 szt.</w:t>
            </w:r>
          </w:p>
        </w:tc>
        <w:tc>
          <w:tcPr>
            <w:tcW w:w="2403" w:type="dxa"/>
          </w:tcPr>
          <w:p w14:paraId="6193A627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DE2696E" w14:textId="77777777" w:rsidTr="00EC39A4">
        <w:tc>
          <w:tcPr>
            <w:tcW w:w="603" w:type="dxa"/>
            <w:vAlign w:val="center"/>
          </w:tcPr>
          <w:p w14:paraId="351A40B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622" w:type="dxa"/>
            <w:vAlign w:val="center"/>
          </w:tcPr>
          <w:p w14:paraId="4B31565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Laboratoryjny demineralizator</w:t>
            </w:r>
            <w:r w:rsidRPr="00497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wody oczyszczonej produkujący wodę klasy I oraz klasy II. Otrzymana woda musi mieć zastosowanie do analiz instrumentalnych AAS.</w:t>
            </w:r>
          </w:p>
          <w:p w14:paraId="3ECB1C3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Zapas materiałów zużywalnych na co najmniej 2 lata pracy.</w:t>
            </w:r>
          </w:p>
        </w:tc>
        <w:tc>
          <w:tcPr>
            <w:tcW w:w="2403" w:type="dxa"/>
          </w:tcPr>
          <w:p w14:paraId="1106D33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1434859" w14:textId="77777777" w:rsidTr="00EC39A4">
        <w:tc>
          <w:tcPr>
            <w:tcW w:w="603" w:type="dxa"/>
            <w:vAlign w:val="center"/>
          </w:tcPr>
          <w:p w14:paraId="01F3897D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622" w:type="dxa"/>
            <w:vAlign w:val="center"/>
          </w:tcPr>
          <w:p w14:paraId="76EE42C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Stół laboratoryjny pod oferowany spektrometr o wysokości 850 mm nieprzekraczający długości 2600 mm</w:t>
            </w:r>
          </w:p>
        </w:tc>
        <w:tc>
          <w:tcPr>
            <w:tcW w:w="2403" w:type="dxa"/>
          </w:tcPr>
          <w:p w14:paraId="2D85636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28BE0237" w14:textId="77777777" w:rsidTr="00EC39A4">
        <w:tc>
          <w:tcPr>
            <w:tcW w:w="603" w:type="dxa"/>
            <w:vAlign w:val="center"/>
          </w:tcPr>
          <w:p w14:paraId="3D3B67AF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622" w:type="dxa"/>
            <w:vAlign w:val="center"/>
          </w:tcPr>
          <w:p w14:paraId="2B05670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Przewody elastyczne do podłączenia gazów</w:t>
            </w:r>
          </w:p>
        </w:tc>
        <w:tc>
          <w:tcPr>
            <w:tcW w:w="2403" w:type="dxa"/>
          </w:tcPr>
          <w:p w14:paraId="094EA28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3B24A54" w14:textId="77777777" w:rsidTr="00EC39A4">
        <w:tc>
          <w:tcPr>
            <w:tcW w:w="603" w:type="dxa"/>
            <w:vAlign w:val="center"/>
          </w:tcPr>
          <w:p w14:paraId="1C67C469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025" w:type="dxa"/>
            <w:gridSpan w:val="2"/>
            <w:vAlign w:val="center"/>
          </w:tcPr>
          <w:p w14:paraId="53E6AE1C" w14:textId="77777777" w:rsidR="00AE4E75" w:rsidRPr="0049784D" w:rsidRDefault="00AE4E75" w:rsidP="00EC3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ogólne:</w:t>
            </w:r>
          </w:p>
        </w:tc>
      </w:tr>
      <w:tr w:rsidR="00AE4E75" w:rsidRPr="0049784D" w14:paraId="1708CA1C" w14:textId="77777777" w:rsidTr="00EC39A4">
        <w:tc>
          <w:tcPr>
            <w:tcW w:w="603" w:type="dxa"/>
            <w:vAlign w:val="center"/>
          </w:tcPr>
          <w:p w14:paraId="79DA5067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622" w:type="dxa"/>
            <w:vAlign w:val="center"/>
          </w:tcPr>
          <w:p w14:paraId="474B821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Dostawa fabrycznie nowego przedmiotu zamówienia pod wskazany adres oraz instalacja i uruchomienie w laboratorium Zamawiającego (sprzęt fabrycznie nowy z bieżącej produkcji producenta rok produkcji 2023 – aktualnie oferowany model)</w:t>
            </w:r>
          </w:p>
        </w:tc>
        <w:tc>
          <w:tcPr>
            <w:tcW w:w="2403" w:type="dxa"/>
          </w:tcPr>
          <w:p w14:paraId="36CAA42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592B73DE" w14:textId="77777777" w:rsidTr="00EC39A4">
        <w:tc>
          <w:tcPr>
            <w:tcW w:w="603" w:type="dxa"/>
            <w:vAlign w:val="center"/>
          </w:tcPr>
          <w:p w14:paraId="473E486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622" w:type="dxa"/>
            <w:vAlign w:val="center"/>
          </w:tcPr>
          <w:p w14:paraId="3B6C3BAF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Musi obejmować podłączenie do istniejącej instalacji wyciągowej oraz gazowej dostępnej w laboratorium</w:t>
            </w:r>
          </w:p>
        </w:tc>
        <w:tc>
          <w:tcPr>
            <w:tcW w:w="2403" w:type="dxa"/>
          </w:tcPr>
          <w:p w14:paraId="423A7F1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1C50941" w14:textId="77777777" w:rsidTr="00EC39A4">
        <w:tc>
          <w:tcPr>
            <w:tcW w:w="603" w:type="dxa"/>
            <w:vAlign w:val="center"/>
          </w:tcPr>
          <w:p w14:paraId="730900E9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622" w:type="dxa"/>
            <w:vAlign w:val="center"/>
          </w:tcPr>
          <w:p w14:paraId="3B74CEC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Minimum 24 miesięczna gwarancja</w:t>
            </w:r>
          </w:p>
        </w:tc>
        <w:tc>
          <w:tcPr>
            <w:tcW w:w="2403" w:type="dxa"/>
          </w:tcPr>
          <w:p w14:paraId="0B2C690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1C65CD85" w14:textId="77777777" w:rsidTr="00EC39A4">
        <w:tc>
          <w:tcPr>
            <w:tcW w:w="603" w:type="dxa"/>
            <w:vAlign w:val="center"/>
          </w:tcPr>
          <w:p w14:paraId="3F00DDCD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622" w:type="dxa"/>
            <w:vAlign w:val="center"/>
          </w:tcPr>
          <w:p w14:paraId="1F49DD7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Autoryzowany serwis gwarancyjny i pogwarancyjny na terenie Polski (serwis świadczony w siedzibie Zamawiającego), posługujący się biegle językiem polskim.</w:t>
            </w:r>
          </w:p>
        </w:tc>
        <w:tc>
          <w:tcPr>
            <w:tcW w:w="2403" w:type="dxa"/>
          </w:tcPr>
          <w:p w14:paraId="6FC2B9F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6AB0E5F5" w14:textId="77777777" w:rsidTr="00EC39A4">
        <w:tc>
          <w:tcPr>
            <w:tcW w:w="603" w:type="dxa"/>
            <w:vAlign w:val="center"/>
          </w:tcPr>
          <w:p w14:paraId="088A1A32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622" w:type="dxa"/>
            <w:vAlign w:val="center"/>
          </w:tcPr>
          <w:p w14:paraId="351BB07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Wymagania serwisowe w okresie gwarancji:</w:t>
            </w:r>
          </w:p>
          <w:p w14:paraId="024D2624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rozpoczęcie naprawy w miejscu instalacji w ciągu 48-godzinnego czasu reakcji</w:t>
            </w:r>
          </w:p>
          <w:p w14:paraId="64BCD7F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naprawa lub wymiana wadliwych części lub układów w ciągu 2 tygodni od formalnego zgłoszenia usterki</w:t>
            </w:r>
          </w:p>
          <w:p w14:paraId="3BB5207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Wymagania serwisowe po okresie gwarancji:</w:t>
            </w:r>
          </w:p>
          <w:p w14:paraId="2EABD6B1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- 48-godzinny czas reakcji serwisu na zgłoszenie</w:t>
            </w:r>
          </w:p>
          <w:p w14:paraId="11580D2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min 7-letni okres dostępności części zamiennych od upływu terminu gwarancji</w:t>
            </w:r>
          </w:p>
        </w:tc>
        <w:tc>
          <w:tcPr>
            <w:tcW w:w="2403" w:type="dxa"/>
          </w:tcPr>
          <w:p w14:paraId="79FC9A1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BD31B8D" w14:textId="77777777" w:rsidTr="00EC39A4">
        <w:tc>
          <w:tcPr>
            <w:tcW w:w="603" w:type="dxa"/>
            <w:vAlign w:val="center"/>
          </w:tcPr>
          <w:p w14:paraId="1F72D46D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622" w:type="dxa"/>
            <w:vAlign w:val="center"/>
          </w:tcPr>
          <w:p w14:paraId="134C2D1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Bezpłatny przegląd serwisowy w okresie gwarancji</w:t>
            </w:r>
          </w:p>
          <w:p w14:paraId="6C69CC5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zgodnie z zaleceniami producenta </w:t>
            </w:r>
          </w:p>
        </w:tc>
        <w:tc>
          <w:tcPr>
            <w:tcW w:w="2403" w:type="dxa"/>
          </w:tcPr>
          <w:p w14:paraId="31D1771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8CBFD9F" w14:textId="77777777" w:rsidTr="00EC39A4">
        <w:tc>
          <w:tcPr>
            <w:tcW w:w="603" w:type="dxa"/>
            <w:vAlign w:val="center"/>
          </w:tcPr>
          <w:p w14:paraId="7CD4DAC4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622" w:type="dxa"/>
            <w:vAlign w:val="center"/>
          </w:tcPr>
          <w:p w14:paraId="0CD99CA6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Szkolenie 2 etapowe minimum 8 dniowe:</w:t>
            </w:r>
          </w:p>
          <w:p w14:paraId="135B4122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- 3 dni szkolenia z obsługi spektrometru i oprogramowania w siedzibie zamawiającego na zainstalowanym sprzęcie,</w:t>
            </w:r>
          </w:p>
          <w:p w14:paraId="2EDE6B0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- 5 dni szkolenia aplikacyjnego prowadzonego przez specjalistę w dziedzinie absorpcji atomowej w siedzibie zamawiającego na zainstalowanym sprzęcie.</w:t>
            </w:r>
          </w:p>
          <w:p w14:paraId="25BBBAF0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Szkolenie aplikacyjne zakończone certyfikatem. Możliwość dowolnego wykorzystania szkoleń w terminach wcześniej ustalonych z Zamawiającym</w:t>
            </w:r>
          </w:p>
        </w:tc>
        <w:tc>
          <w:tcPr>
            <w:tcW w:w="2403" w:type="dxa"/>
          </w:tcPr>
          <w:p w14:paraId="2DFF5E28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334EC991" w14:textId="77777777" w:rsidTr="00EC39A4">
        <w:tc>
          <w:tcPr>
            <w:tcW w:w="603" w:type="dxa"/>
            <w:vAlign w:val="center"/>
          </w:tcPr>
          <w:p w14:paraId="04CD957B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622" w:type="dxa"/>
            <w:vAlign w:val="center"/>
          </w:tcPr>
          <w:p w14:paraId="5DEC458E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Instrukcja obsługi całego systemu z komputerem i oprogramowaniem w języku polskim i angielskim</w:t>
            </w:r>
          </w:p>
        </w:tc>
        <w:tc>
          <w:tcPr>
            <w:tcW w:w="2403" w:type="dxa"/>
          </w:tcPr>
          <w:p w14:paraId="4C35496D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415ECC11" w14:textId="77777777" w:rsidTr="00EC39A4">
        <w:tc>
          <w:tcPr>
            <w:tcW w:w="603" w:type="dxa"/>
            <w:vAlign w:val="center"/>
          </w:tcPr>
          <w:p w14:paraId="709799E3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622" w:type="dxa"/>
            <w:vAlign w:val="center"/>
          </w:tcPr>
          <w:p w14:paraId="02F78DFB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Termin dostawy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 xml:space="preserve"> tygodni od daty zawarcia umowy</w:t>
            </w:r>
          </w:p>
        </w:tc>
        <w:tc>
          <w:tcPr>
            <w:tcW w:w="2403" w:type="dxa"/>
          </w:tcPr>
          <w:p w14:paraId="6E0E9B0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75" w:rsidRPr="0049784D" w14:paraId="7C44A334" w14:textId="77777777" w:rsidTr="00EC39A4">
        <w:tc>
          <w:tcPr>
            <w:tcW w:w="603" w:type="dxa"/>
            <w:vAlign w:val="center"/>
          </w:tcPr>
          <w:p w14:paraId="6CC77546" w14:textId="77777777" w:rsidR="00AE4E75" w:rsidRPr="0049784D" w:rsidRDefault="00AE4E75" w:rsidP="00EC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622" w:type="dxa"/>
            <w:vAlign w:val="center"/>
          </w:tcPr>
          <w:p w14:paraId="3AEAFB1C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4D">
              <w:rPr>
                <w:rFonts w:ascii="Times New Roman" w:hAnsi="Times New Roman" w:cs="Times New Roman"/>
                <w:sz w:val="20"/>
                <w:szCs w:val="20"/>
              </w:rPr>
              <w:t>Certyfikaty CE na oferowane urządzenia</w:t>
            </w:r>
          </w:p>
        </w:tc>
        <w:tc>
          <w:tcPr>
            <w:tcW w:w="2403" w:type="dxa"/>
          </w:tcPr>
          <w:p w14:paraId="63B0449A" w14:textId="77777777" w:rsidR="00AE4E75" w:rsidRPr="0049784D" w:rsidRDefault="00AE4E75" w:rsidP="00E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60B3B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6459D4B0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65414052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134D8892" w14:textId="77777777" w:rsidR="00AE4E75" w:rsidRPr="0049784D" w:rsidRDefault="00AE4E75" w:rsidP="00AE4E75">
      <w:pPr>
        <w:rPr>
          <w:rFonts w:ascii="Times New Roman" w:hAnsi="Times New Roman" w:cs="Times New Roman"/>
        </w:rPr>
      </w:pPr>
    </w:p>
    <w:p w14:paraId="207D0968" w14:textId="77777777" w:rsidR="00AE4E75" w:rsidRPr="0049784D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E8F61" w14:textId="77777777" w:rsidR="00AE4E75" w:rsidRPr="0049784D" w:rsidRDefault="00AE4E75" w:rsidP="00AE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F69B6" w14:textId="77777777" w:rsidR="00AE4E75" w:rsidRPr="0049784D" w:rsidRDefault="00AE4E75" w:rsidP="00AE4E75"/>
    <w:p w14:paraId="088DD5F2" w14:textId="6B99BFFF" w:rsidR="00343BC7" w:rsidRDefault="00343BC7"/>
    <w:sectPr w:rsidR="00343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407" w14:textId="77777777" w:rsidR="001E13CA" w:rsidRDefault="001E13CA" w:rsidP="00517A6D">
      <w:pPr>
        <w:spacing w:after="0" w:line="240" w:lineRule="auto"/>
      </w:pPr>
      <w:r>
        <w:separator/>
      </w:r>
    </w:p>
  </w:endnote>
  <w:endnote w:type="continuationSeparator" w:id="0">
    <w:p w14:paraId="69F418D0" w14:textId="77777777" w:rsidR="001E13CA" w:rsidRDefault="001E13C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D43" w14:textId="77777777" w:rsidR="001E13CA" w:rsidRDefault="001E13CA" w:rsidP="00517A6D">
      <w:pPr>
        <w:spacing w:after="0" w:line="240" w:lineRule="auto"/>
      </w:pPr>
      <w:r>
        <w:separator/>
      </w:r>
    </w:p>
  </w:footnote>
  <w:footnote w:type="continuationSeparator" w:id="0">
    <w:p w14:paraId="113516D0" w14:textId="77777777" w:rsidR="001E13CA" w:rsidRDefault="001E13C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1413A9"/>
    <w:rsid w:val="001E13CA"/>
    <w:rsid w:val="00343BC7"/>
    <w:rsid w:val="00364CE4"/>
    <w:rsid w:val="003B17EC"/>
    <w:rsid w:val="00517A6D"/>
    <w:rsid w:val="007F7ECD"/>
    <w:rsid w:val="00837EA0"/>
    <w:rsid w:val="00AE4E75"/>
    <w:rsid w:val="00EC3369"/>
    <w:rsid w:val="00ED2627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customStyle="1" w:styleId="Tabela-Siatka2">
    <w:name w:val="Tabela - Siatka2"/>
    <w:basedOn w:val="Standardowy"/>
    <w:next w:val="Tabela-Siatka"/>
    <w:uiPriority w:val="39"/>
    <w:rsid w:val="00AE4E7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6786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2</cp:revision>
  <cp:lastPrinted>2023-01-13T12:57:00Z</cp:lastPrinted>
  <dcterms:created xsi:type="dcterms:W3CDTF">2023-07-12T06:51:00Z</dcterms:created>
  <dcterms:modified xsi:type="dcterms:W3CDTF">2023-07-12T06:51:00Z</dcterms:modified>
</cp:coreProperties>
</file>