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17E70" w14:textId="77777777" w:rsidR="002A2574" w:rsidRPr="002A2574" w:rsidRDefault="002A2574" w:rsidP="00E55367">
      <w:pPr>
        <w:pStyle w:val="Bezodstpw"/>
      </w:pPr>
    </w:p>
    <w:p w14:paraId="04432B81" w14:textId="73D96098" w:rsidR="00B13EDC" w:rsidRPr="002A2574" w:rsidRDefault="00094866">
      <w:pPr>
        <w:pStyle w:val="TreA"/>
        <w:jc w:val="right"/>
        <w:rPr>
          <w:rFonts w:ascii="Verdana" w:hAnsi="Verdana"/>
          <w:sz w:val="18"/>
          <w:szCs w:val="18"/>
        </w:rPr>
      </w:pPr>
      <w:r w:rsidRPr="00CF707B">
        <w:rPr>
          <w:noProof/>
        </w:rPr>
        <mc:AlternateContent>
          <mc:Choice Requires="wpg">
            <w:drawing>
              <wp:anchor distT="0" distB="0" distL="0" distR="0" simplePos="0" relativeHeight="251659264" behindDoc="1" locked="0" layoutInCell="1" allowOverlap="1" wp14:anchorId="214A4225" wp14:editId="5D2D7D70">
                <wp:simplePos x="0" y="0"/>
                <wp:positionH relativeFrom="margin">
                  <wp:align>center</wp:align>
                </wp:positionH>
                <wp:positionV relativeFrom="paragraph">
                  <wp:posOffset>175895</wp:posOffset>
                </wp:positionV>
                <wp:extent cx="6493510" cy="12700"/>
                <wp:effectExtent l="0" t="0" r="0" b="0"/>
                <wp:wrapTopAndBottom/>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12700"/>
                          <a:chOff x="853" y="273"/>
                          <a:chExt cx="10226" cy="20"/>
                        </a:xfrm>
                      </wpg:grpSpPr>
                      <wps:wsp>
                        <wps:cNvPr id="34" name="Line 27"/>
                        <wps:cNvCnPr>
                          <a:cxnSpLocks noChangeShapeType="1"/>
                        </wps:cNvCnPr>
                        <wps:spPr bwMode="auto">
                          <a:xfrm>
                            <a:off x="853" y="282"/>
                            <a:ext cx="4439" cy="0"/>
                          </a:xfrm>
                          <a:prstGeom prst="line">
                            <a:avLst/>
                          </a:prstGeom>
                          <a:noFill/>
                          <a:ln w="12191">
                            <a:solidFill>
                              <a:srgbClr val="7F7F7F"/>
                            </a:solidFill>
                            <a:round/>
                            <a:headEnd/>
                            <a:tailEnd/>
                          </a:ln>
                          <a:extLst>
                            <a:ext uri="{909E8E84-426E-40DD-AFC4-6F175D3DCCD1}">
                              <a14:hiddenFill xmlns:a14="http://schemas.microsoft.com/office/drawing/2010/main">
                                <a:noFill/>
                              </a14:hiddenFill>
                            </a:ext>
                          </a:extLst>
                        </wps:spPr>
                        <wps:bodyPr/>
                      </wps:wsp>
                      <wps:wsp>
                        <wps:cNvPr id="35" name="Line 26"/>
                        <wps:cNvCnPr>
                          <a:cxnSpLocks noChangeShapeType="1"/>
                        </wps:cNvCnPr>
                        <wps:spPr bwMode="auto">
                          <a:xfrm>
                            <a:off x="5292" y="282"/>
                            <a:ext cx="5767" cy="0"/>
                          </a:xfrm>
                          <a:prstGeom prst="line">
                            <a:avLst/>
                          </a:prstGeom>
                          <a:noFill/>
                          <a:ln w="12191">
                            <a:solidFill>
                              <a:srgbClr val="7F7F7F"/>
                            </a:solidFill>
                            <a:round/>
                            <a:headEnd/>
                            <a:tailEnd/>
                          </a:ln>
                          <a:extLst>
                            <a:ext uri="{909E8E84-426E-40DD-AFC4-6F175D3DCCD1}">
                              <a14:hiddenFill xmlns:a14="http://schemas.microsoft.com/office/drawing/2010/main">
                                <a:noFill/>
                              </a14:hiddenFill>
                            </a:ext>
                          </a:extLst>
                        </wps:spPr>
                        <wps:bodyPr/>
                      </wps:wsp>
                      <wps:wsp>
                        <wps:cNvPr id="36" name="Rectangle 25"/>
                        <wps:cNvSpPr>
                          <a:spLocks noChangeArrowheads="1"/>
                        </wps:cNvSpPr>
                        <wps:spPr bwMode="auto">
                          <a:xfrm>
                            <a:off x="11059" y="272"/>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60006" id="Group 24" o:spid="_x0000_s1026" style="position:absolute;margin-left:0;margin-top:13.85pt;width:511.3pt;height:1pt;z-index:-251657216;mso-wrap-distance-left:0;mso-wrap-distance-right:0;mso-position-horizontal:center;mso-position-horizontal-relative:margin" coordorigin="853,273" coordsize="102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">
                <v:line id="Line 27" o:spid="_x0000_s1027" style="position:absolute;visibility:visible;mso-wrap-style:square" from="853,282" to="529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" strokecolor="#7f7f7f" strokeweight=".33864mm"/>
                <v:line id="Line 26" o:spid="_x0000_s1028" style="position:absolute;visibility:visible;mso-wrap-style:square" from="5292,282" to="11059,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" strokecolor="#7f7f7f" strokeweight=".33864mm"/>
                <v:rect id="Rectangle 25" o:spid="_x0000_s1029" style="position:absolute;left:11059;top:27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" fillcolor="#7f7f7f" stroked="f"/>
                <w10:wrap type="topAndBottom" anchorx="margin"/>
              </v:group>
            </w:pict>
          </mc:Fallback>
        </mc:AlternateContent>
      </w:r>
      <w:r w:rsidR="00797BF0" w:rsidRPr="002A2574">
        <w:rPr>
          <w:rFonts w:ascii="Verdana" w:hAnsi="Verdana"/>
          <w:sz w:val="18"/>
          <w:szCs w:val="18"/>
        </w:rPr>
        <w:t>Zestawienie – Ochrona dziennikarskich źródeł informacji</w:t>
      </w:r>
    </w:p>
    <w:p w14:paraId="1FE8AAF0" w14:textId="5747AD8A" w:rsidR="00B13EDC" w:rsidRPr="002A2574" w:rsidRDefault="00B13EDC">
      <w:pPr>
        <w:pStyle w:val="TreA"/>
        <w:jc w:val="right"/>
        <w:rPr>
          <w:rFonts w:ascii="Verdana" w:hAnsi="Verdana"/>
          <w:color w:val="FF9300"/>
          <w:u w:color="FF9300"/>
        </w:rPr>
      </w:pPr>
    </w:p>
    <w:p w14:paraId="3BF28012" w14:textId="1E5CCEF4" w:rsidR="00B13EDC" w:rsidRPr="002A2574" w:rsidRDefault="00CB3BDE">
      <w:pPr>
        <w:pStyle w:val="TreA"/>
        <w:jc w:val="right"/>
        <w:rPr>
          <w:rFonts w:ascii="Verdana" w:hAnsi="Verdana"/>
          <w:color w:val="FF9300"/>
          <w:sz w:val="20"/>
          <w:szCs w:val="20"/>
          <w:u w:color="FF9300"/>
        </w:rPr>
      </w:pPr>
      <w:r>
        <w:rPr>
          <w:rFonts w:ascii="Verdana" w:hAnsi="Verdana"/>
          <w:color w:val="FF9300"/>
          <w:sz w:val="20"/>
          <w:szCs w:val="20"/>
          <w:u w:color="FF9300"/>
        </w:rPr>
        <w:t>Styczeń 2024</w:t>
      </w:r>
      <w:r w:rsidR="00797BF0" w:rsidRPr="002A2574">
        <w:rPr>
          <w:rFonts w:ascii="Verdana" w:hAnsi="Verdana"/>
          <w:color w:val="FF9300"/>
          <w:sz w:val="20"/>
          <w:szCs w:val="20"/>
          <w:u w:color="FF9300"/>
        </w:rPr>
        <w:t xml:space="preserve"> r.</w:t>
      </w:r>
    </w:p>
    <w:p w14:paraId="612805EF" w14:textId="77777777" w:rsidR="00B13EDC" w:rsidRPr="002A2574" w:rsidRDefault="00797BF0">
      <w:pPr>
        <w:pStyle w:val="TreA"/>
        <w:jc w:val="right"/>
        <w:rPr>
          <w:rFonts w:ascii="Verdana" w:hAnsi="Verdana"/>
          <w:color w:val="FF9300"/>
          <w:sz w:val="20"/>
          <w:szCs w:val="20"/>
          <w:u w:color="FF9300"/>
        </w:rPr>
      </w:pPr>
      <w:r w:rsidRPr="002A2574">
        <w:rPr>
          <w:rFonts w:ascii="Verdana" w:hAnsi="Verdana"/>
          <w:color w:val="FF9300"/>
          <w:sz w:val="20"/>
          <w:szCs w:val="20"/>
          <w:u w:color="FF9300"/>
        </w:rPr>
        <w:t>Niniejsze zestawienie nie jest wiążące dla Trybunału i nie ma charakteru wyczerpującego</w:t>
      </w:r>
    </w:p>
    <w:p w14:paraId="29F1500F" w14:textId="77777777" w:rsidR="00B13EDC" w:rsidRDefault="00B13EDC" w:rsidP="007006A4">
      <w:pPr>
        <w:pStyle w:val="TreA"/>
        <w:rPr>
          <w:rFonts w:ascii="Verdana" w:hAnsi="Verdana"/>
        </w:rPr>
      </w:pPr>
    </w:p>
    <w:p w14:paraId="6A69FCC4" w14:textId="77777777" w:rsidR="007006A4" w:rsidRPr="002A2574" w:rsidRDefault="007006A4" w:rsidP="007006A4">
      <w:pPr>
        <w:pStyle w:val="TreA"/>
        <w:rPr>
          <w:rFonts w:ascii="Verdana" w:hAnsi="Verdana"/>
          <w:b/>
          <w:bCs/>
        </w:rPr>
      </w:pPr>
    </w:p>
    <w:p w14:paraId="29991728" w14:textId="77777777" w:rsidR="00B13EDC" w:rsidRPr="002A2574" w:rsidRDefault="00797BF0" w:rsidP="002A257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7"/>
        <w:rPr>
          <w:rFonts w:ascii="Verdana" w:eastAsia="Verdana" w:hAnsi="Verdana" w:cs="Verdana"/>
          <w:color w:val="0071BB"/>
          <w:sz w:val="44"/>
          <w:szCs w:val="44"/>
          <w:bdr w:val="none" w:sz="0" w:space="0" w:color="auto"/>
          <w:lang w:val="pl-PL"/>
        </w:rPr>
      </w:pPr>
      <w:r w:rsidRPr="002A2574">
        <w:rPr>
          <w:rFonts w:ascii="Verdana" w:eastAsia="Verdana" w:hAnsi="Verdana" w:cs="Verdana"/>
          <w:color w:val="0071BB"/>
          <w:sz w:val="44"/>
          <w:szCs w:val="44"/>
          <w:bdr w:val="none" w:sz="0" w:space="0" w:color="auto"/>
          <w:lang w:val="pl-PL"/>
        </w:rPr>
        <w:t>Ochrona dziennikarskich źródeł informacji</w:t>
      </w:r>
    </w:p>
    <w:p w14:paraId="711A2CD9" w14:textId="5C2BC763" w:rsidR="00B13EDC" w:rsidRDefault="00094866">
      <w:pPr>
        <w:pStyle w:val="TreA"/>
        <w:jc w:val="both"/>
        <w:rPr>
          <w:rFonts w:ascii="Verdana" w:hAnsi="Verdana"/>
          <w:b/>
          <w:bCs/>
          <w:color w:val="5E5E5E"/>
          <w:sz w:val="26"/>
          <w:szCs w:val="26"/>
          <w:u w:color="5E5E5E"/>
        </w:rPr>
      </w:pPr>
      <w:r w:rsidRPr="00CF707B">
        <w:rPr>
          <w:noProof/>
          <w:sz w:val="6"/>
        </w:rPr>
        <mc:AlternateContent>
          <mc:Choice Requires="wpg">
            <w:drawing>
              <wp:inline distT="0" distB="0" distL="0" distR="0" wp14:anchorId="168D09F1" wp14:editId="5AFE925F">
                <wp:extent cx="6115050" cy="71120"/>
                <wp:effectExtent l="0" t="0" r="19050" b="0"/>
                <wp:docPr id="3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71120"/>
                          <a:chOff x="0" y="0"/>
                          <a:chExt cx="9087" cy="60"/>
                        </a:xfrm>
                      </wpg:grpSpPr>
                      <wps:wsp>
                        <wps:cNvPr id="32" name="Line 23"/>
                        <wps:cNvCnPr>
                          <a:cxnSpLocks noChangeShapeType="1"/>
                        </wps:cNvCnPr>
                        <wps:spPr bwMode="auto">
                          <a:xfrm>
                            <a:off x="0" y="30"/>
                            <a:ext cx="9086"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68EE2D" id="Group 22" o:spid="_x0000_s1026" style="width:481.5pt;height:5.6pt;mso-position-horizontal-relative:char;mso-position-vertical-relative:line" coordsize="90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">
                <v:line id="Line 23" o:spid="_x0000_s1027" style="position:absolute;visibility:visible;mso-wrap-style:square" from="0,30" to="90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" strokecolor="#eaeaea" strokeweight="3pt"/>
                <w10:anchorlock/>
              </v:group>
            </w:pict>
          </mc:Fallback>
        </mc:AlternateContent>
      </w:r>
    </w:p>
    <w:p w14:paraId="7C570AFE" w14:textId="77777777" w:rsidR="00094866" w:rsidRPr="002A2574" w:rsidRDefault="00094866">
      <w:pPr>
        <w:pStyle w:val="TreA"/>
        <w:jc w:val="both"/>
        <w:rPr>
          <w:rFonts w:ascii="Verdana" w:hAnsi="Verdana"/>
          <w:b/>
          <w:bCs/>
          <w:color w:val="5E5E5E"/>
          <w:sz w:val="26"/>
          <w:szCs w:val="26"/>
          <w:u w:color="5E5E5E"/>
        </w:rPr>
      </w:pPr>
    </w:p>
    <w:p w14:paraId="14378070" w14:textId="4242FE13" w:rsidR="00B13EDC" w:rsidRPr="00E55367" w:rsidRDefault="00797BF0" w:rsidP="002A2574">
      <w:pPr>
        <w:pStyle w:val="TreA"/>
        <w:pBdr>
          <w:top w:val="none" w:sz="0" w:space="0" w:color="auto"/>
          <w:left w:val="none" w:sz="0" w:space="0" w:color="auto"/>
          <w:bottom w:val="none" w:sz="0" w:space="0" w:color="auto"/>
          <w:right w:val="none" w:sz="0" w:space="0" w:color="auto"/>
          <w:between w:val="none" w:sz="0" w:space="0" w:color="auto"/>
          <w:bar w:val="none" w:sz="0" w:color="auto"/>
        </w:pBdr>
        <w:shd w:val="pct5" w:color="auto" w:fill="auto"/>
        <w:jc w:val="both"/>
        <w:rPr>
          <w:rFonts w:ascii="Verdana" w:hAnsi="Verdana"/>
          <w:b/>
          <w:bCs/>
          <w:color w:val="5E5E5E"/>
          <w:sz w:val="20"/>
          <w:szCs w:val="20"/>
          <w:u w:color="5E5E5E"/>
        </w:rPr>
      </w:pPr>
      <w:r w:rsidRPr="00E55367">
        <w:rPr>
          <w:rFonts w:ascii="Verdana" w:hAnsi="Verdana"/>
          <w:b/>
          <w:bCs/>
          <w:color w:val="5E5E5E"/>
          <w:sz w:val="20"/>
          <w:szCs w:val="20"/>
          <w:u w:color="5E5E5E"/>
        </w:rPr>
        <w:t>Artykuł 10 (</w:t>
      </w:r>
      <w:r w:rsidR="00E40005" w:rsidRPr="00E55367">
        <w:rPr>
          <w:rFonts w:ascii="Verdana" w:hAnsi="Verdana"/>
          <w:b/>
          <w:bCs/>
          <w:color w:val="5E5E5E"/>
          <w:sz w:val="20"/>
          <w:szCs w:val="20"/>
          <w:u w:color="5E5E5E"/>
        </w:rPr>
        <w:t>w</w:t>
      </w:r>
      <w:r w:rsidRPr="00E55367">
        <w:rPr>
          <w:rFonts w:ascii="Verdana" w:hAnsi="Verdana"/>
          <w:b/>
          <w:bCs/>
          <w:color w:val="5E5E5E"/>
          <w:sz w:val="20"/>
          <w:szCs w:val="20"/>
          <w:u w:color="5E5E5E"/>
        </w:rPr>
        <w:t xml:space="preserve">olność wyrażania opinii) </w:t>
      </w:r>
      <w:hyperlink r:id="rId7" w:history="1">
        <w:r w:rsidRPr="00094866">
          <w:rPr>
            <w:rStyle w:val="Hipercze"/>
            <w:rFonts w:ascii="Verdana" w:hAnsi="Verdana"/>
            <w:b/>
            <w:bCs/>
            <w:color w:val="0070C0"/>
            <w:sz w:val="20"/>
            <w:szCs w:val="20"/>
          </w:rPr>
          <w:t xml:space="preserve">Europejskiej </w:t>
        </w:r>
        <w:r w:rsidR="00E40005" w:rsidRPr="00094866">
          <w:rPr>
            <w:rStyle w:val="Hipercze"/>
            <w:rFonts w:ascii="Verdana" w:hAnsi="Verdana"/>
            <w:b/>
            <w:bCs/>
            <w:color w:val="0070C0"/>
            <w:sz w:val="20"/>
            <w:szCs w:val="20"/>
          </w:rPr>
          <w:t>K</w:t>
        </w:r>
        <w:r w:rsidRPr="00094866">
          <w:rPr>
            <w:rStyle w:val="Hipercze"/>
            <w:rFonts w:ascii="Verdana" w:hAnsi="Verdana"/>
            <w:b/>
            <w:bCs/>
            <w:color w:val="0070C0"/>
            <w:sz w:val="20"/>
            <w:szCs w:val="20"/>
          </w:rPr>
          <w:t xml:space="preserve">onwencji </w:t>
        </w:r>
        <w:r w:rsidR="00E40005" w:rsidRPr="00094866">
          <w:rPr>
            <w:rStyle w:val="Hipercze"/>
            <w:rFonts w:ascii="Verdana" w:hAnsi="Verdana"/>
            <w:b/>
            <w:bCs/>
            <w:color w:val="0070C0"/>
            <w:sz w:val="20"/>
            <w:szCs w:val="20"/>
          </w:rPr>
          <w:t>P</w:t>
        </w:r>
        <w:r w:rsidRPr="00094866">
          <w:rPr>
            <w:rStyle w:val="Hipercze"/>
            <w:rFonts w:ascii="Verdana" w:hAnsi="Verdana"/>
            <w:b/>
            <w:bCs/>
            <w:color w:val="0070C0"/>
            <w:sz w:val="20"/>
            <w:szCs w:val="20"/>
          </w:rPr>
          <w:t xml:space="preserve">raw </w:t>
        </w:r>
        <w:r w:rsidR="00E40005" w:rsidRPr="00094866">
          <w:rPr>
            <w:rStyle w:val="Hipercze"/>
            <w:rFonts w:ascii="Verdana" w:hAnsi="Verdana"/>
            <w:b/>
            <w:bCs/>
            <w:color w:val="0070C0"/>
            <w:sz w:val="20"/>
            <w:szCs w:val="20"/>
          </w:rPr>
          <w:t>C</w:t>
        </w:r>
        <w:r w:rsidRPr="00094866">
          <w:rPr>
            <w:rStyle w:val="Hipercze"/>
            <w:rFonts w:ascii="Verdana" w:hAnsi="Verdana"/>
            <w:b/>
            <w:bCs/>
            <w:color w:val="0070C0"/>
            <w:sz w:val="20"/>
            <w:szCs w:val="20"/>
          </w:rPr>
          <w:t>złowieka</w:t>
        </w:r>
      </w:hyperlink>
      <w:r w:rsidRPr="00094866">
        <w:rPr>
          <w:rFonts w:ascii="Verdana" w:hAnsi="Verdana"/>
          <w:b/>
          <w:bCs/>
          <w:color w:val="0070C0"/>
          <w:sz w:val="20"/>
          <w:szCs w:val="20"/>
          <w:u w:color="5E5E5E"/>
        </w:rPr>
        <w:t xml:space="preserve"> </w:t>
      </w:r>
    </w:p>
    <w:p w14:paraId="3047090D" w14:textId="153BE1A4" w:rsidR="00B13EDC" w:rsidRPr="00E55367" w:rsidRDefault="00797BF0" w:rsidP="002A2574">
      <w:pPr>
        <w:pStyle w:val="TreA"/>
        <w:pBdr>
          <w:top w:val="none" w:sz="0" w:space="0" w:color="auto"/>
          <w:left w:val="none" w:sz="0" w:space="0" w:color="auto"/>
          <w:bottom w:val="none" w:sz="0" w:space="0" w:color="auto"/>
          <w:right w:val="none" w:sz="0" w:space="0" w:color="auto"/>
          <w:between w:val="none" w:sz="0" w:space="0" w:color="auto"/>
          <w:bar w:val="none" w:sz="0" w:color="auto"/>
        </w:pBdr>
        <w:shd w:val="pct5" w:color="auto" w:fill="auto"/>
        <w:spacing w:before="120" w:after="120"/>
        <w:jc w:val="both"/>
        <w:rPr>
          <w:rFonts w:ascii="Verdana" w:hAnsi="Verdana"/>
          <w:color w:val="5E5E5E"/>
          <w:sz w:val="20"/>
          <w:szCs w:val="20"/>
          <w:u w:color="5E5E5E"/>
        </w:rPr>
      </w:pPr>
      <w:r w:rsidRPr="00E55367">
        <w:rPr>
          <w:rFonts w:ascii="Verdana" w:hAnsi="Verdana"/>
          <w:color w:val="5E5E5E"/>
          <w:sz w:val="20"/>
          <w:szCs w:val="20"/>
          <w:u w:color="5E5E5E"/>
        </w:rPr>
        <w:t xml:space="preserve">Europejski Trybunał Praw Człowieka wielokrotnie podkreślał, że art. 10 Konwencji chroni nie tylko istotę oraz treść informacji i poglądów, ale także </w:t>
      </w:r>
      <w:r w:rsidR="0032256F" w:rsidRPr="00E55367">
        <w:rPr>
          <w:rFonts w:ascii="Verdana" w:hAnsi="Verdana"/>
          <w:color w:val="5E5E5E"/>
          <w:sz w:val="20"/>
          <w:szCs w:val="20"/>
          <w:u w:color="5E5E5E"/>
        </w:rPr>
        <w:t xml:space="preserve">sposoby </w:t>
      </w:r>
      <w:r w:rsidRPr="00E55367">
        <w:rPr>
          <w:rFonts w:ascii="Verdana" w:hAnsi="Verdana"/>
          <w:color w:val="5E5E5E"/>
          <w:sz w:val="20"/>
          <w:szCs w:val="20"/>
          <w:u w:color="5E5E5E"/>
        </w:rPr>
        <w:t xml:space="preserve">ich przekazywania. Prasie </w:t>
      </w:r>
      <w:r w:rsidR="0032256F" w:rsidRPr="00E55367">
        <w:rPr>
          <w:rFonts w:ascii="Verdana" w:hAnsi="Verdana"/>
          <w:color w:val="5E5E5E"/>
          <w:sz w:val="20"/>
          <w:szCs w:val="20"/>
          <w:u w:color="5E5E5E"/>
        </w:rPr>
        <w:t xml:space="preserve">w orzecznictwie Trybunału </w:t>
      </w:r>
      <w:r w:rsidRPr="00E55367">
        <w:rPr>
          <w:rFonts w:ascii="Verdana" w:hAnsi="Verdana"/>
          <w:color w:val="5E5E5E"/>
          <w:sz w:val="20"/>
          <w:szCs w:val="20"/>
          <w:u w:color="5E5E5E"/>
        </w:rPr>
        <w:t xml:space="preserve">przyznany został najszerszy zakres ochrony, także </w:t>
      </w:r>
      <w:r w:rsidR="002E7DBA" w:rsidRPr="00E55367">
        <w:rPr>
          <w:rFonts w:ascii="Verdana" w:hAnsi="Verdana"/>
          <w:color w:val="5E5E5E"/>
          <w:sz w:val="20"/>
          <w:szCs w:val="20"/>
          <w:u w:color="5E5E5E"/>
        </w:rPr>
        <w:t xml:space="preserve">w odniesieniu do </w:t>
      </w:r>
      <w:r w:rsidRPr="00E55367">
        <w:rPr>
          <w:rFonts w:ascii="Verdana" w:hAnsi="Verdana"/>
          <w:color w:val="5E5E5E"/>
          <w:sz w:val="20"/>
          <w:szCs w:val="20"/>
          <w:u w:color="5E5E5E"/>
        </w:rPr>
        <w:t>poufności dziennikarskich źródeł informacji.</w:t>
      </w:r>
    </w:p>
    <w:p w14:paraId="3260B10C" w14:textId="0C89ACD0" w:rsidR="00B13EDC" w:rsidRPr="00E55367" w:rsidRDefault="00797BF0" w:rsidP="002A2574">
      <w:pPr>
        <w:pStyle w:val="TreA"/>
        <w:pBdr>
          <w:top w:val="none" w:sz="0" w:space="0" w:color="auto"/>
          <w:left w:val="none" w:sz="0" w:space="0" w:color="auto"/>
          <w:bottom w:val="none" w:sz="0" w:space="0" w:color="auto"/>
          <w:right w:val="none" w:sz="0" w:space="0" w:color="auto"/>
          <w:between w:val="none" w:sz="0" w:space="0" w:color="auto"/>
          <w:bar w:val="none" w:sz="0" w:color="auto"/>
        </w:pBdr>
        <w:shd w:val="pct5" w:color="auto" w:fill="auto"/>
        <w:spacing w:before="120" w:after="120"/>
        <w:jc w:val="both"/>
        <w:rPr>
          <w:rFonts w:ascii="Verdana" w:hAnsi="Verdana"/>
          <w:color w:val="5E5E5E"/>
          <w:sz w:val="20"/>
          <w:szCs w:val="20"/>
          <w:u w:color="5E5E5E"/>
        </w:rPr>
      </w:pPr>
      <w:r w:rsidRPr="00E55367">
        <w:rPr>
          <w:rFonts w:ascii="Verdana" w:hAnsi="Verdana"/>
          <w:color w:val="5E5E5E"/>
          <w:sz w:val="20"/>
          <w:szCs w:val="20"/>
          <w:u w:color="5E5E5E"/>
        </w:rPr>
        <w:t xml:space="preserve">„Ochrona dziennikarskich źródeł informacji jest jednym z podstawowych warunków wolności prasy. </w:t>
      </w:r>
      <w:r w:rsidR="002E7DBA" w:rsidRPr="00E55367">
        <w:rPr>
          <w:rFonts w:ascii="Verdana" w:hAnsi="Verdana"/>
          <w:color w:val="5E5E5E"/>
          <w:sz w:val="20"/>
          <w:szCs w:val="20"/>
          <w:u w:color="5E5E5E"/>
        </w:rPr>
        <w:t xml:space="preserve">… </w:t>
      </w:r>
      <w:r w:rsidRPr="00E55367">
        <w:rPr>
          <w:rFonts w:ascii="Verdana" w:hAnsi="Verdana"/>
          <w:color w:val="5E5E5E"/>
          <w:sz w:val="20"/>
          <w:szCs w:val="20"/>
          <w:u w:color="5E5E5E"/>
        </w:rPr>
        <w:t xml:space="preserve">Bez takiej ochrony źródła informacji mogą powstrzymywać się od udzielania </w:t>
      </w:r>
      <w:r w:rsidR="002E7DBA" w:rsidRPr="00E55367">
        <w:rPr>
          <w:rFonts w:ascii="Verdana" w:hAnsi="Verdana"/>
          <w:color w:val="5E5E5E"/>
          <w:sz w:val="20"/>
          <w:szCs w:val="20"/>
          <w:u w:color="5E5E5E"/>
        </w:rPr>
        <w:t xml:space="preserve">prasie </w:t>
      </w:r>
      <w:r w:rsidRPr="00E55367">
        <w:rPr>
          <w:rFonts w:ascii="Verdana" w:hAnsi="Verdana"/>
          <w:color w:val="5E5E5E"/>
          <w:sz w:val="20"/>
          <w:szCs w:val="20"/>
          <w:u w:color="5E5E5E"/>
        </w:rPr>
        <w:t xml:space="preserve">pomocy w informowaniu opinii publicznej </w:t>
      </w:r>
      <w:r w:rsidR="00D268D0" w:rsidRPr="00E55367">
        <w:rPr>
          <w:rFonts w:ascii="Verdana" w:hAnsi="Verdana"/>
          <w:color w:val="5E5E5E"/>
          <w:sz w:val="20"/>
          <w:szCs w:val="20"/>
          <w:u w:color="5E5E5E"/>
        </w:rPr>
        <w:t>w kwestiach</w:t>
      </w:r>
      <w:r w:rsidRPr="00E55367">
        <w:rPr>
          <w:rFonts w:ascii="Verdana" w:hAnsi="Verdana"/>
          <w:color w:val="5E5E5E"/>
          <w:sz w:val="20"/>
          <w:szCs w:val="20"/>
          <w:u w:color="5E5E5E"/>
        </w:rPr>
        <w:t xml:space="preserve"> pozostających w zainteresowaniu publicznym. W konsekwencji istotna rola prasy jako stróża publicznego może zostać podważona, a ponadto ucierpieć może zdolność prasy do przekazywania rzetelnych i wiarygodnych informacji. </w:t>
      </w:r>
      <w:r w:rsidR="00B11322" w:rsidRPr="00E55367">
        <w:rPr>
          <w:rFonts w:ascii="Verdana" w:hAnsi="Verdana"/>
          <w:color w:val="5E5E5E"/>
          <w:sz w:val="20"/>
          <w:szCs w:val="20"/>
          <w:u w:color="5E5E5E"/>
        </w:rPr>
        <w:t xml:space="preserve">Nakaz </w:t>
      </w:r>
      <w:r w:rsidRPr="00E55367">
        <w:rPr>
          <w:rFonts w:ascii="Verdana" w:hAnsi="Verdana"/>
          <w:color w:val="5E5E5E"/>
          <w:sz w:val="20"/>
          <w:szCs w:val="20"/>
          <w:u w:color="5E5E5E"/>
        </w:rPr>
        <w:t>ujawnienia źródła informacji nie może zostać uznan</w:t>
      </w:r>
      <w:r w:rsidR="00B11322" w:rsidRPr="00E55367">
        <w:rPr>
          <w:rFonts w:ascii="Verdana" w:hAnsi="Verdana"/>
          <w:color w:val="5E5E5E"/>
          <w:sz w:val="20"/>
          <w:szCs w:val="20"/>
          <w:u w:color="5E5E5E"/>
        </w:rPr>
        <w:t>y</w:t>
      </w:r>
      <w:r w:rsidRPr="00E55367">
        <w:rPr>
          <w:rFonts w:ascii="Verdana" w:hAnsi="Verdana"/>
          <w:color w:val="5E5E5E"/>
          <w:sz w:val="20"/>
          <w:szCs w:val="20"/>
          <w:u w:color="5E5E5E"/>
        </w:rPr>
        <w:t xml:space="preserve"> za zgodn</w:t>
      </w:r>
      <w:r w:rsidR="009725EF" w:rsidRPr="00E55367">
        <w:rPr>
          <w:rFonts w:ascii="Verdana" w:hAnsi="Verdana"/>
          <w:color w:val="5E5E5E"/>
          <w:sz w:val="20"/>
          <w:szCs w:val="20"/>
          <w:u w:color="5E5E5E"/>
        </w:rPr>
        <w:t>y</w:t>
      </w:r>
      <w:r w:rsidRPr="00E55367">
        <w:rPr>
          <w:rFonts w:ascii="Verdana" w:hAnsi="Verdana"/>
          <w:color w:val="5E5E5E"/>
          <w:sz w:val="20"/>
          <w:szCs w:val="20"/>
          <w:u w:color="5E5E5E"/>
        </w:rPr>
        <w:t xml:space="preserve"> z art. 10 Konwencji, chyba że został usprawiedliwion</w:t>
      </w:r>
      <w:r w:rsidR="00D268D0" w:rsidRPr="00E55367">
        <w:rPr>
          <w:rFonts w:ascii="Verdana" w:hAnsi="Verdana"/>
          <w:color w:val="5E5E5E"/>
          <w:sz w:val="20"/>
          <w:szCs w:val="20"/>
          <w:u w:color="5E5E5E"/>
        </w:rPr>
        <w:t>y</w:t>
      </w:r>
      <w:r w:rsidRPr="00E55367">
        <w:rPr>
          <w:rFonts w:ascii="Verdana" w:hAnsi="Verdana"/>
          <w:color w:val="5E5E5E"/>
          <w:sz w:val="20"/>
          <w:szCs w:val="20"/>
          <w:u w:color="5E5E5E"/>
        </w:rPr>
        <w:t xml:space="preserve"> istnieniem nadrzędnej potrzeby w interesie publicznym.”</w:t>
      </w:r>
      <w:r w:rsidR="00D268D0" w:rsidRPr="00E55367">
        <w:rPr>
          <w:rFonts w:ascii="Verdana" w:hAnsi="Verdana"/>
          <w:color w:val="5E5E5E"/>
          <w:sz w:val="20"/>
          <w:szCs w:val="20"/>
          <w:u w:color="5E5E5E"/>
        </w:rPr>
        <w:t xml:space="preserve"> </w:t>
      </w:r>
      <w:r w:rsidRPr="00E55367">
        <w:rPr>
          <w:rFonts w:ascii="Verdana" w:hAnsi="Verdana"/>
          <w:color w:val="5E5E5E"/>
          <w:sz w:val="20"/>
          <w:szCs w:val="20"/>
          <w:u w:color="5E5E5E"/>
        </w:rPr>
        <w:t>(</w:t>
      </w:r>
      <w:hyperlink r:id="rId8" w:history="1">
        <w:r w:rsidRPr="003D7525">
          <w:rPr>
            <w:rStyle w:val="Hipercze"/>
            <w:rFonts w:ascii="Verdana" w:hAnsi="Verdana"/>
            <w:i/>
            <w:iCs/>
            <w:color w:val="0070C0"/>
            <w:sz w:val="20"/>
            <w:szCs w:val="20"/>
          </w:rPr>
          <w:t>Goodwin przeciwko Zjednoczonemu Królestwu</w:t>
        </w:r>
      </w:hyperlink>
      <w:r w:rsidRPr="003D7525">
        <w:rPr>
          <w:rFonts w:ascii="Verdana" w:hAnsi="Verdana"/>
          <w:color w:val="0070C0"/>
          <w:sz w:val="20"/>
          <w:szCs w:val="20"/>
          <w:u w:color="5E5E5E"/>
        </w:rPr>
        <w:t xml:space="preserve">, </w:t>
      </w:r>
      <w:r w:rsidRPr="00E55367">
        <w:rPr>
          <w:rFonts w:ascii="Verdana" w:hAnsi="Verdana"/>
          <w:color w:val="5E5E5E"/>
          <w:sz w:val="20"/>
          <w:szCs w:val="20"/>
          <w:u w:color="5E5E5E"/>
        </w:rPr>
        <w:t>wyrok z dnia 27 marca 1996 roku, § 39)</w:t>
      </w:r>
      <w:r w:rsidR="00B11322" w:rsidRPr="00E55367">
        <w:rPr>
          <w:rFonts w:ascii="Verdana" w:hAnsi="Verdana"/>
          <w:color w:val="5E5E5E"/>
          <w:sz w:val="20"/>
          <w:szCs w:val="20"/>
          <w:u w:color="5E5E5E"/>
        </w:rPr>
        <w:t>.</w:t>
      </w:r>
    </w:p>
    <w:p w14:paraId="4274DB4C" w14:textId="77777777" w:rsidR="00B13EDC" w:rsidRPr="002A2574" w:rsidRDefault="00B13EDC">
      <w:pPr>
        <w:pStyle w:val="TreA"/>
        <w:jc w:val="both"/>
        <w:rPr>
          <w:rFonts w:ascii="Verdana" w:hAnsi="Verdana"/>
        </w:rPr>
      </w:pPr>
    </w:p>
    <w:p w14:paraId="11A150C1" w14:textId="43DEEAC2" w:rsidR="00094866" w:rsidRDefault="00981109">
      <w:pPr>
        <w:pStyle w:val="TreA"/>
        <w:jc w:val="both"/>
        <w:rPr>
          <w:rFonts w:ascii="Verdana" w:hAnsi="Verdana"/>
          <w:color w:val="0076BA"/>
          <w:sz w:val="28"/>
          <w:szCs w:val="28"/>
          <w:u w:color="0076BA"/>
        </w:rPr>
      </w:pPr>
      <w:r w:rsidRPr="00CF707B">
        <w:rPr>
          <w:noProof/>
        </w:rPr>
        <mc:AlternateContent>
          <mc:Choice Requires="wps">
            <w:drawing>
              <wp:anchor distT="0" distB="0" distL="114300" distR="114300" simplePos="0" relativeHeight="251661312" behindDoc="1" locked="0" layoutInCell="1" allowOverlap="1" wp14:anchorId="17A6DA0A" wp14:editId="59E0FC1A">
                <wp:simplePos x="0" y="0"/>
                <wp:positionH relativeFrom="margin">
                  <wp:align>right</wp:align>
                </wp:positionH>
                <wp:positionV relativeFrom="paragraph">
                  <wp:posOffset>411480</wp:posOffset>
                </wp:positionV>
                <wp:extent cx="6088380" cy="22860"/>
                <wp:effectExtent l="0" t="0" r="26670" b="3429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8380" cy="22860"/>
                        </a:xfrm>
                        <a:prstGeom prst="line">
                          <a:avLst/>
                        </a:prstGeom>
                        <a:noFill/>
                        <a:ln w="19050">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BDAFF" id="Line 9" o:spid="_x0000_s1026" style="position:absolute;flip:y;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8.2pt,32.4pt" to="907.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" strokecolor="#999" strokeweight="1.5pt">
                <w10:wrap anchorx="margin"/>
              </v:line>
            </w:pict>
          </mc:Fallback>
        </mc:AlternateContent>
      </w:r>
      <w:r w:rsidR="009725EF" w:rsidRPr="002A2574">
        <w:rPr>
          <w:rFonts w:ascii="Verdana" w:hAnsi="Verdana"/>
          <w:color w:val="0076BA"/>
          <w:sz w:val="28"/>
          <w:szCs w:val="28"/>
          <w:u w:color="0076BA"/>
        </w:rPr>
        <w:t>Zobowiązanie dziennikarzy do ujawnienia źródeł informacji</w:t>
      </w:r>
      <w:r w:rsidR="00DC725F" w:rsidRPr="002A2574">
        <w:rPr>
          <w:rFonts w:ascii="Verdana" w:hAnsi="Verdana"/>
          <w:color w:val="0076BA"/>
          <w:sz w:val="28"/>
          <w:szCs w:val="28"/>
          <w:u w:color="0076BA"/>
        </w:rPr>
        <w:t xml:space="preserve"> </w:t>
      </w:r>
      <w:r w:rsidR="009725EF" w:rsidRPr="002A2574">
        <w:rPr>
          <w:rFonts w:ascii="Verdana" w:hAnsi="Verdana"/>
          <w:color w:val="0076BA"/>
          <w:sz w:val="28"/>
          <w:szCs w:val="28"/>
          <w:u w:color="0076BA"/>
        </w:rPr>
        <w:t>/</w:t>
      </w:r>
      <w:r w:rsidR="00DC725F" w:rsidRPr="002A2574">
        <w:rPr>
          <w:rFonts w:ascii="Verdana" w:hAnsi="Verdana"/>
          <w:color w:val="0076BA"/>
          <w:sz w:val="28"/>
          <w:szCs w:val="28"/>
          <w:u w:color="0076BA"/>
        </w:rPr>
        <w:t xml:space="preserve"> </w:t>
      </w:r>
      <w:r w:rsidR="009725EF" w:rsidRPr="002A2574">
        <w:rPr>
          <w:rFonts w:ascii="Verdana" w:hAnsi="Verdana"/>
          <w:color w:val="0076BA"/>
          <w:sz w:val="28"/>
          <w:szCs w:val="28"/>
          <w:u w:color="0076BA"/>
        </w:rPr>
        <w:t>Zarzucany brak ochrony dziennikarskich źródeł informacji</w:t>
      </w:r>
    </w:p>
    <w:p w14:paraId="21D9B810" w14:textId="71DCEF8D" w:rsidR="00094866" w:rsidRPr="002A2574" w:rsidRDefault="00094866">
      <w:pPr>
        <w:pStyle w:val="TreA"/>
        <w:jc w:val="both"/>
        <w:rPr>
          <w:rFonts w:ascii="Verdana" w:hAnsi="Verdana"/>
          <w:color w:val="0076BA"/>
          <w:sz w:val="28"/>
          <w:szCs w:val="28"/>
          <w:u w:color="0076BA"/>
        </w:rPr>
      </w:pPr>
    </w:p>
    <w:p w14:paraId="3B66E2EA" w14:textId="7DE9784A" w:rsidR="00B13EDC" w:rsidRPr="003D7525" w:rsidRDefault="00797BF0" w:rsidP="00E55367">
      <w:pPr>
        <w:pStyle w:val="TreA"/>
        <w:spacing w:before="120"/>
        <w:rPr>
          <w:rFonts w:ascii="Verdana" w:hAnsi="Verdana"/>
          <w:b/>
          <w:bCs/>
          <w:color w:val="0070C0"/>
          <w:sz w:val="20"/>
          <w:szCs w:val="20"/>
          <w:u w:val="single" w:color="0076BA"/>
        </w:rPr>
      </w:pPr>
      <w:hyperlink r:id="rId9" w:history="1">
        <w:r w:rsidRPr="003D7525">
          <w:rPr>
            <w:rStyle w:val="Hipercze"/>
            <w:rFonts w:ascii="Verdana" w:hAnsi="Verdana"/>
            <w:b/>
            <w:bCs/>
            <w:color w:val="0070C0"/>
            <w:sz w:val="20"/>
            <w:szCs w:val="20"/>
          </w:rPr>
          <w:t>Goodwin przeciwko Zjednoczonemu Królestwu</w:t>
        </w:r>
      </w:hyperlink>
    </w:p>
    <w:p w14:paraId="751C019F" w14:textId="77777777" w:rsidR="00B13EDC" w:rsidRPr="003D7525" w:rsidRDefault="00797BF0">
      <w:pPr>
        <w:pStyle w:val="TreA"/>
        <w:rPr>
          <w:rFonts w:ascii="Verdana" w:hAnsi="Verdana"/>
          <w:color w:val="929292"/>
          <w:sz w:val="18"/>
          <w:szCs w:val="18"/>
          <w:u w:color="929292"/>
        </w:rPr>
      </w:pPr>
      <w:r w:rsidRPr="003D7525">
        <w:rPr>
          <w:rFonts w:ascii="Verdana" w:hAnsi="Verdana"/>
          <w:color w:val="929292"/>
          <w:sz w:val="18"/>
          <w:szCs w:val="18"/>
          <w:u w:color="929292"/>
        </w:rPr>
        <w:t>27 marca 1996 r.</w:t>
      </w:r>
    </w:p>
    <w:p w14:paraId="4E773010" w14:textId="77777777" w:rsidR="00B13EDC" w:rsidRPr="00E55367" w:rsidRDefault="00797BF0">
      <w:pPr>
        <w:pStyle w:val="TreA"/>
        <w:jc w:val="both"/>
        <w:rPr>
          <w:rFonts w:ascii="Verdana" w:hAnsi="Verdana"/>
          <w:sz w:val="20"/>
          <w:szCs w:val="20"/>
        </w:rPr>
      </w:pPr>
      <w:r w:rsidRPr="00E55367">
        <w:rPr>
          <w:rFonts w:ascii="Verdana" w:hAnsi="Verdana"/>
          <w:sz w:val="20"/>
          <w:szCs w:val="20"/>
        </w:rPr>
        <w:t>Sprawa dotyczyła nałożonego przez sąd na dziennikarza (pracującego dla czasopisma „Inżynier”) zobowiązania do ujawnienia tożsamości jego źródła informacji o poufnym planie korporacyjnym przedsiębiorstwa.</w:t>
      </w:r>
    </w:p>
    <w:p w14:paraId="4D7BC707" w14:textId="01943EBD" w:rsidR="00B13EDC" w:rsidRPr="00E55367" w:rsidRDefault="00797BF0">
      <w:pPr>
        <w:pStyle w:val="TreA"/>
        <w:jc w:val="both"/>
        <w:rPr>
          <w:rFonts w:ascii="Verdana" w:hAnsi="Verdana"/>
          <w:color w:val="0076BA"/>
          <w:sz w:val="20"/>
          <w:szCs w:val="20"/>
          <w:u w:color="0076BA"/>
        </w:rPr>
      </w:pPr>
      <w:r w:rsidRPr="00E55367">
        <w:rPr>
          <w:rFonts w:ascii="Verdana" w:hAnsi="Verdana"/>
          <w:color w:val="0076BA"/>
          <w:sz w:val="20"/>
          <w:szCs w:val="20"/>
          <w:u w:color="0076BA"/>
        </w:rPr>
        <w:t xml:space="preserve">W opinii Europejskiego Trybunału Praw Człowieka nie istniał rozsądny związek proporcjonalności między </w:t>
      </w:r>
      <w:r w:rsidR="004863FC" w:rsidRPr="00E55367">
        <w:rPr>
          <w:rFonts w:ascii="Verdana" w:hAnsi="Verdana"/>
          <w:color w:val="0076BA"/>
          <w:sz w:val="20"/>
          <w:szCs w:val="20"/>
          <w:u w:color="0076BA"/>
        </w:rPr>
        <w:t xml:space="preserve">prawnie uzasadnionym </w:t>
      </w:r>
      <w:r w:rsidRPr="00E55367">
        <w:rPr>
          <w:rFonts w:ascii="Verdana" w:hAnsi="Verdana"/>
          <w:color w:val="0076BA"/>
          <w:sz w:val="20"/>
          <w:szCs w:val="20"/>
          <w:u w:color="0076BA"/>
        </w:rPr>
        <w:t>celem</w:t>
      </w:r>
      <w:r w:rsidR="004863FC" w:rsidRPr="00E55367">
        <w:rPr>
          <w:rFonts w:ascii="Verdana" w:hAnsi="Verdana"/>
          <w:color w:val="0076BA"/>
          <w:sz w:val="20"/>
          <w:szCs w:val="20"/>
          <w:u w:color="0076BA"/>
        </w:rPr>
        <w:t>, którego realizacji służył</w:t>
      </w:r>
      <w:r w:rsidRPr="00E55367">
        <w:rPr>
          <w:rFonts w:ascii="Verdana" w:hAnsi="Verdana"/>
          <w:color w:val="0076BA"/>
          <w:sz w:val="20"/>
          <w:szCs w:val="20"/>
          <w:u w:color="0076BA"/>
        </w:rPr>
        <w:t xml:space="preserve"> </w:t>
      </w:r>
      <w:r w:rsidR="004863FC" w:rsidRPr="00E55367">
        <w:rPr>
          <w:rFonts w:ascii="Verdana" w:hAnsi="Verdana"/>
          <w:color w:val="0076BA"/>
          <w:sz w:val="20"/>
          <w:szCs w:val="20"/>
          <w:u w:color="0076BA"/>
        </w:rPr>
        <w:t>wydany</w:t>
      </w:r>
      <w:r w:rsidRPr="00E55367">
        <w:rPr>
          <w:rFonts w:ascii="Verdana" w:hAnsi="Verdana"/>
          <w:color w:val="0076BA"/>
          <w:sz w:val="20"/>
          <w:szCs w:val="20"/>
          <w:u w:color="0076BA"/>
        </w:rPr>
        <w:t xml:space="preserve"> nakaz ujawnienia informacji</w:t>
      </w:r>
      <w:r w:rsidR="004863FC" w:rsidRPr="00E55367">
        <w:rPr>
          <w:rFonts w:ascii="Verdana" w:hAnsi="Verdana"/>
          <w:color w:val="0076BA"/>
          <w:sz w:val="20"/>
          <w:szCs w:val="20"/>
          <w:u w:color="0076BA"/>
        </w:rPr>
        <w:t>,</w:t>
      </w:r>
      <w:r w:rsidRPr="00E55367">
        <w:rPr>
          <w:rFonts w:ascii="Verdana" w:hAnsi="Verdana"/>
          <w:color w:val="0076BA"/>
          <w:sz w:val="20"/>
          <w:szCs w:val="20"/>
          <w:u w:color="0076BA"/>
        </w:rPr>
        <w:t xml:space="preserve"> a</w:t>
      </w:r>
      <w:r w:rsidR="00283B94" w:rsidRPr="00E55367">
        <w:rPr>
          <w:rFonts w:ascii="Verdana" w:hAnsi="Verdana"/>
          <w:color w:val="0076BA"/>
          <w:sz w:val="20"/>
          <w:szCs w:val="20"/>
          <w:u w:color="0076BA"/>
        </w:rPr>
        <w:t> </w:t>
      </w:r>
      <w:r w:rsidRPr="00E55367">
        <w:rPr>
          <w:rFonts w:ascii="Verdana" w:hAnsi="Verdana"/>
          <w:color w:val="0076BA"/>
          <w:sz w:val="20"/>
          <w:szCs w:val="20"/>
          <w:u w:color="0076BA"/>
        </w:rPr>
        <w:t xml:space="preserve">środkami </w:t>
      </w:r>
      <w:r w:rsidR="004863FC" w:rsidRPr="00E55367">
        <w:rPr>
          <w:rFonts w:ascii="Verdana" w:hAnsi="Verdana"/>
          <w:color w:val="0076BA"/>
          <w:sz w:val="20"/>
          <w:szCs w:val="20"/>
          <w:u w:color="0076BA"/>
        </w:rPr>
        <w:t xml:space="preserve">zastosowanymi </w:t>
      </w:r>
      <w:r w:rsidRPr="00E55367">
        <w:rPr>
          <w:rFonts w:ascii="Verdana" w:hAnsi="Verdana"/>
          <w:color w:val="0076BA"/>
          <w:sz w:val="20"/>
          <w:szCs w:val="20"/>
          <w:u w:color="0076BA"/>
        </w:rPr>
        <w:t xml:space="preserve">do osiągnięcia tego celu. Zarówno zobowiązanie skarżącego do ujawnienia źródła informacji, jak i nałożona na niego kara grzywny za odmowę </w:t>
      </w:r>
      <w:r w:rsidR="00F15122" w:rsidRPr="00E55367">
        <w:rPr>
          <w:rFonts w:ascii="Verdana" w:hAnsi="Verdana"/>
          <w:color w:val="0076BA"/>
          <w:sz w:val="20"/>
          <w:szCs w:val="20"/>
          <w:u w:color="0076BA"/>
        </w:rPr>
        <w:t>wykonania</w:t>
      </w:r>
      <w:r w:rsidRPr="00E55367">
        <w:rPr>
          <w:rFonts w:ascii="Verdana" w:hAnsi="Verdana"/>
          <w:color w:val="0076BA"/>
          <w:sz w:val="20"/>
          <w:szCs w:val="20"/>
          <w:u w:color="0076BA"/>
        </w:rPr>
        <w:t xml:space="preserve"> zobowiązania, skutkowały naruszeniem jego prawa do wolności wyrażania opinii wynikającego z</w:t>
      </w:r>
      <w:r w:rsidR="00283B94" w:rsidRPr="00E55367">
        <w:rPr>
          <w:rFonts w:ascii="Verdana" w:hAnsi="Verdana"/>
          <w:color w:val="0076BA"/>
          <w:sz w:val="20"/>
          <w:szCs w:val="20"/>
          <w:u w:color="0076BA"/>
        </w:rPr>
        <w:t> </w:t>
      </w:r>
      <w:r w:rsidRPr="00E55367">
        <w:rPr>
          <w:rFonts w:ascii="Verdana" w:hAnsi="Verdana"/>
          <w:b/>
          <w:bCs/>
          <w:color w:val="0076BA"/>
          <w:sz w:val="20"/>
          <w:szCs w:val="20"/>
          <w:u w:color="0076BA"/>
        </w:rPr>
        <w:t>art. 10</w:t>
      </w:r>
      <w:r w:rsidRPr="00E55367">
        <w:rPr>
          <w:rFonts w:ascii="Verdana" w:hAnsi="Verdana"/>
          <w:color w:val="0076BA"/>
          <w:sz w:val="20"/>
          <w:szCs w:val="20"/>
          <w:u w:color="0076BA"/>
        </w:rPr>
        <w:t xml:space="preserve"> Europejskiej </w:t>
      </w:r>
      <w:r w:rsidR="00F15122" w:rsidRPr="00E55367">
        <w:rPr>
          <w:rFonts w:ascii="Verdana" w:hAnsi="Verdana"/>
          <w:color w:val="0076BA"/>
          <w:sz w:val="20"/>
          <w:szCs w:val="20"/>
          <w:u w:color="0076BA"/>
        </w:rPr>
        <w:t>K</w:t>
      </w:r>
      <w:r w:rsidRPr="00E55367">
        <w:rPr>
          <w:rFonts w:ascii="Verdana" w:hAnsi="Verdana"/>
          <w:color w:val="0076BA"/>
          <w:sz w:val="20"/>
          <w:szCs w:val="20"/>
          <w:u w:color="0076BA"/>
        </w:rPr>
        <w:t xml:space="preserve">onwencji </w:t>
      </w:r>
      <w:r w:rsidR="00F15122" w:rsidRPr="00E55367">
        <w:rPr>
          <w:rFonts w:ascii="Verdana" w:hAnsi="Verdana"/>
          <w:color w:val="0076BA"/>
          <w:sz w:val="20"/>
          <w:szCs w:val="20"/>
          <w:u w:color="0076BA"/>
        </w:rPr>
        <w:t>P</w:t>
      </w:r>
      <w:r w:rsidRPr="00E55367">
        <w:rPr>
          <w:rFonts w:ascii="Verdana" w:hAnsi="Verdana"/>
          <w:color w:val="0076BA"/>
          <w:sz w:val="20"/>
          <w:szCs w:val="20"/>
          <w:u w:color="0076BA"/>
        </w:rPr>
        <w:t xml:space="preserve">raw </w:t>
      </w:r>
      <w:r w:rsidR="00F15122" w:rsidRPr="00E55367">
        <w:rPr>
          <w:rFonts w:ascii="Verdana" w:hAnsi="Verdana"/>
          <w:color w:val="0076BA"/>
          <w:sz w:val="20"/>
          <w:szCs w:val="20"/>
          <w:u w:color="0076BA"/>
        </w:rPr>
        <w:t>C</w:t>
      </w:r>
      <w:r w:rsidRPr="00E55367">
        <w:rPr>
          <w:rFonts w:ascii="Verdana" w:hAnsi="Verdana"/>
          <w:color w:val="0076BA"/>
          <w:sz w:val="20"/>
          <w:szCs w:val="20"/>
          <w:u w:color="0076BA"/>
        </w:rPr>
        <w:t>złowieka.</w:t>
      </w:r>
    </w:p>
    <w:p w14:paraId="3309CFE2" w14:textId="32987DD2" w:rsidR="00B13EDC" w:rsidRPr="003D7525" w:rsidRDefault="00797BF0" w:rsidP="00E55367">
      <w:pPr>
        <w:pStyle w:val="TreA"/>
        <w:spacing w:before="120"/>
        <w:rPr>
          <w:rFonts w:ascii="Verdana" w:hAnsi="Verdana"/>
          <w:b/>
          <w:bCs/>
          <w:color w:val="0070C0"/>
          <w:sz w:val="20"/>
          <w:szCs w:val="20"/>
          <w:u w:val="single" w:color="0076BA"/>
        </w:rPr>
      </w:pPr>
      <w:hyperlink r:id="rId10" w:history="1">
        <w:r w:rsidRPr="003D7525">
          <w:rPr>
            <w:rStyle w:val="Hipercze"/>
            <w:rFonts w:ascii="Verdana" w:hAnsi="Verdana"/>
            <w:b/>
            <w:bCs/>
            <w:color w:val="0070C0"/>
            <w:sz w:val="20"/>
            <w:szCs w:val="20"/>
          </w:rPr>
          <w:t>Nordisk Film &amp; TV A/S przeciwko Danii</w:t>
        </w:r>
      </w:hyperlink>
    </w:p>
    <w:p w14:paraId="1A78E121" w14:textId="2F3789AA" w:rsidR="00B13EDC" w:rsidRPr="003D7525" w:rsidRDefault="00797BF0">
      <w:pPr>
        <w:pStyle w:val="TreA"/>
        <w:rPr>
          <w:rFonts w:ascii="Verdana" w:hAnsi="Verdana"/>
          <w:color w:val="929292"/>
          <w:sz w:val="18"/>
          <w:szCs w:val="18"/>
          <w:u w:color="929292"/>
        </w:rPr>
      </w:pPr>
      <w:r w:rsidRPr="003D7525">
        <w:rPr>
          <w:rFonts w:ascii="Verdana" w:hAnsi="Verdana"/>
          <w:color w:val="929292"/>
          <w:sz w:val="18"/>
          <w:szCs w:val="18"/>
          <w:u w:color="929292"/>
        </w:rPr>
        <w:t xml:space="preserve">8 grudnia 2005 r. (decyzja </w:t>
      </w:r>
      <w:r w:rsidR="009F5FC6" w:rsidRPr="003D7525">
        <w:rPr>
          <w:rFonts w:ascii="Verdana" w:hAnsi="Verdana"/>
          <w:color w:val="929292"/>
          <w:sz w:val="18"/>
          <w:szCs w:val="18"/>
          <w:u w:color="929292"/>
        </w:rPr>
        <w:t>w przedmiocie</w:t>
      </w:r>
      <w:r w:rsidRPr="003D7525">
        <w:rPr>
          <w:rFonts w:ascii="Verdana" w:hAnsi="Verdana"/>
          <w:color w:val="929292"/>
          <w:sz w:val="18"/>
          <w:szCs w:val="18"/>
          <w:u w:color="929292"/>
        </w:rPr>
        <w:t xml:space="preserve"> dopuszczalności)</w:t>
      </w:r>
    </w:p>
    <w:p w14:paraId="2A61622A" w14:textId="4C20F782" w:rsidR="00B13EDC" w:rsidRPr="00E55367" w:rsidRDefault="00797BF0">
      <w:pPr>
        <w:pStyle w:val="TreA"/>
        <w:jc w:val="both"/>
        <w:rPr>
          <w:rFonts w:ascii="Verdana" w:hAnsi="Verdana"/>
          <w:sz w:val="20"/>
          <w:szCs w:val="20"/>
        </w:rPr>
      </w:pPr>
      <w:r w:rsidRPr="00E55367">
        <w:rPr>
          <w:rFonts w:ascii="Verdana" w:hAnsi="Verdana"/>
          <w:sz w:val="20"/>
          <w:szCs w:val="20"/>
        </w:rPr>
        <w:t>Sprawa dotyczyła nakazu ujawnienia materiału badawczego pozyskanego przez dziennikarza, który</w:t>
      </w:r>
      <w:r w:rsidR="00DC725F" w:rsidRPr="00E55367">
        <w:rPr>
          <w:rFonts w:ascii="Verdana" w:hAnsi="Verdana"/>
          <w:sz w:val="20"/>
          <w:szCs w:val="20"/>
        </w:rPr>
        <w:t xml:space="preserve"> -</w:t>
      </w:r>
      <w:r w:rsidRPr="00E55367">
        <w:rPr>
          <w:rFonts w:ascii="Verdana" w:hAnsi="Verdana"/>
          <w:sz w:val="20"/>
          <w:szCs w:val="20"/>
        </w:rPr>
        <w:t xml:space="preserve"> </w:t>
      </w:r>
      <w:r w:rsidR="00DC725F" w:rsidRPr="00E55367">
        <w:rPr>
          <w:rFonts w:ascii="Verdana" w:hAnsi="Verdana"/>
          <w:sz w:val="20"/>
          <w:szCs w:val="20"/>
        </w:rPr>
        <w:t>przygotowując</w:t>
      </w:r>
      <w:r w:rsidRPr="00E55367">
        <w:rPr>
          <w:rFonts w:ascii="Verdana" w:hAnsi="Verdana"/>
          <w:sz w:val="20"/>
          <w:szCs w:val="20"/>
        </w:rPr>
        <w:t xml:space="preserve"> dokument o zjawisku pedofilii w Danii</w:t>
      </w:r>
      <w:r w:rsidR="00DC725F" w:rsidRPr="00E55367">
        <w:rPr>
          <w:rFonts w:ascii="Verdana" w:hAnsi="Verdana"/>
          <w:sz w:val="20"/>
          <w:szCs w:val="20"/>
        </w:rPr>
        <w:t xml:space="preserve"> -</w:t>
      </w:r>
      <w:r w:rsidRPr="00E55367">
        <w:rPr>
          <w:rFonts w:ascii="Verdana" w:hAnsi="Verdana"/>
          <w:sz w:val="20"/>
          <w:szCs w:val="20"/>
        </w:rPr>
        <w:t xml:space="preserve"> działał </w:t>
      </w:r>
      <w:r w:rsidR="009F5FC6" w:rsidRPr="00E55367">
        <w:rPr>
          <w:rFonts w:ascii="Verdana" w:hAnsi="Verdana"/>
          <w:sz w:val="20"/>
          <w:szCs w:val="20"/>
        </w:rPr>
        <w:t>„</w:t>
      </w:r>
      <w:r w:rsidRPr="00E55367">
        <w:rPr>
          <w:rFonts w:ascii="Verdana" w:hAnsi="Verdana"/>
          <w:sz w:val="20"/>
          <w:szCs w:val="20"/>
        </w:rPr>
        <w:t>pod przykryciem</w:t>
      </w:r>
      <w:r w:rsidR="009F5FC6" w:rsidRPr="00E55367">
        <w:rPr>
          <w:rFonts w:ascii="Verdana" w:hAnsi="Verdana"/>
          <w:sz w:val="20"/>
          <w:szCs w:val="20"/>
        </w:rPr>
        <w:t>”</w:t>
      </w:r>
      <w:r w:rsidRPr="00E55367">
        <w:rPr>
          <w:rFonts w:ascii="Verdana" w:hAnsi="Verdana"/>
          <w:sz w:val="20"/>
          <w:szCs w:val="20"/>
        </w:rPr>
        <w:t xml:space="preserve"> i </w:t>
      </w:r>
      <w:r w:rsidR="00283B94" w:rsidRPr="00E55367">
        <w:rPr>
          <w:rFonts w:ascii="Verdana" w:hAnsi="Verdana"/>
          <w:sz w:val="20"/>
          <w:szCs w:val="20"/>
        </w:rPr>
        <w:t xml:space="preserve">przeniknął do </w:t>
      </w:r>
      <w:r w:rsidRPr="00E55367">
        <w:rPr>
          <w:rFonts w:ascii="Verdana" w:hAnsi="Verdana"/>
          <w:sz w:val="20"/>
          <w:szCs w:val="20"/>
        </w:rPr>
        <w:t>środowisk</w:t>
      </w:r>
      <w:r w:rsidR="00283B94" w:rsidRPr="00E55367">
        <w:rPr>
          <w:rFonts w:ascii="Verdana" w:hAnsi="Verdana"/>
          <w:sz w:val="20"/>
          <w:szCs w:val="20"/>
        </w:rPr>
        <w:t>a</w:t>
      </w:r>
      <w:r w:rsidRPr="00E55367">
        <w:rPr>
          <w:rFonts w:ascii="Verdana" w:hAnsi="Verdana"/>
          <w:sz w:val="20"/>
          <w:szCs w:val="20"/>
        </w:rPr>
        <w:t xml:space="preserve"> pedofilów.</w:t>
      </w:r>
    </w:p>
    <w:p w14:paraId="74FFC16B" w14:textId="00B6135D" w:rsidR="00B13EDC" w:rsidRPr="00E55367" w:rsidRDefault="00797BF0">
      <w:pPr>
        <w:pStyle w:val="TreA"/>
        <w:jc w:val="both"/>
        <w:rPr>
          <w:rFonts w:ascii="Verdana" w:hAnsi="Verdana"/>
          <w:color w:val="0076BA"/>
          <w:sz w:val="20"/>
          <w:szCs w:val="20"/>
          <w:u w:color="0076BA"/>
        </w:rPr>
      </w:pPr>
      <w:r w:rsidRPr="00E55367">
        <w:rPr>
          <w:rFonts w:ascii="Verdana" w:hAnsi="Verdana"/>
          <w:color w:val="0076BA"/>
          <w:sz w:val="20"/>
          <w:szCs w:val="20"/>
          <w:u w:color="0076BA"/>
        </w:rPr>
        <w:t xml:space="preserve">Trybunał uznał skargę za </w:t>
      </w:r>
      <w:r w:rsidRPr="00E55367">
        <w:rPr>
          <w:rFonts w:ascii="Verdana" w:hAnsi="Verdana"/>
          <w:b/>
          <w:bCs/>
          <w:color w:val="0076BA"/>
          <w:sz w:val="20"/>
          <w:szCs w:val="20"/>
          <w:u w:color="0076BA"/>
        </w:rPr>
        <w:t>niedopuszczalną</w:t>
      </w:r>
      <w:r w:rsidRPr="00E55367">
        <w:rPr>
          <w:rFonts w:ascii="Verdana" w:hAnsi="Verdana"/>
          <w:color w:val="0076BA"/>
          <w:sz w:val="20"/>
          <w:szCs w:val="20"/>
          <w:u w:color="0076BA"/>
        </w:rPr>
        <w:t xml:space="preserve"> jako </w:t>
      </w:r>
      <w:r w:rsidR="003D7525">
        <w:rPr>
          <w:rFonts w:ascii="Verdana" w:hAnsi="Verdana"/>
          <w:color w:val="0076BA"/>
          <w:sz w:val="20"/>
          <w:szCs w:val="20"/>
          <w:u w:color="0076BA"/>
        </w:rPr>
        <w:t>w sposób oczywisty nieuzasadnioną</w:t>
      </w:r>
      <w:r w:rsidRPr="00E55367">
        <w:rPr>
          <w:rFonts w:ascii="Verdana" w:hAnsi="Verdana"/>
          <w:color w:val="0076BA"/>
          <w:sz w:val="20"/>
          <w:szCs w:val="20"/>
          <w:u w:color="0076BA"/>
        </w:rPr>
        <w:t xml:space="preserve">. </w:t>
      </w:r>
      <w:r w:rsidR="009F5FC6" w:rsidRPr="00E55367">
        <w:rPr>
          <w:rFonts w:ascii="Verdana" w:hAnsi="Verdana"/>
          <w:color w:val="0076BA"/>
          <w:sz w:val="20"/>
          <w:szCs w:val="20"/>
          <w:u w:color="0076BA"/>
        </w:rPr>
        <w:t xml:space="preserve">W szczególności </w:t>
      </w:r>
      <w:r w:rsidRPr="00E55367">
        <w:rPr>
          <w:rFonts w:ascii="Verdana" w:hAnsi="Verdana"/>
          <w:color w:val="0076BA"/>
          <w:sz w:val="20"/>
          <w:szCs w:val="20"/>
          <w:u w:color="0076BA"/>
        </w:rPr>
        <w:t xml:space="preserve">stwierdził, że </w:t>
      </w:r>
      <w:r w:rsidR="009F5FC6" w:rsidRPr="00E55367">
        <w:rPr>
          <w:rFonts w:ascii="Verdana" w:hAnsi="Verdana"/>
          <w:color w:val="0076BA"/>
          <w:sz w:val="20"/>
          <w:szCs w:val="20"/>
          <w:u w:color="0076BA"/>
        </w:rPr>
        <w:t>nakaz wydany przez</w:t>
      </w:r>
      <w:r w:rsidRPr="00E55367">
        <w:rPr>
          <w:rFonts w:ascii="Verdana" w:hAnsi="Verdana"/>
          <w:color w:val="0076BA"/>
          <w:sz w:val="20"/>
          <w:szCs w:val="20"/>
          <w:u w:color="0076BA"/>
        </w:rPr>
        <w:t xml:space="preserve"> sąd </w:t>
      </w:r>
      <w:r w:rsidR="009F5FC6" w:rsidRPr="00E55367">
        <w:rPr>
          <w:rFonts w:ascii="Verdana" w:hAnsi="Verdana"/>
          <w:color w:val="0076BA"/>
          <w:sz w:val="20"/>
          <w:szCs w:val="20"/>
          <w:u w:color="0076BA"/>
        </w:rPr>
        <w:t xml:space="preserve">krajowy </w:t>
      </w:r>
      <w:r w:rsidRPr="00E55367">
        <w:rPr>
          <w:rFonts w:ascii="Verdana" w:hAnsi="Verdana"/>
          <w:color w:val="0076BA"/>
          <w:sz w:val="20"/>
          <w:szCs w:val="20"/>
          <w:u w:color="0076BA"/>
        </w:rPr>
        <w:t>stanowił proporcjonalną ingerencję w</w:t>
      </w:r>
      <w:r w:rsidR="00283B94" w:rsidRPr="00E55367">
        <w:rPr>
          <w:rFonts w:ascii="Verdana" w:hAnsi="Verdana"/>
          <w:color w:val="0076BA"/>
          <w:sz w:val="20"/>
          <w:szCs w:val="20"/>
          <w:u w:color="0076BA"/>
        </w:rPr>
        <w:t> </w:t>
      </w:r>
      <w:r w:rsidRPr="00E55367">
        <w:rPr>
          <w:rFonts w:ascii="Verdana" w:hAnsi="Verdana"/>
          <w:color w:val="0076BA"/>
          <w:sz w:val="20"/>
          <w:szCs w:val="20"/>
          <w:u w:color="0076BA"/>
        </w:rPr>
        <w:t>dziennikarską swobodę wyrażania opinii</w:t>
      </w:r>
      <w:r w:rsidR="00C8000D" w:rsidRPr="00E55367">
        <w:rPr>
          <w:rFonts w:ascii="Verdana" w:hAnsi="Verdana"/>
          <w:color w:val="0076BA"/>
          <w:sz w:val="20"/>
          <w:szCs w:val="20"/>
          <w:u w:color="0076BA"/>
        </w:rPr>
        <w:t>, która była</w:t>
      </w:r>
      <w:r w:rsidRPr="00E55367">
        <w:rPr>
          <w:rFonts w:ascii="Verdana" w:hAnsi="Verdana"/>
          <w:color w:val="0076BA"/>
          <w:sz w:val="20"/>
          <w:szCs w:val="20"/>
          <w:u w:color="0076BA"/>
        </w:rPr>
        <w:t xml:space="preserve"> </w:t>
      </w:r>
      <w:r w:rsidR="00C8000D" w:rsidRPr="00E55367">
        <w:rPr>
          <w:rFonts w:ascii="Verdana" w:hAnsi="Verdana"/>
          <w:color w:val="0076BA"/>
          <w:sz w:val="20"/>
          <w:szCs w:val="20"/>
          <w:u w:color="0076BA"/>
        </w:rPr>
        <w:t xml:space="preserve">uzasadniona </w:t>
      </w:r>
      <w:r w:rsidRPr="00E55367">
        <w:rPr>
          <w:rFonts w:ascii="Verdana" w:hAnsi="Verdana"/>
          <w:color w:val="0076BA"/>
          <w:sz w:val="20"/>
          <w:szCs w:val="20"/>
          <w:u w:color="0076BA"/>
        </w:rPr>
        <w:t xml:space="preserve">celem </w:t>
      </w:r>
      <w:r w:rsidR="00C8000D" w:rsidRPr="00E55367">
        <w:rPr>
          <w:rFonts w:ascii="Verdana" w:hAnsi="Verdana"/>
          <w:color w:val="0076BA"/>
          <w:sz w:val="20"/>
          <w:szCs w:val="20"/>
          <w:u w:color="0076BA"/>
        </w:rPr>
        <w:t xml:space="preserve">w postaci </w:t>
      </w:r>
      <w:r w:rsidRPr="00E55367">
        <w:rPr>
          <w:rFonts w:ascii="Verdana" w:hAnsi="Verdana"/>
          <w:color w:val="0076BA"/>
          <w:sz w:val="20"/>
          <w:szCs w:val="20"/>
          <w:u w:color="0076BA"/>
        </w:rPr>
        <w:t xml:space="preserve">zapobiegania </w:t>
      </w:r>
      <w:r w:rsidRPr="00E55367">
        <w:rPr>
          <w:rFonts w:ascii="Verdana" w:hAnsi="Verdana"/>
          <w:color w:val="0076BA"/>
          <w:sz w:val="20"/>
          <w:szCs w:val="20"/>
          <w:u w:color="0076BA"/>
        </w:rPr>
        <w:lastRenderedPageBreak/>
        <w:t xml:space="preserve">przestępczości, </w:t>
      </w:r>
      <w:r w:rsidR="00C8000D" w:rsidRPr="00E55367">
        <w:rPr>
          <w:rFonts w:ascii="Verdana" w:hAnsi="Verdana"/>
          <w:color w:val="0076BA"/>
          <w:sz w:val="20"/>
          <w:szCs w:val="20"/>
          <w:u w:color="0076BA"/>
        </w:rPr>
        <w:t>zwłaszcza</w:t>
      </w:r>
      <w:r w:rsidRPr="00E55367">
        <w:rPr>
          <w:rFonts w:ascii="Verdana" w:hAnsi="Verdana"/>
          <w:color w:val="0076BA"/>
          <w:sz w:val="20"/>
          <w:szCs w:val="20"/>
          <w:u w:color="0076BA"/>
        </w:rPr>
        <w:t xml:space="preserve"> w odniesieniu do sprawy dotyczącej poważnego wykorzystywania dzieci.</w:t>
      </w:r>
    </w:p>
    <w:p w14:paraId="6DE4DF30" w14:textId="469351B8" w:rsidR="00B13EDC" w:rsidRPr="003D7525" w:rsidRDefault="00797BF0" w:rsidP="00E55367">
      <w:pPr>
        <w:pStyle w:val="TreA"/>
        <w:spacing w:before="120"/>
        <w:rPr>
          <w:rFonts w:ascii="Verdana" w:hAnsi="Verdana"/>
          <w:b/>
          <w:bCs/>
          <w:color w:val="0070C0"/>
          <w:sz w:val="20"/>
          <w:szCs w:val="20"/>
          <w:u w:val="single" w:color="0076BA"/>
        </w:rPr>
      </w:pPr>
      <w:hyperlink r:id="rId11" w:history="1">
        <w:r w:rsidRPr="003D7525">
          <w:rPr>
            <w:rStyle w:val="Hipercze"/>
            <w:rFonts w:ascii="Verdana" w:hAnsi="Verdana"/>
            <w:b/>
            <w:bCs/>
            <w:color w:val="0070C0"/>
            <w:sz w:val="20"/>
            <w:szCs w:val="20"/>
          </w:rPr>
          <w:t>Voskuil przeciwko Holandii</w:t>
        </w:r>
      </w:hyperlink>
    </w:p>
    <w:p w14:paraId="00531540" w14:textId="77777777" w:rsidR="00B13EDC" w:rsidRPr="003D7525" w:rsidRDefault="00797BF0">
      <w:pPr>
        <w:pStyle w:val="TreA"/>
        <w:rPr>
          <w:rFonts w:ascii="Verdana" w:hAnsi="Verdana"/>
          <w:color w:val="929292"/>
          <w:sz w:val="18"/>
          <w:szCs w:val="18"/>
          <w:u w:color="929292"/>
        </w:rPr>
      </w:pPr>
      <w:r w:rsidRPr="003D7525">
        <w:rPr>
          <w:rFonts w:ascii="Verdana" w:hAnsi="Verdana"/>
          <w:color w:val="929292"/>
          <w:sz w:val="18"/>
          <w:szCs w:val="18"/>
          <w:u w:color="929292"/>
        </w:rPr>
        <w:t>22 listopada 2007 r.</w:t>
      </w:r>
    </w:p>
    <w:p w14:paraId="0E62DF71" w14:textId="1FAB7246" w:rsidR="00B13EDC" w:rsidRPr="00E55367" w:rsidRDefault="00797BF0">
      <w:pPr>
        <w:pStyle w:val="TreA"/>
        <w:jc w:val="both"/>
        <w:rPr>
          <w:rFonts w:ascii="Verdana" w:hAnsi="Verdana"/>
          <w:sz w:val="20"/>
          <w:szCs w:val="20"/>
        </w:rPr>
      </w:pPr>
      <w:r w:rsidRPr="00E55367">
        <w:rPr>
          <w:rFonts w:ascii="Verdana" w:hAnsi="Verdana"/>
          <w:sz w:val="20"/>
          <w:szCs w:val="20"/>
        </w:rPr>
        <w:t>Skarżącemu, dziennikarzowi, odmówiono prawa do nieujawnienia swojego źródła informacji</w:t>
      </w:r>
      <w:r w:rsidR="00EE3504" w:rsidRPr="00E55367">
        <w:rPr>
          <w:rFonts w:ascii="Verdana" w:hAnsi="Verdana"/>
          <w:sz w:val="20"/>
          <w:szCs w:val="20"/>
        </w:rPr>
        <w:t xml:space="preserve"> do dwóch artykułów </w:t>
      </w:r>
      <w:r w:rsidRPr="00E55367">
        <w:rPr>
          <w:rFonts w:ascii="Verdana" w:hAnsi="Verdana"/>
          <w:sz w:val="20"/>
          <w:szCs w:val="20"/>
        </w:rPr>
        <w:t>prasowych</w:t>
      </w:r>
      <w:r w:rsidR="00EE3504" w:rsidRPr="00E55367">
        <w:rPr>
          <w:rFonts w:ascii="Verdana" w:hAnsi="Verdana"/>
          <w:sz w:val="20"/>
          <w:szCs w:val="20"/>
        </w:rPr>
        <w:t>,</w:t>
      </w:r>
      <w:r w:rsidRPr="00E55367">
        <w:rPr>
          <w:rFonts w:ascii="Verdana" w:hAnsi="Verdana"/>
          <w:sz w:val="20"/>
          <w:szCs w:val="20"/>
        </w:rPr>
        <w:t xml:space="preserve"> dotyczących </w:t>
      </w:r>
      <w:r w:rsidR="00EE3504" w:rsidRPr="00E55367">
        <w:rPr>
          <w:rFonts w:ascii="Verdana" w:hAnsi="Verdana"/>
          <w:sz w:val="20"/>
          <w:szCs w:val="20"/>
        </w:rPr>
        <w:t>śledztwa</w:t>
      </w:r>
      <w:r w:rsidRPr="00E55367">
        <w:rPr>
          <w:rFonts w:ascii="Verdana" w:hAnsi="Verdana"/>
          <w:sz w:val="20"/>
          <w:szCs w:val="20"/>
        </w:rPr>
        <w:t xml:space="preserve"> w sprawie przemytu broni oraz </w:t>
      </w:r>
      <w:r w:rsidR="00EE3504" w:rsidRPr="00E55367">
        <w:rPr>
          <w:rFonts w:ascii="Verdana" w:hAnsi="Verdana"/>
          <w:sz w:val="20"/>
          <w:szCs w:val="20"/>
        </w:rPr>
        <w:t xml:space="preserve">pozbawiono </w:t>
      </w:r>
      <w:r w:rsidRPr="00E55367">
        <w:rPr>
          <w:rFonts w:ascii="Verdana" w:hAnsi="Verdana"/>
          <w:sz w:val="20"/>
          <w:szCs w:val="20"/>
        </w:rPr>
        <w:t xml:space="preserve">go wolności przez okres dłuższy niż dwa tygodnie </w:t>
      </w:r>
      <w:r w:rsidR="00EC217C" w:rsidRPr="00E55367">
        <w:rPr>
          <w:rFonts w:ascii="Verdana" w:hAnsi="Verdana"/>
          <w:sz w:val="20"/>
          <w:szCs w:val="20"/>
        </w:rPr>
        <w:t>próbując zmusić</w:t>
      </w:r>
      <w:r w:rsidRPr="00E55367">
        <w:rPr>
          <w:rFonts w:ascii="Verdana" w:hAnsi="Verdana"/>
          <w:sz w:val="20"/>
          <w:szCs w:val="20"/>
        </w:rPr>
        <w:t xml:space="preserve"> go do ujawnienia </w:t>
      </w:r>
      <w:r w:rsidR="00EC217C" w:rsidRPr="00E55367">
        <w:rPr>
          <w:rFonts w:ascii="Verdana" w:hAnsi="Verdana"/>
          <w:sz w:val="20"/>
          <w:szCs w:val="20"/>
        </w:rPr>
        <w:t>tego źródła</w:t>
      </w:r>
      <w:r w:rsidRPr="00E55367">
        <w:rPr>
          <w:rFonts w:ascii="Verdana" w:hAnsi="Verdana"/>
          <w:sz w:val="20"/>
          <w:szCs w:val="20"/>
        </w:rPr>
        <w:t>.</w:t>
      </w:r>
    </w:p>
    <w:p w14:paraId="0222A575" w14:textId="53D51F62" w:rsidR="00B13EDC" w:rsidRPr="00E55367" w:rsidRDefault="00797BF0">
      <w:pPr>
        <w:pStyle w:val="TreA"/>
        <w:jc w:val="both"/>
        <w:rPr>
          <w:rFonts w:ascii="Verdana" w:hAnsi="Verdana"/>
          <w:color w:val="0076BA"/>
          <w:sz w:val="20"/>
          <w:szCs w:val="20"/>
          <w:u w:color="0076BA"/>
        </w:rPr>
      </w:pPr>
      <w:r w:rsidRPr="00E55367">
        <w:rPr>
          <w:rFonts w:ascii="Verdana" w:hAnsi="Verdana"/>
          <w:color w:val="0076BA"/>
          <w:sz w:val="20"/>
          <w:szCs w:val="20"/>
          <w:u w:color="0076BA"/>
        </w:rPr>
        <w:t xml:space="preserve">Trybunał </w:t>
      </w:r>
      <w:r w:rsidR="00EC217C" w:rsidRPr="00E55367">
        <w:rPr>
          <w:rFonts w:ascii="Verdana" w:hAnsi="Verdana"/>
          <w:color w:val="0076BA"/>
          <w:sz w:val="20"/>
          <w:szCs w:val="20"/>
          <w:u w:color="0076BA"/>
        </w:rPr>
        <w:t xml:space="preserve">ustalając </w:t>
      </w:r>
      <w:r w:rsidRPr="00E55367">
        <w:rPr>
          <w:rFonts w:ascii="Verdana" w:hAnsi="Verdana"/>
          <w:color w:val="0076BA"/>
          <w:sz w:val="20"/>
          <w:szCs w:val="20"/>
          <w:u w:color="0076BA"/>
        </w:rPr>
        <w:t xml:space="preserve">w szczególności, że interes rządu holenderskiego w </w:t>
      </w:r>
      <w:r w:rsidR="00EC217C" w:rsidRPr="00E55367">
        <w:rPr>
          <w:rFonts w:ascii="Verdana" w:hAnsi="Verdana"/>
          <w:color w:val="0076BA"/>
          <w:sz w:val="20"/>
          <w:szCs w:val="20"/>
          <w:u w:color="0076BA"/>
        </w:rPr>
        <w:t>poznaniu tożsamości</w:t>
      </w:r>
      <w:r w:rsidRPr="00E55367">
        <w:rPr>
          <w:rFonts w:ascii="Verdana" w:hAnsi="Verdana"/>
          <w:color w:val="0076BA"/>
          <w:sz w:val="20"/>
          <w:szCs w:val="20"/>
          <w:u w:color="0076BA"/>
        </w:rPr>
        <w:t xml:space="preserve"> źródła informacji skarżącego nie był wystarczający, by przewyższyć interes skarżącego w jego nieujawnianiu</w:t>
      </w:r>
      <w:r w:rsidR="00222D37" w:rsidRPr="00E55367">
        <w:rPr>
          <w:rFonts w:ascii="Verdana" w:hAnsi="Verdana"/>
          <w:color w:val="0076BA"/>
          <w:sz w:val="20"/>
          <w:szCs w:val="20"/>
          <w:u w:color="0076BA"/>
        </w:rPr>
        <w:t xml:space="preserve"> stwierdził</w:t>
      </w:r>
      <w:r w:rsidRPr="00E55367">
        <w:rPr>
          <w:rFonts w:ascii="Verdana" w:hAnsi="Verdana"/>
          <w:color w:val="0076BA"/>
          <w:sz w:val="20"/>
          <w:szCs w:val="20"/>
          <w:u w:color="0076BA"/>
        </w:rPr>
        <w:t xml:space="preserve">, że doszło do </w:t>
      </w:r>
      <w:r w:rsidRPr="00E55367">
        <w:rPr>
          <w:rFonts w:ascii="Verdana" w:hAnsi="Verdana"/>
          <w:b/>
          <w:bCs/>
          <w:color w:val="0076BA"/>
          <w:sz w:val="20"/>
          <w:szCs w:val="20"/>
          <w:u w:color="0076BA"/>
        </w:rPr>
        <w:t xml:space="preserve">naruszenia art. 10 </w:t>
      </w:r>
      <w:r w:rsidRPr="00E55367">
        <w:rPr>
          <w:rFonts w:ascii="Verdana" w:hAnsi="Verdana"/>
          <w:color w:val="0076BA"/>
          <w:sz w:val="20"/>
          <w:szCs w:val="20"/>
          <w:u w:color="0076BA"/>
        </w:rPr>
        <w:t xml:space="preserve">Konwencji. Trybunał uznał ponadto, że w sprawie skarżącego doszło </w:t>
      </w:r>
      <w:r w:rsidR="00222D37" w:rsidRPr="00E55367">
        <w:rPr>
          <w:rFonts w:ascii="Verdana" w:hAnsi="Verdana"/>
          <w:color w:val="0076BA"/>
          <w:sz w:val="20"/>
          <w:szCs w:val="20"/>
          <w:u w:color="0076BA"/>
        </w:rPr>
        <w:t xml:space="preserve">także </w:t>
      </w:r>
      <w:r w:rsidRPr="00E55367">
        <w:rPr>
          <w:rFonts w:ascii="Verdana" w:hAnsi="Verdana"/>
          <w:color w:val="0076BA"/>
          <w:sz w:val="20"/>
          <w:szCs w:val="20"/>
          <w:u w:color="0076BA"/>
        </w:rPr>
        <w:t xml:space="preserve">do </w:t>
      </w:r>
      <w:r w:rsidRPr="00E55367">
        <w:rPr>
          <w:rFonts w:ascii="Verdana" w:hAnsi="Verdana"/>
          <w:b/>
          <w:bCs/>
          <w:color w:val="0076BA"/>
          <w:sz w:val="20"/>
          <w:szCs w:val="20"/>
          <w:u w:color="0076BA"/>
        </w:rPr>
        <w:t>naruszenia art. 5 ust. 1</w:t>
      </w:r>
      <w:r w:rsidRPr="00E55367">
        <w:rPr>
          <w:rFonts w:ascii="Verdana" w:hAnsi="Verdana"/>
          <w:color w:val="0076BA"/>
          <w:sz w:val="20"/>
          <w:szCs w:val="20"/>
          <w:u w:color="0076BA"/>
        </w:rPr>
        <w:t xml:space="preserve"> (prawo do wolności i bezpieczeństwa osobistego) Konwencji.</w:t>
      </w:r>
    </w:p>
    <w:p w14:paraId="4DD6F42F" w14:textId="07390EF6" w:rsidR="00B13EDC" w:rsidRPr="003D7525" w:rsidRDefault="00797BF0" w:rsidP="00E55367">
      <w:pPr>
        <w:pStyle w:val="TreA"/>
        <w:spacing w:before="120"/>
        <w:rPr>
          <w:rFonts w:ascii="Verdana" w:hAnsi="Verdana"/>
          <w:b/>
          <w:bCs/>
          <w:color w:val="0070C0"/>
          <w:sz w:val="20"/>
          <w:szCs w:val="20"/>
          <w:u w:val="single" w:color="0076BA"/>
        </w:rPr>
      </w:pPr>
      <w:hyperlink r:id="rId12" w:history="1">
        <w:r w:rsidRPr="003D7525">
          <w:rPr>
            <w:rStyle w:val="Hipercze"/>
            <w:rFonts w:ascii="Verdana" w:hAnsi="Verdana"/>
            <w:b/>
            <w:bCs/>
            <w:color w:val="0070C0"/>
            <w:sz w:val="20"/>
            <w:szCs w:val="20"/>
          </w:rPr>
          <w:t>Financial Times Ltd i Inni przeciwko Zjednoczonemu Królestwu</w:t>
        </w:r>
      </w:hyperlink>
    </w:p>
    <w:p w14:paraId="4A628690" w14:textId="77777777" w:rsidR="00B13EDC" w:rsidRPr="003D7525" w:rsidRDefault="00797BF0">
      <w:pPr>
        <w:pStyle w:val="TreA"/>
        <w:rPr>
          <w:rFonts w:ascii="Verdana" w:hAnsi="Verdana"/>
          <w:color w:val="929292"/>
          <w:sz w:val="18"/>
          <w:szCs w:val="18"/>
          <w:u w:color="929292"/>
        </w:rPr>
      </w:pPr>
      <w:r w:rsidRPr="003D7525">
        <w:rPr>
          <w:rFonts w:ascii="Verdana" w:hAnsi="Verdana"/>
          <w:color w:val="929292"/>
          <w:sz w:val="18"/>
          <w:szCs w:val="18"/>
          <w:u w:color="929292"/>
        </w:rPr>
        <w:t>15 grudnia 2009 r.</w:t>
      </w:r>
    </w:p>
    <w:p w14:paraId="40D11ABA" w14:textId="17461F0E" w:rsidR="00B13EDC" w:rsidRPr="00E55367" w:rsidRDefault="00797BF0">
      <w:pPr>
        <w:pStyle w:val="TreA"/>
        <w:jc w:val="both"/>
        <w:rPr>
          <w:rFonts w:ascii="Verdana" w:hAnsi="Verdana"/>
          <w:sz w:val="20"/>
          <w:szCs w:val="20"/>
        </w:rPr>
      </w:pPr>
      <w:r w:rsidRPr="00E55367">
        <w:rPr>
          <w:rFonts w:ascii="Verdana" w:hAnsi="Verdana"/>
          <w:sz w:val="20"/>
          <w:szCs w:val="20"/>
        </w:rPr>
        <w:t xml:space="preserve">Sprawa dotyczyła skargi czterech brytyjskich gazet i agencji prasowych, które podnosiły, </w:t>
      </w:r>
      <w:r w:rsidR="00222D37" w:rsidRPr="00E55367">
        <w:rPr>
          <w:rFonts w:ascii="Verdana" w:hAnsi="Verdana"/>
          <w:sz w:val="20"/>
          <w:szCs w:val="20"/>
        </w:rPr>
        <w:t>że nakazano im</w:t>
      </w:r>
      <w:r w:rsidRPr="00E55367">
        <w:rPr>
          <w:rFonts w:ascii="Verdana" w:hAnsi="Verdana"/>
          <w:sz w:val="20"/>
          <w:szCs w:val="20"/>
        </w:rPr>
        <w:t xml:space="preserve"> ujawnieni</w:t>
      </w:r>
      <w:r w:rsidR="00222D37" w:rsidRPr="00E55367">
        <w:rPr>
          <w:rFonts w:ascii="Verdana" w:hAnsi="Verdana"/>
          <w:sz w:val="20"/>
          <w:szCs w:val="20"/>
        </w:rPr>
        <w:t>e</w:t>
      </w:r>
      <w:r w:rsidRPr="00E55367">
        <w:rPr>
          <w:rFonts w:ascii="Verdana" w:hAnsi="Verdana"/>
          <w:sz w:val="20"/>
          <w:szCs w:val="20"/>
        </w:rPr>
        <w:t xml:space="preserve"> dokumentów </w:t>
      </w:r>
      <w:r w:rsidR="006A2B5D" w:rsidRPr="00E55367">
        <w:rPr>
          <w:rFonts w:ascii="Verdana" w:hAnsi="Verdana"/>
          <w:sz w:val="20"/>
          <w:szCs w:val="20"/>
        </w:rPr>
        <w:t xml:space="preserve">belgijskiej spółce browarniczej </w:t>
      </w:r>
      <w:r w:rsidR="00C4024F" w:rsidRPr="00E55367">
        <w:rPr>
          <w:rFonts w:ascii="Verdana" w:hAnsi="Verdana"/>
          <w:i/>
          <w:iCs/>
          <w:sz w:val="20"/>
          <w:szCs w:val="20"/>
        </w:rPr>
        <w:t>Interbrew,</w:t>
      </w:r>
      <w:r w:rsidR="00C4024F" w:rsidRPr="00E55367">
        <w:rPr>
          <w:rFonts w:ascii="Verdana" w:hAnsi="Verdana"/>
          <w:sz w:val="20"/>
          <w:szCs w:val="20"/>
        </w:rPr>
        <w:t xml:space="preserve"> </w:t>
      </w:r>
      <w:r w:rsidRPr="00E55367">
        <w:rPr>
          <w:rFonts w:ascii="Verdana" w:hAnsi="Verdana"/>
          <w:sz w:val="20"/>
          <w:szCs w:val="20"/>
        </w:rPr>
        <w:t xml:space="preserve">co mogło prowadzić do </w:t>
      </w:r>
      <w:r w:rsidR="00222D37" w:rsidRPr="00E55367">
        <w:rPr>
          <w:rFonts w:ascii="Verdana" w:hAnsi="Verdana"/>
          <w:sz w:val="20"/>
          <w:szCs w:val="20"/>
        </w:rPr>
        <w:t xml:space="preserve">zidentyfikowania dziennikarskich </w:t>
      </w:r>
      <w:r w:rsidRPr="00E55367">
        <w:rPr>
          <w:rFonts w:ascii="Verdana" w:hAnsi="Verdana"/>
          <w:sz w:val="20"/>
          <w:szCs w:val="20"/>
        </w:rPr>
        <w:t xml:space="preserve">źródeł </w:t>
      </w:r>
      <w:r w:rsidR="00222D37" w:rsidRPr="00E55367">
        <w:rPr>
          <w:rFonts w:ascii="Verdana" w:hAnsi="Verdana"/>
          <w:sz w:val="20"/>
          <w:szCs w:val="20"/>
        </w:rPr>
        <w:t xml:space="preserve">informacji </w:t>
      </w:r>
      <w:r w:rsidRPr="00E55367">
        <w:rPr>
          <w:rFonts w:ascii="Verdana" w:hAnsi="Verdana"/>
          <w:sz w:val="20"/>
          <w:szCs w:val="20"/>
        </w:rPr>
        <w:t xml:space="preserve">w zakresie pochodzenia </w:t>
      </w:r>
      <w:r w:rsidR="00C4024F" w:rsidRPr="00E55367">
        <w:rPr>
          <w:rFonts w:ascii="Verdana" w:hAnsi="Verdana"/>
          <w:sz w:val="20"/>
          <w:szCs w:val="20"/>
        </w:rPr>
        <w:t xml:space="preserve">przecieku </w:t>
      </w:r>
      <w:r w:rsidRPr="00E55367">
        <w:rPr>
          <w:rFonts w:ascii="Verdana" w:hAnsi="Verdana"/>
          <w:sz w:val="20"/>
          <w:szCs w:val="20"/>
        </w:rPr>
        <w:t>do prasy informacji o ofercie przejęcia spółki.</w:t>
      </w:r>
    </w:p>
    <w:p w14:paraId="30FB384C" w14:textId="4E73D0B5" w:rsidR="00B13EDC" w:rsidRPr="00E55367" w:rsidRDefault="00797BF0">
      <w:pPr>
        <w:pStyle w:val="TreA"/>
        <w:jc w:val="both"/>
        <w:rPr>
          <w:rFonts w:ascii="Verdana" w:hAnsi="Verdana"/>
          <w:color w:val="0076BA"/>
          <w:sz w:val="20"/>
          <w:szCs w:val="20"/>
          <w:u w:color="0076BA"/>
        </w:rPr>
      </w:pPr>
      <w:r w:rsidRPr="00E55367">
        <w:rPr>
          <w:rFonts w:ascii="Verdana" w:hAnsi="Verdana"/>
          <w:color w:val="0076BA"/>
          <w:sz w:val="20"/>
          <w:szCs w:val="20"/>
          <w:u w:color="0076BA"/>
        </w:rPr>
        <w:t xml:space="preserve">Trybunał uznał, że doszło do </w:t>
      </w:r>
      <w:r w:rsidRPr="00E55367">
        <w:rPr>
          <w:rFonts w:ascii="Verdana" w:hAnsi="Verdana"/>
          <w:b/>
          <w:bCs/>
          <w:color w:val="0076BA"/>
          <w:sz w:val="20"/>
          <w:szCs w:val="20"/>
          <w:u w:color="0076BA"/>
        </w:rPr>
        <w:t>naruszenia</w:t>
      </w:r>
      <w:r w:rsidRPr="00E55367">
        <w:rPr>
          <w:rFonts w:ascii="Verdana" w:hAnsi="Verdana"/>
          <w:color w:val="0076BA"/>
          <w:sz w:val="20"/>
          <w:szCs w:val="20"/>
          <w:u w:color="0076BA"/>
        </w:rPr>
        <w:t xml:space="preserve"> </w:t>
      </w:r>
      <w:r w:rsidRPr="00E55367">
        <w:rPr>
          <w:rFonts w:ascii="Verdana" w:hAnsi="Verdana"/>
          <w:b/>
          <w:bCs/>
          <w:color w:val="0076BA"/>
          <w:sz w:val="20"/>
          <w:szCs w:val="20"/>
          <w:u w:color="0076BA"/>
        </w:rPr>
        <w:t xml:space="preserve">art. 10 </w:t>
      </w:r>
      <w:r w:rsidRPr="00E55367">
        <w:rPr>
          <w:rFonts w:ascii="Verdana" w:hAnsi="Verdana"/>
          <w:color w:val="0076BA"/>
          <w:sz w:val="20"/>
          <w:szCs w:val="20"/>
          <w:u w:color="0076BA"/>
        </w:rPr>
        <w:t xml:space="preserve">Konwencji. Podkreślając w szczególności </w:t>
      </w:r>
      <w:r w:rsidR="006029D9" w:rsidRPr="00E55367">
        <w:rPr>
          <w:rFonts w:ascii="Verdana" w:hAnsi="Verdana"/>
          <w:color w:val="0076BA"/>
          <w:sz w:val="20"/>
          <w:szCs w:val="20"/>
          <w:u w:color="0076BA"/>
        </w:rPr>
        <w:t xml:space="preserve">wystąpienie </w:t>
      </w:r>
      <w:r w:rsidRPr="00E55367">
        <w:rPr>
          <w:rFonts w:ascii="Verdana" w:hAnsi="Verdana"/>
          <w:color w:val="0076BA"/>
          <w:sz w:val="20"/>
          <w:szCs w:val="20"/>
          <w:u w:color="0076BA"/>
        </w:rPr>
        <w:t xml:space="preserve">tzw. </w:t>
      </w:r>
      <w:r w:rsidR="006029D9" w:rsidRPr="00E55367">
        <w:rPr>
          <w:rFonts w:ascii="Verdana" w:hAnsi="Verdana"/>
          <w:color w:val="0076BA"/>
          <w:sz w:val="20"/>
          <w:szCs w:val="20"/>
          <w:u w:color="0076BA"/>
        </w:rPr>
        <w:t xml:space="preserve">efektu </w:t>
      </w:r>
      <w:r w:rsidRPr="00E55367">
        <w:rPr>
          <w:rFonts w:ascii="Verdana" w:hAnsi="Verdana"/>
          <w:color w:val="0076BA"/>
          <w:sz w:val="20"/>
          <w:szCs w:val="20"/>
          <w:u w:color="0076BA"/>
        </w:rPr>
        <w:t xml:space="preserve">mrożącego, ilekroć dziennikarze </w:t>
      </w:r>
      <w:r w:rsidR="006029D9" w:rsidRPr="00E55367">
        <w:rPr>
          <w:rFonts w:ascii="Verdana" w:hAnsi="Verdana"/>
          <w:color w:val="0076BA"/>
          <w:sz w:val="20"/>
          <w:szCs w:val="20"/>
          <w:u w:color="0076BA"/>
        </w:rPr>
        <w:t xml:space="preserve">byli postrzegani jako uczestniczący </w:t>
      </w:r>
      <w:r w:rsidRPr="00E55367">
        <w:rPr>
          <w:rFonts w:ascii="Verdana" w:hAnsi="Verdana"/>
          <w:color w:val="0076BA"/>
          <w:sz w:val="20"/>
          <w:szCs w:val="20"/>
          <w:u w:color="0076BA"/>
        </w:rPr>
        <w:t xml:space="preserve">w identyfikacji anonimowych źródeł informacji, Trybunał uznał, że </w:t>
      </w:r>
      <w:r w:rsidR="00CF2DFC" w:rsidRPr="00E55367">
        <w:rPr>
          <w:rFonts w:ascii="Verdana" w:hAnsi="Verdana"/>
          <w:color w:val="0076BA"/>
          <w:sz w:val="20"/>
          <w:szCs w:val="20"/>
          <w:u w:color="0076BA"/>
        </w:rPr>
        <w:t>interes w</w:t>
      </w:r>
      <w:r w:rsidR="007E094C" w:rsidRPr="00E55367">
        <w:rPr>
          <w:rFonts w:ascii="Verdana" w:hAnsi="Verdana"/>
          <w:color w:val="0076BA"/>
          <w:sz w:val="20"/>
          <w:szCs w:val="20"/>
          <w:u w:color="0076BA"/>
        </w:rPr>
        <w:t xml:space="preserve"> wyeliminowani</w:t>
      </w:r>
      <w:r w:rsidR="00CF2DFC" w:rsidRPr="00E55367">
        <w:rPr>
          <w:rFonts w:ascii="Verdana" w:hAnsi="Verdana"/>
          <w:color w:val="0076BA"/>
          <w:sz w:val="20"/>
          <w:szCs w:val="20"/>
          <w:u w:color="0076BA"/>
        </w:rPr>
        <w:t>u</w:t>
      </w:r>
      <w:r w:rsidR="007E094C" w:rsidRPr="00E55367">
        <w:rPr>
          <w:rFonts w:ascii="Verdana" w:hAnsi="Verdana"/>
          <w:color w:val="0076BA"/>
          <w:sz w:val="20"/>
          <w:szCs w:val="20"/>
          <w:u w:color="0076BA"/>
        </w:rPr>
        <w:t xml:space="preserve"> szk</w:t>
      </w:r>
      <w:r w:rsidR="00CF2DFC" w:rsidRPr="00E55367">
        <w:rPr>
          <w:rFonts w:ascii="Verdana" w:hAnsi="Verdana"/>
          <w:color w:val="0076BA"/>
          <w:sz w:val="20"/>
          <w:szCs w:val="20"/>
          <w:u w:color="0076BA"/>
        </w:rPr>
        <w:t>ód</w:t>
      </w:r>
      <w:r w:rsidR="007E094C" w:rsidRPr="00E55367">
        <w:rPr>
          <w:rFonts w:ascii="Verdana" w:hAnsi="Verdana"/>
          <w:color w:val="0076BA"/>
          <w:sz w:val="20"/>
          <w:szCs w:val="20"/>
          <w:u w:color="0076BA"/>
        </w:rPr>
        <w:t xml:space="preserve"> poprzez przyszłe upowszechnianie poufnych informacji</w:t>
      </w:r>
      <w:r w:rsidR="00CF2DFC" w:rsidRPr="00E55367">
        <w:rPr>
          <w:rFonts w:ascii="Verdana" w:hAnsi="Verdana"/>
          <w:color w:val="0076BA"/>
          <w:sz w:val="20"/>
          <w:szCs w:val="20"/>
          <w:u w:color="0076BA"/>
        </w:rPr>
        <w:t xml:space="preserve"> oraz uzyskiwaniu odszkodowań za przeszłe naruszenia poufności </w:t>
      </w:r>
      <w:r w:rsidR="006029D9" w:rsidRPr="00E55367">
        <w:rPr>
          <w:rFonts w:ascii="Verdana" w:hAnsi="Verdana"/>
          <w:color w:val="0076BA"/>
          <w:sz w:val="20"/>
          <w:szCs w:val="20"/>
          <w:u w:color="0076BA"/>
        </w:rPr>
        <w:t xml:space="preserve">nie był wystarczający do przeważenia </w:t>
      </w:r>
      <w:r w:rsidRPr="00E55367">
        <w:rPr>
          <w:rFonts w:ascii="Verdana" w:hAnsi="Verdana"/>
          <w:color w:val="0076BA"/>
          <w:sz w:val="20"/>
          <w:szCs w:val="20"/>
          <w:u w:color="0076BA"/>
        </w:rPr>
        <w:t>interesu publicznego</w:t>
      </w:r>
      <w:r w:rsidR="006029D9" w:rsidRPr="00E55367">
        <w:rPr>
          <w:rFonts w:ascii="Verdana" w:hAnsi="Verdana"/>
          <w:color w:val="0076BA"/>
          <w:sz w:val="20"/>
          <w:szCs w:val="20"/>
          <w:u w:color="0076BA"/>
        </w:rPr>
        <w:t xml:space="preserve"> w </w:t>
      </w:r>
      <w:r w:rsidR="00CF2DFC" w:rsidRPr="00E55367">
        <w:rPr>
          <w:rFonts w:ascii="Verdana" w:hAnsi="Verdana"/>
          <w:color w:val="0076BA"/>
          <w:sz w:val="20"/>
          <w:szCs w:val="20"/>
          <w:u w:color="0076BA"/>
        </w:rPr>
        <w:t>ochronie</w:t>
      </w:r>
      <w:r w:rsidRPr="00E55367">
        <w:rPr>
          <w:rFonts w:ascii="Verdana" w:hAnsi="Verdana"/>
          <w:color w:val="0076BA"/>
          <w:sz w:val="20"/>
          <w:szCs w:val="20"/>
          <w:u w:color="0076BA"/>
        </w:rPr>
        <w:t xml:space="preserve"> dziennikarskich źródeł informacji.</w:t>
      </w:r>
    </w:p>
    <w:p w14:paraId="41BC4C82" w14:textId="4699C25F" w:rsidR="00B13EDC" w:rsidRPr="003D7525" w:rsidRDefault="00797BF0" w:rsidP="00E55367">
      <w:pPr>
        <w:pStyle w:val="TreA"/>
        <w:spacing w:before="120"/>
        <w:rPr>
          <w:rFonts w:ascii="Verdana" w:hAnsi="Verdana"/>
          <w:b/>
          <w:bCs/>
          <w:color w:val="0070C0"/>
          <w:sz w:val="20"/>
          <w:szCs w:val="20"/>
          <w:u w:val="single" w:color="0076BA"/>
        </w:rPr>
      </w:pPr>
      <w:hyperlink r:id="rId13" w:history="1">
        <w:r w:rsidRPr="003D7525">
          <w:rPr>
            <w:rStyle w:val="Hipercze"/>
            <w:rFonts w:ascii="Verdana" w:hAnsi="Verdana"/>
            <w:b/>
            <w:bCs/>
            <w:color w:val="0070C0"/>
            <w:sz w:val="20"/>
            <w:szCs w:val="20"/>
          </w:rPr>
          <w:t>Sanoma Uitgevers B.V. przeciwko Holandii</w:t>
        </w:r>
      </w:hyperlink>
    </w:p>
    <w:p w14:paraId="6FCFFF86" w14:textId="77777777" w:rsidR="00B13EDC" w:rsidRPr="003D7525" w:rsidRDefault="00797BF0">
      <w:pPr>
        <w:pStyle w:val="TreA"/>
        <w:rPr>
          <w:rFonts w:ascii="Verdana" w:hAnsi="Verdana"/>
          <w:color w:val="929292"/>
          <w:sz w:val="18"/>
          <w:szCs w:val="18"/>
          <w:u w:color="929292"/>
        </w:rPr>
      </w:pPr>
      <w:r w:rsidRPr="003D7525">
        <w:rPr>
          <w:rFonts w:ascii="Verdana" w:hAnsi="Verdana"/>
          <w:color w:val="929292"/>
          <w:sz w:val="18"/>
          <w:szCs w:val="18"/>
          <w:u w:color="929292"/>
        </w:rPr>
        <w:t>14 września 2010 r. (Wielka Izba)</w:t>
      </w:r>
    </w:p>
    <w:p w14:paraId="198AB1E4" w14:textId="0C000326" w:rsidR="00B13EDC" w:rsidRPr="00E55367" w:rsidRDefault="00797BF0">
      <w:pPr>
        <w:pStyle w:val="TreA"/>
        <w:jc w:val="both"/>
        <w:rPr>
          <w:rFonts w:ascii="Verdana" w:hAnsi="Verdana"/>
          <w:sz w:val="20"/>
          <w:szCs w:val="20"/>
        </w:rPr>
      </w:pPr>
      <w:r w:rsidRPr="00E55367">
        <w:rPr>
          <w:rFonts w:ascii="Verdana" w:hAnsi="Verdana"/>
          <w:sz w:val="20"/>
          <w:szCs w:val="20"/>
        </w:rPr>
        <w:t xml:space="preserve">Sprawa dotyczyła zobowiązania holenderskiego wydawnictwa do wydania policji fotografii, które wykorzystano w artykule na temat nielegalnych wyścigów samochodowych, na potrzeby </w:t>
      </w:r>
      <w:r w:rsidR="00CF2DFC" w:rsidRPr="00E55367">
        <w:rPr>
          <w:rFonts w:ascii="Verdana" w:hAnsi="Verdana"/>
          <w:sz w:val="20"/>
          <w:szCs w:val="20"/>
        </w:rPr>
        <w:t>śledztwa policyjnego</w:t>
      </w:r>
      <w:r w:rsidRPr="00E55367">
        <w:rPr>
          <w:rFonts w:ascii="Verdana" w:hAnsi="Verdana"/>
          <w:sz w:val="20"/>
          <w:szCs w:val="20"/>
        </w:rPr>
        <w:t xml:space="preserve"> w innej sprawie</w:t>
      </w:r>
      <w:r w:rsidR="00CF2DFC" w:rsidRPr="00E55367">
        <w:rPr>
          <w:rFonts w:ascii="Verdana" w:hAnsi="Verdana"/>
          <w:sz w:val="20"/>
          <w:szCs w:val="20"/>
        </w:rPr>
        <w:t>,</w:t>
      </w:r>
      <w:r w:rsidRPr="00E55367">
        <w:rPr>
          <w:rFonts w:ascii="Verdana" w:hAnsi="Verdana"/>
          <w:sz w:val="20"/>
          <w:szCs w:val="20"/>
        </w:rPr>
        <w:t xml:space="preserve"> pomimo wyraźnego sprzeciwu dziennikarzy wobec zobowiązania do ujawnienia materiałów umożliwiających identyfikację </w:t>
      </w:r>
      <w:r w:rsidR="001F1A13" w:rsidRPr="00E55367">
        <w:rPr>
          <w:rFonts w:ascii="Verdana" w:hAnsi="Verdana"/>
          <w:sz w:val="20"/>
          <w:szCs w:val="20"/>
        </w:rPr>
        <w:t xml:space="preserve">poufnych </w:t>
      </w:r>
      <w:r w:rsidRPr="00E55367">
        <w:rPr>
          <w:rFonts w:ascii="Verdana" w:hAnsi="Verdana"/>
          <w:sz w:val="20"/>
          <w:szCs w:val="20"/>
        </w:rPr>
        <w:t>źródeł informacji.</w:t>
      </w:r>
    </w:p>
    <w:p w14:paraId="78D73531" w14:textId="0CA8DAA4" w:rsidR="00B13EDC" w:rsidRPr="00E55367" w:rsidRDefault="00797BF0">
      <w:pPr>
        <w:pStyle w:val="TreA"/>
        <w:jc w:val="both"/>
        <w:rPr>
          <w:rFonts w:ascii="Verdana" w:hAnsi="Verdana"/>
          <w:color w:val="0076BA"/>
          <w:sz w:val="20"/>
          <w:szCs w:val="20"/>
          <w:u w:color="0076BA"/>
        </w:rPr>
      </w:pPr>
      <w:r w:rsidRPr="00E55367">
        <w:rPr>
          <w:rFonts w:ascii="Verdana" w:hAnsi="Verdana"/>
          <w:color w:val="0076BA"/>
          <w:sz w:val="20"/>
          <w:szCs w:val="20"/>
          <w:u w:color="0076BA"/>
        </w:rPr>
        <w:t xml:space="preserve">Trybunał uznał w szczególności, że ingerencja w prawo </w:t>
      </w:r>
      <w:r w:rsidR="001F1A13" w:rsidRPr="00E55367">
        <w:rPr>
          <w:rFonts w:ascii="Verdana" w:hAnsi="Verdana"/>
          <w:color w:val="0076BA"/>
          <w:sz w:val="20"/>
          <w:szCs w:val="20"/>
          <w:u w:color="0076BA"/>
        </w:rPr>
        <w:t xml:space="preserve">wydawnictwa skarżącego </w:t>
      </w:r>
      <w:r w:rsidRPr="00E55367">
        <w:rPr>
          <w:rFonts w:ascii="Verdana" w:hAnsi="Verdana"/>
          <w:color w:val="0076BA"/>
          <w:sz w:val="20"/>
          <w:szCs w:val="20"/>
          <w:u w:color="0076BA"/>
        </w:rPr>
        <w:t xml:space="preserve">do swobody wyrażania opinii nie była „przewidziana przez prawo”, ponieważ nie istniała procedura zapewniająca odpowiednią ochronę prawną </w:t>
      </w:r>
      <w:r w:rsidR="001F1A13" w:rsidRPr="00E55367">
        <w:rPr>
          <w:rFonts w:ascii="Verdana" w:hAnsi="Verdana"/>
          <w:color w:val="0076BA"/>
          <w:sz w:val="20"/>
          <w:szCs w:val="20"/>
          <w:u w:color="0076BA"/>
        </w:rPr>
        <w:t xml:space="preserve">firmy skarżącego </w:t>
      </w:r>
      <w:r w:rsidRPr="00E55367">
        <w:rPr>
          <w:rFonts w:ascii="Verdana" w:hAnsi="Verdana"/>
          <w:color w:val="0076BA"/>
          <w:sz w:val="20"/>
          <w:szCs w:val="20"/>
          <w:u w:color="0076BA"/>
        </w:rPr>
        <w:t xml:space="preserve">poprzez umożliwienie </w:t>
      </w:r>
      <w:r w:rsidR="001F1A13" w:rsidRPr="00E55367">
        <w:rPr>
          <w:rFonts w:ascii="Verdana" w:hAnsi="Verdana"/>
          <w:color w:val="0076BA"/>
          <w:sz w:val="20"/>
          <w:szCs w:val="20"/>
          <w:u w:color="0076BA"/>
        </w:rPr>
        <w:t>niezależnej oceny</w:t>
      </w:r>
      <w:r w:rsidRPr="00E55367">
        <w:rPr>
          <w:rFonts w:ascii="Verdana" w:hAnsi="Verdana"/>
          <w:color w:val="0076BA"/>
          <w:sz w:val="20"/>
          <w:szCs w:val="20"/>
          <w:u w:color="0076BA"/>
        </w:rPr>
        <w:t xml:space="preserve">, czy interes postępowania przygotowawczego przeważał nad interesem publicznym w zakresie ochrony dziennikarskich źródeł informacji. W związku z tym doszło do </w:t>
      </w:r>
      <w:r w:rsidRPr="00E55367">
        <w:rPr>
          <w:rFonts w:ascii="Verdana" w:hAnsi="Verdana"/>
          <w:b/>
          <w:bCs/>
          <w:color w:val="0076BA"/>
          <w:sz w:val="20"/>
          <w:szCs w:val="20"/>
          <w:u w:color="0076BA"/>
        </w:rPr>
        <w:t>naruszenia</w:t>
      </w:r>
      <w:r w:rsidRPr="00E55367">
        <w:rPr>
          <w:rFonts w:ascii="Verdana" w:hAnsi="Verdana"/>
          <w:color w:val="0076BA"/>
          <w:sz w:val="20"/>
          <w:szCs w:val="20"/>
          <w:u w:color="0076BA"/>
        </w:rPr>
        <w:t xml:space="preserve"> </w:t>
      </w:r>
      <w:r w:rsidRPr="00E55367">
        <w:rPr>
          <w:rFonts w:ascii="Verdana" w:hAnsi="Verdana"/>
          <w:b/>
          <w:bCs/>
          <w:color w:val="0076BA"/>
          <w:sz w:val="20"/>
          <w:szCs w:val="20"/>
          <w:u w:color="0076BA"/>
        </w:rPr>
        <w:t>art. 10</w:t>
      </w:r>
      <w:r w:rsidRPr="00E55367">
        <w:rPr>
          <w:rFonts w:ascii="Verdana" w:hAnsi="Verdana"/>
          <w:color w:val="0076BA"/>
          <w:sz w:val="20"/>
          <w:szCs w:val="20"/>
          <w:u w:color="0076BA"/>
        </w:rPr>
        <w:t xml:space="preserve"> Konwencji.</w:t>
      </w:r>
    </w:p>
    <w:p w14:paraId="433EBCD5" w14:textId="2B4B0D91" w:rsidR="00B13EDC" w:rsidRPr="003D7525" w:rsidRDefault="00797BF0" w:rsidP="00E55367">
      <w:pPr>
        <w:pStyle w:val="TreA"/>
        <w:spacing w:before="120"/>
        <w:rPr>
          <w:rFonts w:ascii="Verdana" w:hAnsi="Verdana"/>
          <w:b/>
          <w:bCs/>
          <w:color w:val="0070C0"/>
          <w:sz w:val="20"/>
          <w:szCs w:val="20"/>
          <w:u w:val="single" w:color="0076BA"/>
        </w:rPr>
      </w:pPr>
      <w:hyperlink r:id="rId14" w:history="1">
        <w:r w:rsidRPr="003D7525">
          <w:rPr>
            <w:rStyle w:val="Hipercze"/>
            <w:rFonts w:ascii="Verdana" w:hAnsi="Verdana"/>
            <w:b/>
            <w:bCs/>
            <w:color w:val="0070C0"/>
            <w:sz w:val="20"/>
            <w:szCs w:val="20"/>
          </w:rPr>
          <w:t>Telegraaf Media Nederland Landelijke Media B.V. i Inni przeciwko Holandii</w:t>
        </w:r>
      </w:hyperlink>
    </w:p>
    <w:p w14:paraId="58DF1EB4" w14:textId="77777777" w:rsidR="00B13EDC" w:rsidRPr="003D7525" w:rsidRDefault="00797BF0">
      <w:pPr>
        <w:pStyle w:val="TreA"/>
        <w:rPr>
          <w:rFonts w:ascii="Verdana" w:hAnsi="Verdana"/>
          <w:color w:val="929292"/>
          <w:sz w:val="18"/>
          <w:szCs w:val="18"/>
          <w:u w:color="929292"/>
        </w:rPr>
      </w:pPr>
      <w:r w:rsidRPr="003D7525">
        <w:rPr>
          <w:rFonts w:ascii="Verdana" w:hAnsi="Verdana"/>
          <w:color w:val="929292"/>
          <w:sz w:val="18"/>
          <w:szCs w:val="18"/>
          <w:u w:color="929292"/>
        </w:rPr>
        <w:t xml:space="preserve">22 listopada 2012 r. </w:t>
      </w:r>
    </w:p>
    <w:p w14:paraId="02A9CBBE" w14:textId="3EFF4763" w:rsidR="00B13EDC" w:rsidRPr="00E55367" w:rsidRDefault="00797BF0">
      <w:pPr>
        <w:pStyle w:val="TreA"/>
        <w:jc w:val="both"/>
        <w:rPr>
          <w:rFonts w:ascii="Verdana" w:hAnsi="Verdana"/>
          <w:sz w:val="20"/>
          <w:szCs w:val="20"/>
        </w:rPr>
      </w:pPr>
      <w:r w:rsidRPr="00E55367">
        <w:rPr>
          <w:rFonts w:ascii="Verdana" w:hAnsi="Verdana"/>
          <w:sz w:val="20"/>
          <w:szCs w:val="20"/>
        </w:rPr>
        <w:t xml:space="preserve">Skarżący – spółka z ograniczoną odpowiedzialnością prawa holenderskiego, wydawca ogólnokrajowego dziennika „De Telegraaf” oraz </w:t>
      </w:r>
      <w:r w:rsidR="006B79DD" w:rsidRPr="00E55367">
        <w:rPr>
          <w:rFonts w:ascii="Verdana" w:hAnsi="Verdana"/>
          <w:sz w:val="20"/>
          <w:szCs w:val="20"/>
        </w:rPr>
        <w:t>dwaj dziennikarze</w:t>
      </w:r>
      <w:r w:rsidRPr="00E55367">
        <w:rPr>
          <w:rFonts w:ascii="Verdana" w:hAnsi="Verdana"/>
          <w:sz w:val="20"/>
          <w:szCs w:val="20"/>
        </w:rPr>
        <w:t xml:space="preserve"> – skarżyli się na zobowiązanie do wydania dokumentów, które mogłyby ujawnić dziennikarskie źródła informacji oraz na skorzystanie przez państwo z uprawnień szczególnych.</w:t>
      </w:r>
    </w:p>
    <w:p w14:paraId="3BBDBB8C" w14:textId="68E88080" w:rsidR="00E55367" w:rsidRDefault="00797BF0" w:rsidP="00780781">
      <w:pPr>
        <w:pStyle w:val="TreA"/>
        <w:jc w:val="both"/>
        <w:rPr>
          <w:rFonts w:ascii="Verdana" w:hAnsi="Verdana"/>
          <w:color w:val="0076BA"/>
          <w:sz w:val="20"/>
          <w:szCs w:val="20"/>
          <w:u w:color="0076BA"/>
        </w:rPr>
      </w:pPr>
      <w:r w:rsidRPr="00E55367">
        <w:rPr>
          <w:rFonts w:ascii="Verdana" w:hAnsi="Verdana"/>
          <w:color w:val="0076BA"/>
          <w:sz w:val="20"/>
          <w:szCs w:val="20"/>
          <w:u w:color="0076BA"/>
        </w:rPr>
        <w:t xml:space="preserve">Trybunał uznał, że doszło do </w:t>
      </w:r>
      <w:r w:rsidRPr="00E55367">
        <w:rPr>
          <w:rFonts w:ascii="Verdana" w:hAnsi="Verdana"/>
          <w:b/>
          <w:bCs/>
          <w:color w:val="0076BA"/>
          <w:sz w:val="20"/>
          <w:szCs w:val="20"/>
          <w:u w:color="0076BA"/>
        </w:rPr>
        <w:t>naruszenia art. 8</w:t>
      </w:r>
      <w:r w:rsidRPr="00E55367">
        <w:rPr>
          <w:rFonts w:ascii="Verdana" w:hAnsi="Verdana"/>
          <w:color w:val="0076BA"/>
          <w:sz w:val="20"/>
          <w:szCs w:val="20"/>
          <w:u w:color="0076BA"/>
        </w:rPr>
        <w:t xml:space="preserve"> (prawo do poszanowania życia prywatnego) oraz </w:t>
      </w:r>
      <w:r w:rsidRPr="00E55367">
        <w:rPr>
          <w:rFonts w:ascii="Verdana" w:hAnsi="Verdana"/>
          <w:b/>
          <w:bCs/>
          <w:color w:val="0076BA"/>
          <w:sz w:val="20"/>
          <w:szCs w:val="20"/>
          <w:u w:color="0076BA"/>
        </w:rPr>
        <w:t>art. 10</w:t>
      </w:r>
      <w:r w:rsidRPr="00E55367">
        <w:rPr>
          <w:rFonts w:ascii="Verdana" w:hAnsi="Verdana"/>
          <w:color w:val="0076BA"/>
          <w:sz w:val="20"/>
          <w:szCs w:val="20"/>
          <w:u w:color="0076BA"/>
        </w:rPr>
        <w:t xml:space="preserve"> Konwencji w odniesieniu do dwóch dziennikarzy, stwierdzając w</w:t>
      </w:r>
      <w:r w:rsidR="00283B94" w:rsidRPr="00E55367">
        <w:rPr>
          <w:rFonts w:ascii="Verdana" w:hAnsi="Verdana"/>
          <w:color w:val="0076BA"/>
          <w:sz w:val="20"/>
          <w:szCs w:val="20"/>
          <w:u w:color="0076BA"/>
        </w:rPr>
        <w:t> </w:t>
      </w:r>
      <w:r w:rsidRPr="00E55367">
        <w:rPr>
          <w:rFonts w:ascii="Verdana" w:hAnsi="Verdana"/>
          <w:color w:val="0076BA"/>
          <w:sz w:val="20"/>
          <w:szCs w:val="20"/>
          <w:u w:color="0076BA"/>
        </w:rPr>
        <w:t xml:space="preserve">szczególności, że właściwe prawo w Holandii nie zapewniało odpowiednich gwarancji w odniesieniu do zastosowanego wobec skarżących uprawnienia do inwigilacji w celu odkrycia ich dziennikarskich źródeł informacji. Trybunał uznał ponadto, że doszło do </w:t>
      </w:r>
      <w:r w:rsidRPr="00E55367">
        <w:rPr>
          <w:rFonts w:ascii="Verdana" w:hAnsi="Verdana"/>
          <w:b/>
          <w:bCs/>
          <w:color w:val="0076BA"/>
          <w:sz w:val="20"/>
          <w:szCs w:val="20"/>
          <w:u w:color="0076BA"/>
        </w:rPr>
        <w:t xml:space="preserve">naruszenia art. 10 </w:t>
      </w:r>
      <w:r w:rsidRPr="00E55367">
        <w:rPr>
          <w:rFonts w:ascii="Verdana" w:hAnsi="Verdana"/>
          <w:color w:val="0076BA"/>
          <w:sz w:val="20"/>
          <w:szCs w:val="20"/>
          <w:u w:color="0076BA"/>
        </w:rPr>
        <w:t xml:space="preserve">w odniesieniu do nakazu wydania dokumentów </w:t>
      </w:r>
      <w:r w:rsidR="006B79DD" w:rsidRPr="00E55367">
        <w:rPr>
          <w:rFonts w:ascii="Verdana" w:hAnsi="Verdana"/>
          <w:color w:val="0076BA"/>
          <w:sz w:val="20"/>
          <w:szCs w:val="20"/>
          <w:u w:color="0076BA"/>
        </w:rPr>
        <w:t xml:space="preserve">adresowanych </w:t>
      </w:r>
      <w:r w:rsidRPr="00E55367">
        <w:rPr>
          <w:rFonts w:ascii="Verdana" w:hAnsi="Verdana"/>
          <w:color w:val="0076BA"/>
          <w:sz w:val="20"/>
          <w:szCs w:val="20"/>
          <w:u w:color="0076BA"/>
        </w:rPr>
        <w:t xml:space="preserve">do wydawnictwa. Potwierdził </w:t>
      </w:r>
      <w:r w:rsidR="006B79DD" w:rsidRPr="00E55367">
        <w:rPr>
          <w:rFonts w:ascii="Verdana" w:hAnsi="Verdana"/>
          <w:color w:val="0076BA"/>
          <w:sz w:val="20"/>
          <w:szCs w:val="20"/>
          <w:u w:color="0076BA"/>
        </w:rPr>
        <w:t xml:space="preserve">w szczególności </w:t>
      </w:r>
      <w:r w:rsidRPr="00E55367">
        <w:rPr>
          <w:rFonts w:ascii="Verdana" w:hAnsi="Verdana"/>
          <w:color w:val="0076BA"/>
          <w:sz w:val="20"/>
          <w:szCs w:val="20"/>
          <w:u w:color="0076BA"/>
        </w:rPr>
        <w:t xml:space="preserve">znaczenie ochrony dziennikarskich źródeł </w:t>
      </w:r>
      <w:r w:rsidR="006B79DD" w:rsidRPr="00E55367">
        <w:rPr>
          <w:rFonts w:ascii="Verdana" w:hAnsi="Verdana"/>
          <w:color w:val="0076BA"/>
          <w:sz w:val="20"/>
          <w:szCs w:val="20"/>
          <w:u w:color="0076BA"/>
        </w:rPr>
        <w:t xml:space="preserve">informacji </w:t>
      </w:r>
      <w:r w:rsidRPr="00E55367">
        <w:rPr>
          <w:rFonts w:ascii="Verdana" w:hAnsi="Verdana"/>
          <w:color w:val="0076BA"/>
          <w:sz w:val="20"/>
          <w:szCs w:val="20"/>
          <w:u w:color="0076BA"/>
        </w:rPr>
        <w:t xml:space="preserve">dla wolności prasy w społeczeństwie demokratycznym oraz </w:t>
      </w:r>
      <w:r w:rsidR="00FA7D9E" w:rsidRPr="00E55367">
        <w:rPr>
          <w:rFonts w:ascii="Verdana" w:hAnsi="Verdana"/>
          <w:color w:val="0076BA"/>
          <w:sz w:val="20"/>
          <w:szCs w:val="20"/>
          <w:u w:color="0076BA"/>
        </w:rPr>
        <w:t xml:space="preserve">potencjalny efekt </w:t>
      </w:r>
      <w:r w:rsidRPr="00E55367">
        <w:rPr>
          <w:rFonts w:ascii="Verdana" w:hAnsi="Verdana"/>
          <w:color w:val="0076BA"/>
          <w:sz w:val="20"/>
          <w:szCs w:val="20"/>
          <w:u w:color="0076BA"/>
        </w:rPr>
        <w:t>mrożąc</w:t>
      </w:r>
      <w:r w:rsidR="00FA7D9E" w:rsidRPr="00E55367">
        <w:rPr>
          <w:rFonts w:ascii="Verdana" w:hAnsi="Verdana"/>
          <w:color w:val="0076BA"/>
          <w:sz w:val="20"/>
          <w:szCs w:val="20"/>
          <w:u w:color="0076BA"/>
        </w:rPr>
        <w:t>y,</w:t>
      </w:r>
      <w:r w:rsidRPr="00E55367">
        <w:rPr>
          <w:rFonts w:ascii="Verdana" w:hAnsi="Verdana"/>
          <w:color w:val="0076BA"/>
          <w:sz w:val="20"/>
          <w:szCs w:val="20"/>
          <w:u w:color="0076BA"/>
        </w:rPr>
        <w:t xml:space="preserve"> jaki nakaz ujawnienia źródła może mieć </w:t>
      </w:r>
      <w:r w:rsidR="00FA7D9E" w:rsidRPr="00E55367">
        <w:rPr>
          <w:rFonts w:ascii="Verdana" w:hAnsi="Verdana"/>
          <w:color w:val="0076BA"/>
          <w:sz w:val="20"/>
          <w:szCs w:val="20"/>
          <w:u w:color="0076BA"/>
        </w:rPr>
        <w:t>dla korzystania</w:t>
      </w:r>
      <w:r w:rsidRPr="00E55367">
        <w:rPr>
          <w:rFonts w:ascii="Verdana" w:hAnsi="Verdana"/>
          <w:color w:val="0076BA"/>
          <w:sz w:val="20"/>
          <w:szCs w:val="20"/>
          <w:u w:color="0076BA"/>
        </w:rPr>
        <w:t xml:space="preserve"> z tej wolności. Trybunał uznał, że potrzeba zidentyfikowania funkcjonariusza(-y) tajnych służb, który(-rzy) przekazał(-li) tajne dokumenty skarżącym, nie uzasadnia</w:t>
      </w:r>
      <w:r w:rsidR="00FA7D9E" w:rsidRPr="00E55367">
        <w:rPr>
          <w:rFonts w:ascii="Verdana" w:hAnsi="Verdana"/>
          <w:color w:val="0076BA"/>
          <w:sz w:val="20"/>
          <w:szCs w:val="20"/>
          <w:u w:color="0076BA"/>
        </w:rPr>
        <w:t>ł</w:t>
      </w:r>
      <w:r w:rsidR="003E14D1" w:rsidRPr="00E55367">
        <w:rPr>
          <w:rFonts w:ascii="Verdana" w:hAnsi="Verdana"/>
          <w:color w:val="0076BA"/>
          <w:sz w:val="20"/>
          <w:szCs w:val="20"/>
          <w:u w:color="0076BA"/>
        </w:rPr>
        <w:t>a</w:t>
      </w:r>
      <w:r w:rsidRPr="00E55367">
        <w:rPr>
          <w:rFonts w:ascii="Verdana" w:hAnsi="Verdana"/>
          <w:color w:val="0076BA"/>
          <w:sz w:val="20"/>
          <w:szCs w:val="20"/>
          <w:u w:color="0076BA"/>
        </w:rPr>
        <w:t xml:space="preserve"> </w:t>
      </w:r>
      <w:r w:rsidR="00FA7D9E" w:rsidRPr="00E55367">
        <w:rPr>
          <w:rFonts w:ascii="Verdana" w:hAnsi="Verdana"/>
          <w:color w:val="0076BA"/>
          <w:sz w:val="20"/>
          <w:szCs w:val="20"/>
          <w:u w:color="0076BA"/>
        </w:rPr>
        <w:t xml:space="preserve">nakazu </w:t>
      </w:r>
      <w:r w:rsidRPr="00E55367">
        <w:rPr>
          <w:rFonts w:ascii="Verdana" w:hAnsi="Verdana"/>
          <w:color w:val="0076BA"/>
          <w:sz w:val="20"/>
          <w:szCs w:val="20"/>
          <w:u w:color="0076BA"/>
        </w:rPr>
        <w:t>wydania</w:t>
      </w:r>
      <w:r w:rsidR="00FA7D9E" w:rsidRPr="00E55367">
        <w:rPr>
          <w:rFonts w:ascii="Verdana" w:hAnsi="Verdana"/>
          <w:color w:val="0076BA"/>
          <w:sz w:val="20"/>
          <w:szCs w:val="20"/>
          <w:u w:color="0076BA"/>
        </w:rPr>
        <w:t xml:space="preserve"> tych dokumentów</w:t>
      </w:r>
      <w:r w:rsidRPr="00E55367">
        <w:rPr>
          <w:rFonts w:ascii="Verdana" w:hAnsi="Verdana"/>
          <w:color w:val="0076BA"/>
          <w:sz w:val="20"/>
          <w:szCs w:val="20"/>
          <w:u w:color="0076BA"/>
        </w:rPr>
        <w:t>.</w:t>
      </w:r>
    </w:p>
    <w:p w14:paraId="3EED4CBB" w14:textId="77777777" w:rsidR="00780781" w:rsidRPr="00780781" w:rsidRDefault="00780781" w:rsidP="00780781">
      <w:pPr>
        <w:pStyle w:val="TreA"/>
        <w:jc w:val="both"/>
        <w:rPr>
          <w:rFonts w:ascii="Verdana" w:hAnsi="Verdana"/>
          <w:color w:val="0076BA"/>
          <w:sz w:val="20"/>
          <w:szCs w:val="20"/>
          <w:u w:color="0076BA"/>
        </w:rPr>
      </w:pPr>
    </w:p>
    <w:p w14:paraId="1A766AD7" w14:textId="0C66F499" w:rsidR="00B13EDC" w:rsidRPr="00E55367" w:rsidRDefault="00797BF0" w:rsidP="00E55367">
      <w:pPr>
        <w:pStyle w:val="TreA"/>
        <w:spacing w:before="120"/>
        <w:rPr>
          <w:rFonts w:ascii="Verdana" w:hAnsi="Verdana"/>
          <w:b/>
          <w:bCs/>
          <w:color w:val="0076BA"/>
          <w:sz w:val="20"/>
          <w:szCs w:val="20"/>
          <w:u w:val="single" w:color="0076BA"/>
        </w:rPr>
      </w:pPr>
      <w:hyperlink r:id="rId15" w:history="1">
        <w:r w:rsidRPr="003D7525">
          <w:rPr>
            <w:rStyle w:val="Hipercze"/>
            <w:rFonts w:ascii="Verdana" w:hAnsi="Verdana"/>
            <w:b/>
            <w:bCs/>
            <w:color w:val="0070C0"/>
            <w:sz w:val="20"/>
            <w:szCs w:val="20"/>
          </w:rPr>
          <w:t>Becker przeciwko Norwegii</w:t>
        </w:r>
      </w:hyperlink>
    </w:p>
    <w:p w14:paraId="4BED8974" w14:textId="77777777" w:rsidR="00B13EDC" w:rsidRPr="003D7525" w:rsidRDefault="00797BF0">
      <w:pPr>
        <w:pStyle w:val="TreA"/>
        <w:rPr>
          <w:rFonts w:ascii="Verdana" w:hAnsi="Verdana"/>
          <w:color w:val="929292"/>
          <w:sz w:val="18"/>
          <w:szCs w:val="18"/>
          <w:u w:color="929292"/>
        </w:rPr>
      </w:pPr>
      <w:r w:rsidRPr="003D7525">
        <w:rPr>
          <w:rFonts w:ascii="Verdana" w:hAnsi="Verdana"/>
          <w:color w:val="929292"/>
          <w:sz w:val="18"/>
          <w:szCs w:val="18"/>
          <w:u w:color="929292"/>
        </w:rPr>
        <w:t>5 października 2017 r.</w:t>
      </w:r>
    </w:p>
    <w:p w14:paraId="72BF0EB0" w14:textId="1C1A694A" w:rsidR="00B13EDC" w:rsidRPr="00E55367" w:rsidRDefault="00797BF0">
      <w:pPr>
        <w:pStyle w:val="TreA"/>
        <w:jc w:val="both"/>
        <w:rPr>
          <w:rFonts w:ascii="Verdana" w:hAnsi="Verdana"/>
          <w:sz w:val="20"/>
          <w:szCs w:val="20"/>
        </w:rPr>
      </w:pPr>
      <w:r w:rsidRPr="00E55367">
        <w:rPr>
          <w:rFonts w:ascii="Verdana" w:hAnsi="Verdana"/>
          <w:sz w:val="20"/>
          <w:szCs w:val="20"/>
        </w:rPr>
        <w:t xml:space="preserve">Sprawa dotyczyła dziennikarki, którą zobowiązano do złożenia zeznań w sprawie karnej </w:t>
      </w:r>
      <w:r w:rsidR="00383AE3" w:rsidRPr="00E55367">
        <w:rPr>
          <w:rFonts w:ascii="Verdana" w:hAnsi="Verdana"/>
          <w:sz w:val="20"/>
          <w:szCs w:val="20"/>
        </w:rPr>
        <w:t>przeciwko jednemu</w:t>
      </w:r>
      <w:r w:rsidRPr="00E55367">
        <w:rPr>
          <w:rFonts w:ascii="Verdana" w:hAnsi="Verdana"/>
          <w:sz w:val="20"/>
          <w:szCs w:val="20"/>
        </w:rPr>
        <w:t xml:space="preserve"> z jej źródeł, p. X, </w:t>
      </w:r>
      <w:r w:rsidR="003E14D1" w:rsidRPr="00E55367">
        <w:rPr>
          <w:rFonts w:ascii="Verdana" w:hAnsi="Verdana"/>
          <w:sz w:val="20"/>
          <w:szCs w:val="20"/>
        </w:rPr>
        <w:t xml:space="preserve">o </w:t>
      </w:r>
      <w:r w:rsidRPr="00E55367">
        <w:rPr>
          <w:rFonts w:ascii="Verdana" w:hAnsi="Verdana"/>
          <w:sz w:val="20"/>
          <w:szCs w:val="20"/>
        </w:rPr>
        <w:t>manipulacj</w:t>
      </w:r>
      <w:r w:rsidR="003E14D1" w:rsidRPr="00E55367">
        <w:rPr>
          <w:rFonts w:ascii="Verdana" w:hAnsi="Verdana"/>
          <w:sz w:val="20"/>
          <w:szCs w:val="20"/>
        </w:rPr>
        <w:t>e</w:t>
      </w:r>
      <w:r w:rsidRPr="00E55367">
        <w:rPr>
          <w:rFonts w:ascii="Verdana" w:hAnsi="Verdana"/>
          <w:sz w:val="20"/>
          <w:szCs w:val="20"/>
        </w:rPr>
        <w:t xml:space="preserve"> </w:t>
      </w:r>
      <w:r w:rsidR="00383AE3" w:rsidRPr="00E55367">
        <w:rPr>
          <w:rFonts w:ascii="Verdana" w:hAnsi="Verdana"/>
          <w:sz w:val="20"/>
          <w:szCs w:val="20"/>
        </w:rPr>
        <w:t>rynkow</w:t>
      </w:r>
      <w:r w:rsidR="003E14D1" w:rsidRPr="00E55367">
        <w:rPr>
          <w:rFonts w:ascii="Verdana" w:hAnsi="Verdana"/>
          <w:sz w:val="20"/>
          <w:szCs w:val="20"/>
        </w:rPr>
        <w:t>e</w:t>
      </w:r>
      <w:r w:rsidRPr="00E55367">
        <w:rPr>
          <w:rFonts w:ascii="Verdana" w:hAnsi="Verdana"/>
          <w:sz w:val="20"/>
          <w:szCs w:val="20"/>
        </w:rPr>
        <w:t xml:space="preserve">. Pan X potwierdził </w:t>
      </w:r>
      <w:r w:rsidR="003E14D1" w:rsidRPr="00E55367">
        <w:rPr>
          <w:rFonts w:ascii="Verdana" w:hAnsi="Verdana"/>
          <w:sz w:val="20"/>
          <w:szCs w:val="20"/>
        </w:rPr>
        <w:t xml:space="preserve">na </w:t>
      </w:r>
      <w:r w:rsidRPr="00E55367">
        <w:rPr>
          <w:rFonts w:ascii="Verdana" w:hAnsi="Verdana"/>
          <w:sz w:val="20"/>
          <w:szCs w:val="20"/>
        </w:rPr>
        <w:t xml:space="preserve">policji, że stanowił źródło informacji skarżącej </w:t>
      </w:r>
      <w:r w:rsidR="00383AE3" w:rsidRPr="00E55367">
        <w:rPr>
          <w:rFonts w:ascii="Verdana" w:hAnsi="Verdana"/>
          <w:sz w:val="20"/>
          <w:szCs w:val="20"/>
        </w:rPr>
        <w:t>do</w:t>
      </w:r>
      <w:r w:rsidRPr="00E55367">
        <w:rPr>
          <w:rFonts w:ascii="Verdana" w:hAnsi="Verdana"/>
          <w:sz w:val="20"/>
          <w:szCs w:val="20"/>
        </w:rPr>
        <w:t xml:space="preserve"> </w:t>
      </w:r>
      <w:r w:rsidR="00383AE3" w:rsidRPr="00E55367">
        <w:rPr>
          <w:rFonts w:ascii="Verdana" w:hAnsi="Verdana"/>
          <w:sz w:val="20"/>
          <w:szCs w:val="20"/>
        </w:rPr>
        <w:t>napisanego przez nią w</w:t>
      </w:r>
      <w:r w:rsidRPr="00E55367">
        <w:rPr>
          <w:rFonts w:ascii="Verdana" w:hAnsi="Verdana"/>
          <w:sz w:val="20"/>
          <w:szCs w:val="20"/>
        </w:rPr>
        <w:t xml:space="preserve"> 2007 r.</w:t>
      </w:r>
      <w:r w:rsidR="00383AE3" w:rsidRPr="00E55367">
        <w:rPr>
          <w:rFonts w:ascii="Verdana" w:hAnsi="Verdana"/>
          <w:sz w:val="20"/>
          <w:szCs w:val="20"/>
        </w:rPr>
        <w:t xml:space="preserve"> artykułu o rzekomej trudnej sytuacji finansowej</w:t>
      </w:r>
      <w:r w:rsidRPr="00E55367">
        <w:rPr>
          <w:rFonts w:ascii="Verdana" w:hAnsi="Verdana"/>
          <w:sz w:val="20"/>
          <w:szCs w:val="20"/>
        </w:rPr>
        <w:t xml:space="preserve"> norwesk</w:t>
      </w:r>
      <w:r w:rsidR="00383AE3" w:rsidRPr="00E55367">
        <w:rPr>
          <w:rFonts w:ascii="Verdana" w:hAnsi="Verdana"/>
          <w:sz w:val="20"/>
          <w:szCs w:val="20"/>
        </w:rPr>
        <w:t>iej firmy</w:t>
      </w:r>
      <w:r w:rsidRPr="00E55367">
        <w:rPr>
          <w:rFonts w:ascii="Verdana" w:hAnsi="Verdana"/>
          <w:sz w:val="20"/>
          <w:szCs w:val="20"/>
        </w:rPr>
        <w:t xml:space="preserve"> </w:t>
      </w:r>
      <w:r w:rsidR="00383AE3" w:rsidRPr="00E55367">
        <w:rPr>
          <w:rFonts w:ascii="Verdana" w:hAnsi="Verdana"/>
          <w:sz w:val="20"/>
          <w:szCs w:val="20"/>
        </w:rPr>
        <w:t>paliwowej</w:t>
      </w:r>
      <w:r w:rsidR="003E14D1" w:rsidRPr="00E55367">
        <w:rPr>
          <w:rFonts w:ascii="Verdana" w:hAnsi="Verdana"/>
          <w:sz w:val="20"/>
          <w:szCs w:val="20"/>
        </w:rPr>
        <w:t xml:space="preserve"> (</w:t>
      </w:r>
      <w:r w:rsidR="003E14D1" w:rsidRPr="00E55367">
        <w:rPr>
          <w:rFonts w:ascii="Verdana" w:hAnsi="Verdana"/>
          <w:i/>
          <w:iCs/>
          <w:sz w:val="20"/>
          <w:szCs w:val="20"/>
        </w:rPr>
        <w:t>Norwegian Oil Company</w:t>
      </w:r>
      <w:r w:rsidR="003E14D1" w:rsidRPr="00E55367">
        <w:rPr>
          <w:rFonts w:ascii="Verdana" w:hAnsi="Verdana"/>
          <w:sz w:val="20"/>
          <w:szCs w:val="20"/>
        </w:rPr>
        <w:t>)</w:t>
      </w:r>
      <w:r w:rsidRPr="00E55367">
        <w:rPr>
          <w:rFonts w:ascii="Verdana" w:hAnsi="Verdana"/>
          <w:sz w:val="20"/>
          <w:szCs w:val="20"/>
        </w:rPr>
        <w:t xml:space="preserve">. Następnie zarzucono mu wykorzystanie skarżącej do manipulacji na rynku finansowym. Skarżąca odmówiła składania zeznań na </w:t>
      </w:r>
      <w:r w:rsidR="003E14D1" w:rsidRPr="00E55367">
        <w:rPr>
          <w:rFonts w:ascii="Verdana" w:hAnsi="Verdana"/>
          <w:sz w:val="20"/>
          <w:szCs w:val="20"/>
        </w:rPr>
        <w:t>wszystkich etapach</w:t>
      </w:r>
      <w:r w:rsidRPr="00E55367">
        <w:rPr>
          <w:rFonts w:ascii="Verdana" w:hAnsi="Verdana"/>
          <w:sz w:val="20"/>
          <w:szCs w:val="20"/>
        </w:rPr>
        <w:t xml:space="preserve"> postępowania przeciwko p. X. W związku z tym sądy zobowiązały ją do złożenia zeznań na temat kontaktów z nim stwierdzając, że </w:t>
      </w:r>
      <w:r w:rsidR="009B150C" w:rsidRPr="00E55367">
        <w:rPr>
          <w:rFonts w:ascii="Verdana" w:hAnsi="Verdana"/>
          <w:sz w:val="20"/>
          <w:szCs w:val="20"/>
        </w:rPr>
        <w:t>brak jest chronionego źródła</w:t>
      </w:r>
      <w:r w:rsidRPr="00E55367">
        <w:rPr>
          <w:rFonts w:ascii="Verdana" w:hAnsi="Verdana"/>
          <w:sz w:val="20"/>
          <w:szCs w:val="20"/>
        </w:rPr>
        <w:t xml:space="preserve">, ponieważ </w:t>
      </w:r>
      <w:r w:rsidR="009B150C" w:rsidRPr="00E55367">
        <w:rPr>
          <w:rFonts w:ascii="Verdana" w:hAnsi="Verdana"/>
          <w:sz w:val="20"/>
          <w:szCs w:val="20"/>
        </w:rPr>
        <w:t xml:space="preserve">sam </w:t>
      </w:r>
      <w:r w:rsidRPr="00E55367">
        <w:rPr>
          <w:rFonts w:ascii="Verdana" w:hAnsi="Verdana"/>
          <w:sz w:val="20"/>
          <w:szCs w:val="20"/>
        </w:rPr>
        <w:t xml:space="preserve">już się ujawnił. Uznano również, że </w:t>
      </w:r>
      <w:r w:rsidR="009B150C" w:rsidRPr="00E55367">
        <w:rPr>
          <w:rFonts w:ascii="Verdana" w:hAnsi="Verdana"/>
          <w:sz w:val="20"/>
          <w:szCs w:val="20"/>
        </w:rPr>
        <w:t>jej zeznania</w:t>
      </w:r>
      <w:r w:rsidRPr="00E55367">
        <w:rPr>
          <w:rFonts w:ascii="Verdana" w:hAnsi="Verdana"/>
          <w:sz w:val="20"/>
          <w:szCs w:val="20"/>
        </w:rPr>
        <w:t xml:space="preserve"> mogą istotnie pomóc sądom w wyjaśnieniu sprawy. Pan X został jednak uznany za winnego popełnienia zarzucanego mu czynu jeszcze </w:t>
      </w:r>
      <w:r w:rsidR="00676F9D" w:rsidRPr="00E55367">
        <w:rPr>
          <w:rFonts w:ascii="Verdana" w:hAnsi="Verdana"/>
          <w:sz w:val="20"/>
          <w:szCs w:val="20"/>
        </w:rPr>
        <w:t xml:space="preserve">zanim została wydana ostateczna decyzja zobowiązująca ją do </w:t>
      </w:r>
      <w:r w:rsidRPr="00E55367">
        <w:rPr>
          <w:rFonts w:ascii="Verdana" w:hAnsi="Verdana"/>
          <w:sz w:val="20"/>
          <w:szCs w:val="20"/>
        </w:rPr>
        <w:t xml:space="preserve">złożenia zeznań. Skarżąca </w:t>
      </w:r>
      <w:r w:rsidR="00676F9D" w:rsidRPr="00E55367">
        <w:rPr>
          <w:rFonts w:ascii="Verdana" w:hAnsi="Verdana"/>
          <w:sz w:val="20"/>
          <w:szCs w:val="20"/>
        </w:rPr>
        <w:t>podważała</w:t>
      </w:r>
      <w:r w:rsidRPr="00E55367">
        <w:rPr>
          <w:rFonts w:ascii="Verdana" w:hAnsi="Verdana"/>
          <w:sz w:val="20"/>
          <w:szCs w:val="20"/>
        </w:rPr>
        <w:t xml:space="preserve"> </w:t>
      </w:r>
      <w:r w:rsidR="00676F9D" w:rsidRPr="00E55367">
        <w:rPr>
          <w:rFonts w:ascii="Verdana" w:hAnsi="Verdana"/>
          <w:sz w:val="20"/>
          <w:szCs w:val="20"/>
        </w:rPr>
        <w:t xml:space="preserve">decyzję </w:t>
      </w:r>
      <w:r w:rsidRPr="00E55367">
        <w:rPr>
          <w:rFonts w:ascii="Verdana" w:hAnsi="Verdana"/>
          <w:sz w:val="20"/>
          <w:szCs w:val="20"/>
        </w:rPr>
        <w:t>zobowiązując</w:t>
      </w:r>
      <w:r w:rsidR="00676F9D" w:rsidRPr="00E55367">
        <w:rPr>
          <w:rFonts w:ascii="Verdana" w:hAnsi="Verdana"/>
          <w:sz w:val="20"/>
          <w:szCs w:val="20"/>
        </w:rPr>
        <w:t>ą</w:t>
      </w:r>
      <w:r w:rsidRPr="00E55367">
        <w:rPr>
          <w:rFonts w:ascii="Verdana" w:hAnsi="Verdana"/>
          <w:sz w:val="20"/>
          <w:szCs w:val="20"/>
        </w:rPr>
        <w:t xml:space="preserve"> ją do złożenia zeznań </w:t>
      </w:r>
      <w:r w:rsidR="00676F9D" w:rsidRPr="00E55367">
        <w:rPr>
          <w:rFonts w:ascii="Verdana" w:hAnsi="Verdana"/>
          <w:sz w:val="20"/>
          <w:szCs w:val="20"/>
        </w:rPr>
        <w:t>na temat</w:t>
      </w:r>
      <w:r w:rsidRPr="00E55367">
        <w:rPr>
          <w:rFonts w:ascii="Verdana" w:hAnsi="Verdana"/>
          <w:sz w:val="20"/>
          <w:szCs w:val="20"/>
        </w:rPr>
        <w:t xml:space="preserve"> kontaktów </w:t>
      </w:r>
      <w:r w:rsidR="00676F9D" w:rsidRPr="00E55367">
        <w:rPr>
          <w:rFonts w:ascii="Verdana" w:hAnsi="Verdana"/>
          <w:sz w:val="20"/>
          <w:szCs w:val="20"/>
        </w:rPr>
        <w:t>z jej</w:t>
      </w:r>
      <w:r w:rsidRPr="00E55367">
        <w:rPr>
          <w:rFonts w:ascii="Verdana" w:hAnsi="Verdana"/>
          <w:sz w:val="20"/>
          <w:szCs w:val="20"/>
        </w:rPr>
        <w:t xml:space="preserve"> źródłem</w:t>
      </w:r>
      <w:r w:rsidR="00676F9D" w:rsidRPr="00E55367">
        <w:rPr>
          <w:rFonts w:ascii="Verdana" w:hAnsi="Verdana"/>
          <w:sz w:val="20"/>
          <w:szCs w:val="20"/>
        </w:rPr>
        <w:t>, zarzucając że</w:t>
      </w:r>
      <w:r w:rsidRPr="00E55367">
        <w:rPr>
          <w:rFonts w:ascii="Verdana" w:hAnsi="Verdana"/>
          <w:sz w:val="20"/>
          <w:szCs w:val="20"/>
        </w:rPr>
        <w:t xml:space="preserve"> najprawdopodobniej doprowadził</w:t>
      </w:r>
      <w:r w:rsidR="00676F9D" w:rsidRPr="00E55367">
        <w:rPr>
          <w:rFonts w:ascii="Verdana" w:hAnsi="Verdana"/>
          <w:sz w:val="20"/>
          <w:szCs w:val="20"/>
        </w:rPr>
        <w:t>o</w:t>
      </w:r>
      <w:r w:rsidRPr="00E55367">
        <w:rPr>
          <w:rFonts w:ascii="Verdana" w:hAnsi="Verdana"/>
          <w:sz w:val="20"/>
          <w:szCs w:val="20"/>
        </w:rPr>
        <w:t xml:space="preserve">by </w:t>
      </w:r>
      <w:r w:rsidR="00676F9D" w:rsidRPr="00E55367">
        <w:rPr>
          <w:rFonts w:ascii="Verdana" w:hAnsi="Verdana"/>
          <w:sz w:val="20"/>
          <w:szCs w:val="20"/>
        </w:rPr>
        <w:t xml:space="preserve">to </w:t>
      </w:r>
      <w:r w:rsidRPr="00E55367">
        <w:rPr>
          <w:rFonts w:ascii="Verdana" w:hAnsi="Verdana"/>
          <w:sz w:val="20"/>
          <w:szCs w:val="20"/>
        </w:rPr>
        <w:t xml:space="preserve">również do zidentyfikowania innych źródeł informacji. </w:t>
      </w:r>
      <w:r w:rsidR="00676F9D" w:rsidRPr="00E55367">
        <w:rPr>
          <w:rFonts w:ascii="Verdana" w:hAnsi="Verdana"/>
          <w:sz w:val="20"/>
          <w:szCs w:val="20"/>
        </w:rPr>
        <w:t xml:space="preserve">Podnosiła </w:t>
      </w:r>
      <w:r w:rsidRPr="00E55367">
        <w:rPr>
          <w:rFonts w:ascii="Verdana" w:hAnsi="Verdana"/>
          <w:sz w:val="20"/>
          <w:szCs w:val="20"/>
        </w:rPr>
        <w:t xml:space="preserve">także, że </w:t>
      </w:r>
      <w:r w:rsidR="00676F9D" w:rsidRPr="00E55367">
        <w:rPr>
          <w:rFonts w:ascii="Verdana" w:hAnsi="Verdana"/>
          <w:sz w:val="20"/>
          <w:szCs w:val="20"/>
        </w:rPr>
        <w:t xml:space="preserve">nie było </w:t>
      </w:r>
      <w:r w:rsidR="0081603E" w:rsidRPr="00E55367">
        <w:rPr>
          <w:rFonts w:ascii="Verdana" w:hAnsi="Verdana"/>
          <w:sz w:val="20"/>
          <w:szCs w:val="20"/>
        </w:rPr>
        <w:t xml:space="preserve">rzeczywistej </w:t>
      </w:r>
      <w:r w:rsidR="00676F9D" w:rsidRPr="00E55367">
        <w:rPr>
          <w:rFonts w:ascii="Verdana" w:hAnsi="Verdana"/>
          <w:sz w:val="20"/>
          <w:szCs w:val="20"/>
        </w:rPr>
        <w:t>potrzeby</w:t>
      </w:r>
      <w:r w:rsidR="0081603E" w:rsidRPr="00E55367">
        <w:rPr>
          <w:rFonts w:ascii="Verdana" w:hAnsi="Verdana"/>
          <w:sz w:val="20"/>
          <w:szCs w:val="20"/>
        </w:rPr>
        <w:t xml:space="preserve"> składania przez nią zeznań</w:t>
      </w:r>
      <w:r w:rsidRPr="00E55367">
        <w:rPr>
          <w:rFonts w:ascii="Verdana" w:hAnsi="Verdana"/>
          <w:sz w:val="20"/>
          <w:szCs w:val="20"/>
        </w:rPr>
        <w:t xml:space="preserve"> w sprawie </w:t>
      </w:r>
      <w:r w:rsidR="0081603E" w:rsidRPr="00E55367">
        <w:rPr>
          <w:rFonts w:ascii="Verdana" w:hAnsi="Verdana"/>
          <w:sz w:val="20"/>
          <w:szCs w:val="20"/>
        </w:rPr>
        <w:t>przeciwko</w:t>
      </w:r>
      <w:r w:rsidRPr="00E55367">
        <w:rPr>
          <w:rFonts w:ascii="Verdana" w:hAnsi="Verdana"/>
          <w:sz w:val="20"/>
          <w:szCs w:val="20"/>
        </w:rPr>
        <w:t xml:space="preserve"> jej źródł</w:t>
      </w:r>
      <w:r w:rsidR="0081603E" w:rsidRPr="00E55367">
        <w:rPr>
          <w:rFonts w:ascii="Verdana" w:hAnsi="Verdana"/>
          <w:sz w:val="20"/>
          <w:szCs w:val="20"/>
        </w:rPr>
        <w:t>u informacji</w:t>
      </w:r>
      <w:r w:rsidRPr="00E55367">
        <w:rPr>
          <w:rFonts w:ascii="Verdana" w:hAnsi="Verdana"/>
          <w:sz w:val="20"/>
          <w:szCs w:val="20"/>
        </w:rPr>
        <w:t>.</w:t>
      </w:r>
    </w:p>
    <w:p w14:paraId="26A37731" w14:textId="7D8B8CBD" w:rsidR="00B13EDC" w:rsidRDefault="00797BF0">
      <w:pPr>
        <w:pStyle w:val="TreA"/>
        <w:jc w:val="both"/>
        <w:rPr>
          <w:rFonts w:ascii="Verdana" w:hAnsi="Verdana"/>
          <w:color w:val="0076BA"/>
          <w:sz w:val="20"/>
          <w:szCs w:val="20"/>
          <w:u w:color="0076BA"/>
        </w:rPr>
      </w:pPr>
      <w:r w:rsidRPr="00E55367">
        <w:rPr>
          <w:rFonts w:ascii="Verdana" w:hAnsi="Verdana"/>
          <w:color w:val="0076BA"/>
          <w:sz w:val="20"/>
          <w:szCs w:val="20"/>
          <w:u w:color="0076BA"/>
        </w:rPr>
        <w:t xml:space="preserve">Trybunał uznał, że doszło do </w:t>
      </w:r>
      <w:r w:rsidRPr="00E55367">
        <w:rPr>
          <w:rFonts w:ascii="Verdana" w:hAnsi="Verdana"/>
          <w:b/>
          <w:bCs/>
          <w:color w:val="0076BA"/>
          <w:sz w:val="20"/>
          <w:szCs w:val="20"/>
          <w:u w:color="0076BA"/>
        </w:rPr>
        <w:t>naruszenia art. 10</w:t>
      </w:r>
      <w:r w:rsidRPr="00E55367">
        <w:rPr>
          <w:rFonts w:ascii="Verdana" w:hAnsi="Verdana"/>
          <w:color w:val="0076BA"/>
          <w:sz w:val="20"/>
          <w:szCs w:val="20"/>
          <w:u w:color="0076BA"/>
        </w:rPr>
        <w:t xml:space="preserve"> (wolnoś</w:t>
      </w:r>
      <w:r w:rsidR="003E14D1" w:rsidRPr="00E55367">
        <w:rPr>
          <w:rFonts w:ascii="Verdana" w:hAnsi="Verdana"/>
          <w:color w:val="0076BA"/>
          <w:sz w:val="20"/>
          <w:szCs w:val="20"/>
          <w:u w:color="0076BA"/>
        </w:rPr>
        <w:t>ć</w:t>
      </w:r>
      <w:r w:rsidRPr="00E55367">
        <w:rPr>
          <w:rFonts w:ascii="Verdana" w:hAnsi="Verdana"/>
          <w:color w:val="0076BA"/>
          <w:sz w:val="20"/>
          <w:szCs w:val="20"/>
          <w:u w:color="0076BA"/>
        </w:rPr>
        <w:t xml:space="preserve"> wyrażania opinii) Konwencji. Stwierdził, że </w:t>
      </w:r>
      <w:r w:rsidR="00811DCC" w:rsidRPr="00E55367">
        <w:rPr>
          <w:rFonts w:ascii="Verdana" w:hAnsi="Verdana"/>
          <w:color w:val="0076BA"/>
          <w:sz w:val="20"/>
          <w:szCs w:val="20"/>
          <w:u w:color="0076BA"/>
        </w:rPr>
        <w:t>jego ocena dotyczyła przede wszystkim tego</w:t>
      </w:r>
      <w:r w:rsidRPr="00E55367">
        <w:rPr>
          <w:rFonts w:ascii="Verdana" w:hAnsi="Verdana"/>
          <w:color w:val="0076BA"/>
          <w:sz w:val="20"/>
          <w:szCs w:val="20"/>
          <w:u w:color="0076BA"/>
        </w:rPr>
        <w:t xml:space="preserve">, czy </w:t>
      </w:r>
      <w:r w:rsidR="00E33043" w:rsidRPr="00E55367">
        <w:rPr>
          <w:rFonts w:ascii="Verdana" w:hAnsi="Verdana"/>
          <w:color w:val="0076BA"/>
          <w:sz w:val="20"/>
          <w:szCs w:val="20"/>
          <w:u w:color="0076BA"/>
        </w:rPr>
        <w:t xml:space="preserve">zeznania </w:t>
      </w:r>
      <w:r w:rsidRPr="00E55367">
        <w:rPr>
          <w:rFonts w:ascii="Verdana" w:hAnsi="Verdana"/>
          <w:color w:val="0076BA"/>
          <w:sz w:val="20"/>
          <w:szCs w:val="20"/>
          <w:u w:color="0076BA"/>
        </w:rPr>
        <w:t xml:space="preserve">skarżącej były potrzebne w toku postępowania przygotowawczego i późniejszego postępowania sądowego prowadzonego </w:t>
      </w:r>
      <w:r w:rsidR="00E33043" w:rsidRPr="00E55367">
        <w:rPr>
          <w:rFonts w:ascii="Verdana" w:hAnsi="Verdana"/>
          <w:color w:val="0076BA"/>
          <w:sz w:val="20"/>
          <w:szCs w:val="20"/>
          <w:u w:color="0076BA"/>
        </w:rPr>
        <w:t>przeciwko jej źródłu</w:t>
      </w:r>
      <w:r w:rsidRPr="00E55367">
        <w:rPr>
          <w:rFonts w:ascii="Verdana" w:hAnsi="Verdana"/>
          <w:color w:val="0076BA"/>
          <w:sz w:val="20"/>
          <w:szCs w:val="20"/>
          <w:u w:color="0076BA"/>
        </w:rPr>
        <w:t xml:space="preserve">. Trybunał </w:t>
      </w:r>
      <w:r w:rsidR="00E33043" w:rsidRPr="00E55367">
        <w:rPr>
          <w:rFonts w:ascii="Verdana" w:hAnsi="Verdana"/>
          <w:color w:val="0076BA"/>
          <w:sz w:val="20"/>
          <w:szCs w:val="20"/>
          <w:u w:color="0076BA"/>
        </w:rPr>
        <w:t>zwrócił uwagę</w:t>
      </w:r>
      <w:r w:rsidRPr="00E55367">
        <w:rPr>
          <w:rFonts w:ascii="Verdana" w:hAnsi="Verdana"/>
          <w:color w:val="0076BA"/>
          <w:sz w:val="20"/>
          <w:szCs w:val="20"/>
          <w:u w:color="0076BA"/>
        </w:rPr>
        <w:t xml:space="preserve">, że </w:t>
      </w:r>
      <w:r w:rsidR="00E33043" w:rsidRPr="00E55367">
        <w:rPr>
          <w:rFonts w:ascii="Verdana" w:hAnsi="Verdana"/>
          <w:color w:val="0076BA"/>
          <w:sz w:val="20"/>
          <w:szCs w:val="20"/>
          <w:u w:color="0076BA"/>
        </w:rPr>
        <w:t xml:space="preserve">jej </w:t>
      </w:r>
      <w:r w:rsidRPr="00E55367">
        <w:rPr>
          <w:rFonts w:ascii="Verdana" w:hAnsi="Verdana"/>
          <w:color w:val="0076BA"/>
          <w:sz w:val="20"/>
          <w:szCs w:val="20"/>
          <w:u w:color="0076BA"/>
        </w:rPr>
        <w:t xml:space="preserve">odmowa ujawnienia źródła (lub źródeł) w żadnym momencie nie utrudniła </w:t>
      </w:r>
      <w:r w:rsidR="00E33043" w:rsidRPr="00E55367">
        <w:rPr>
          <w:rFonts w:ascii="Verdana" w:hAnsi="Verdana"/>
          <w:color w:val="0076BA"/>
          <w:sz w:val="20"/>
          <w:szCs w:val="20"/>
          <w:u w:color="0076BA"/>
        </w:rPr>
        <w:t>ani śledztwa</w:t>
      </w:r>
      <w:r w:rsidRPr="00E55367">
        <w:rPr>
          <w:rFonts w:ascii="Verdana" w:hAnsi="Verdana"/>
          <w:color w:val="0076BA"/>
          <w:sz w:val="20"/>
          <w:szCs w:val="20"/>
          <w:u w:color="0076BA"/>
        </w:rPr>
        <w:t xml:space="preserve"> ani postępowania przeciwko p. X. </w:t>
      </w:r>
      <w:r w:rsidR="00EF744E" w:rsidRPr="00E55367">
        <w:rPr>
          <w:rFonts w:ascii="Verdana" w:hAnsi="Verdana"/>
          <w:color w:val="0076BA"/>
          <w:sz w:val="20"/>
          <w:szCs w:val="20"/>
          <w:u w:color="0076BA"/>
        </w:rPr>
        <w:t>Istot</w:t>
      </w:r>
      <w:r w:rsidR="003E14D1" w:rsidRPr="00E55367">
        <w:rPr>
          <w:rFonts w:ascii="Verdana" w:hAnsi="Verdana"/>
          <w:color w:val="0076BA"/>
          <w:sz w:val="20"/>
          <w:szCs w:val="20"/>
          <w:u w:color="0076BA"/>
        </w:rPr>
        <w:t>ni</w:t>
      </w:r>
      <w:r w:rsidR="00EF744E" w:rsidRPr="00E55367">
        <w:rPr>
          <w:rFonts w:ascii="Verdana" w:hAnsi="Verdana"/>
          <w:color w:val="0076BA"/>
          <w:sz w:val="20"/>
          <w:szCs w:val="20"/>
          <w:u w:color="0076BA"/>
        </w:rPr>
        <w:t>e, s</w:t>
      </w:r>
      <w:r w:rsidRPr="00E55367">
        <w:rPr>
          <w:rFonts w:ascii="Verdana" w:hAnsi="Verdana"/>
          <w:color w:val="0076BA"/>
          <w:sz w:val="20"/>
          <w:szCs w:val="20"/>
          <w:u w:color="0076BA"/>
        </w:rPr>
        <w:t>ąd pierwszej instancji, który uznał p. X za winnego, został poinformowany przez prokuratora</w:t>
      </w:r>
      <w:r w:rsidR="00EF744E" w:rsidRPr="00E55367">
        <w:rPr>
          <w:rFonts w:ascii="Verdana" w:hAnsi="Verdana"/>
          <w:color w:val="0076BA"/>
          <w:sz w:val="20"/>
          <w:szCs w:val="20"/>
          <w:u w:color="0076BA"/>
        </w:rPr>
        <w:t>, że</w:t>
      </w:r>
      <w:r w:rsidRPr="00E55367">
        <w:rPr>
          <w:rFonts w:ascii="Verdana" w:hAnsi="Verdana"/>
          <w:color w:val="0076BA"/>
          <w:sz w:val="20"/>
          <w:szCs w:val="20"/>
          <w:u w:color="0076BA"/>
        </w:rPr>
        <w:t xml:space="preserve"> wnios</w:t>
      </w:r>
      <w:r w:rsidR="00EF744E" w:rsidRPr="00E55367">
        <w:rPr>
          <w:rFonts w:ascii="Verdana" w:hAnsi="Verdana"/>
          <w:color w:val="0076BA"/>
          <w:sz w:val="20"/>
          <w:szCs w:val="20"/>
          <w:u w:color="0076BA"/>
        </w:rPr>
        <w:t>e</w:t>
      </w:r>
      <w:r w:rsidRPr="00E55367">
        <w:rPr>
          <w:rFonts w:ascii="Verdana" w:hAnsi="Verdana"/>
          <w:color w:val="0076BA"/>
          <w:sz w:val="20"/>
          <w:szCs w:val="20"/>
          <w:u w:color="0076BA"/>
        </w:rPr>
        <w:t xml:space="preserve">k o przedłużenie (do czasu uprawomocnienia się orzeczenia </w:t>
      </w:r>
      <w:r w:rsidR="00EF744E" w:rsidRPr="00E55367">
        <w:rPr>
          <w:rFonts w:ascii="Verdana" w:hAnsi="Verdana"/>
          <w:color w:val="0076BA"/>
          <w:sz w:val="20"/>
          <w:szCs w:val="20"/>
          <w:u w:color="0076BA"/>
        </w:rPr>
        <w:t>w przedmiocie obowiązku</w:t>
      </w:r>
      <w:r w:rsidRPr="00E55367">
        <w:rPr>
          <w:rFonts w:ascii="Verdana" w:hAnsi="Verdana"/>
          <w:color w:val="0076BA"/>
          <w:sz w:val="20"/>
          <w:szCs w:val="20"/>
          <w:u w:color="0076BA"/>
        </w:rPr>
        <w:t xml:space="preserve"> złożenia zeznań)</w:t>
      </w:r>
      <w:r w:rsidR="00EF744E" w:rsidRPr="00E55367">
        <w:rPr>
          <w:rFonts w:ascii="Verdana" w:hAnsi="Verdana"/>
          <w:color w:val="0076BA"/>
          <w:sz w:val="20"/>
          <w:szCs w:val="20"/>
          <w:u w:color="0076BA"/>
        </w:rPr>
        <w:t xml:space="preserve"> nie został złożony</w:t>
      </w:r>
      <w:r w:rsidRPr="00E55367">
        <w:rPr>
          <w:rFonts w:ascii="Verdana" w:hAnsi="Verdana"/>
          <w:color w:val="0076BA"/>
          <w:sz w:val="20"/>
          <w:szCs w:val="20"/>
          <w:u w:color="0076BA"/>
        </w:rPr>
        <w:t xml:space="preserve">, ponieważ sprawa została </w:t>
      </w:r>
      <w:r w:rsidR="00097522" w:rsidRPr="00E55367">
        <w:rPr>
          <w:rFonts w:ascii="Verdana" w:hAnsi="Verdana"/>
          <w:color w:val="0076BA"/>
          <w:sz w:val="20"/>
          <w:szCs w:val="20"/>
          <w:u w:color="0076BA"/>
        </w:rPr>
        <w:t xml:space="preserve">wystarczająco </w:t>
      </w:r>
      <w:r w:rsidRPr="00E55367">
        <w:rPr>
          <w:rFonts w:ascii="Verdana" w:hAnsi="Verdana"/>
          <w:color w:val="0076BA"/>
          <w:sz w:val="20"/>
          <w:szCs w:val="20"/>
          <w:u w:color="0076BA"/>
        </w:rPr>
        <w:t xml:space="preserve">wyjaśniona, nawet bez </w:t>
      </w:r>
      <w:r w:rsidR="00097522" w:rsidRPr="00E55367">
        <w:rPr>
          <w:rFonts w:ascii="Verdana" w:hAnsi="Verdana"/>
          <w:color w:val="0076BA"/>
          <w:sz w:val="20"/>
          <w:szCs w:val="20"/>
          <w:u w:color="0076BA"/>
        </w:rPr>
        <w:t xml:space="preserve">zeznań </w:t>
      </w:r>
      <w:r w:rsidRPr="00E55367">
        <w:rPr>
          <w:rFonts w:ascii="Verdana" w:hAnsi="Verdana"/>
          <w:color w:val="0076BA"/>
          <w:sz w:val="20"/>
          <w:szCs w:val="20"/>
          <w:u w:color="0076BA"/>
        </w:rPr>
        <w:t xml:space="preserve">p. Becker. Trybunał </w:t>
      </w:r>
      <w:r w:rsidR="00097522" w:rsidRPr="00E55367">
        <w:rPr>
          <w:rFonts w:ascii="Verdana" w:hAnsi="Verdana"/>
          <w:color w:val="0076BA"/>
          <w:sz w:val="20"/>
          <w:szCs w:val="20"/>
          <w:u w:color="0076BA"/>
        </w:rPr>
        <w:t>miał także na uwadze</w:t>
      </w:r>
      <w:r w:rsidRPr="00E55367">
        <w:rPr>
          <w:rFonts w:ascii="Verdana" w:hAnsi="Verdana"/>
          <w:color w:val="0076BA"/>
          <w:sz w:val="20"/>
          <w:szCs w:val="20"/>
          <w:u w:color="0076BA"/>
        </w:rPr>
        <w:t xml:space="preserve">, że dziennikarskie metody skarżącej nigdy nie budziły wątpliwości </w:t>
      </w:r>
      <w:r w:rsidR="00097522" w:rsidRPr="00E55367">
        <w:rPr>
          <w:rFonts w:ascii="Verdana" w:hAnsi="Verdana"/>
          <w:color w:val="0076BA"/>
          <w:sz w:val="20"/>
          <w:szCs w:val="20"/>
          <w:u w:color="0076BA"/>
        </w:rPr>
        <w:t>i</w:t>
      </w:r>
      <w:r w:rsidRPr="00E55367">
        <w:rPr>
          <w:rFonts w:ascii="Verdana" w:hAnsi="Verdana"/>
          <w:color w:val="0076BA"/>
          <w:sz w:val="20"/>
          <w:szCs w:val="20"/>
          <w:u w:color="0076BA"/>
        </w:rPr>
        <w:t xml:space="preserve"> nigdy nie </w:t>
      </w:r>
      <w:r w:rsidR="00097522" w:rsidRPr="00E55367">
        <w:rPr>
          <w:rFonts w:ascii="Verdana" w:hAnsi="Verdana"/>
          <w:color w:val="0076BA"/>
          <w:sz w:val="20"/>
          <w:szCs w:val="20"/>
          <w:u w:color="0076BA"/>
        </w:rPr>
        <w:t>była oskarżona o jakąkolwiek nielegalną działalność</w:t>
      </w:r>
      <w:r w:rsidRPr="00E55367">
        <w:rPr>
          <w:rFonts w:ascii="Verdana" w:hAnsi="Verdana"/>
          <w:color w:val="0076BA"/>
          <w:sz w:val="20"/>
          <w:szCs w:val="20"/>
          <w:u w:color="0076BA"/>
        </w:rPr>
        <w:t>. Co</w:t>
      </w:r>
      <w:r w:rsidR="00283B94" w:rsidRPr="00E55367">
        <w:rPr>
          <w:rFonts w:ascii="Verdana" w:hAnsi="Verdana"/>
          <w:color w:val="0076BA"/>
          <w:sz w:val="20"/>
          <w:szCs w:val="20"/>
          <w:u w:color="0076BA"/>
        </w:rPr>
        <w:t> </w:t>
      </w:r>
      <w:r w:rsidRPr="00E55367">
        <w:rPr>
          <w:rFonts w:ascii="Verdana" w:hAnsi="Verdana"/>
          <w:color w:val="0076BA"/>
          <w:sz w:val="20"/>
          <w:szCs w:val="20"/>
          <w:u w:color="0076BA"/>
        </w:rPr>
        <w:t>więcej, jej praw</w:t>
      </w:r>
      <w:r w:rsidR="00097522" w:rsidRPr="00E55367">
        <w:rPr>
          <w:rFonts w:ascii="Verdana" w:hAnsi="Verdana"/>
          <w:color w:val="0076BA"/>
          <w:sz w:val="20"/>
          <w:szCs w:val="20"/>
          <w:u w:color="0076BA"/>
        </w:rPr>
        <w:t>o</w:t>
      </w:r>
      <w:r w:rsidRPr="00E55367">
        <w:rPr>
          <w:rFonts w:ascii="Verdana" w:hAnsi="Verdana"/>
          <w:color w:val="0076BA"/>
          <w:sz w:val="20"/>
          <w:szCs w:val="20"/>
          <w:u w:color="0076BA"/>
        </w:rPr>
        <w:t xml:space="preserve"> jako dziennikarki do zachowania poufności </w:t>
      </w:r>
      <w:r w:rsidR="00097522" w:rsidRPr="00E55367">
        <w:rPr>
          <w:rFonts w:ascii="Verdana" w:hAnsi="Verdana"/>
          <w:color w:val="0076BA"/>
          <w:sz w:val="20"/>
          <w:szCs w:val="20"/>
          <w:u w:color="0076BA"/>
        </w:rPr>
        <w:t xml:space="preserve">jej </w:t>
      </w:r>
      <w:r w:rsidRPr="00E55367">
        <w:rPr>
          <w:rFonts w:ascii="Verdana" w:hAnsi="Verdana"/>
          <w:color w:val="0076BA"/>
          <w:sz w:val="20"/>
          <w:szCs w:val="20"/>
          <w:u w:color="0076BA"/>
        </w:rPr>
        <w:t xml:space="preserve">źródeł nie </w:t>
      </w:r>
      <w:r w:rsidR="006E1FB2" w:rsidRPr="00E55367">
        <w:rPr>
          <w:rFonts w:ascii="Verdana" w:hAnsi="Verdana"/>
          <w:color w:val="0076BA"/>
          <w:sz w:val="20"/>
          <w:szCs w:val="20"/>
          <w:u w:color="0076BA"/>
        </w:rPr>
        <w:t>mogło być</w:t>
      </w:r>
      <w:r w:rsidRPr="00E55367">
        <w:rPr>
          <w:rFonts w:ascii="Verdana" w:hAnsi="Verdana"/>
          <w:color w:val="0076BA"/>
          <w:sz w:val="20"/>
          <w:szCs w:val="20"/>
          <w:u w:color="0076BA"/>
        </w:rPr>
        <w:t xml:space="preserve"> automatycznie </w:t>
      </w:r>
      <w:r w:rsidR="006E1FB2" w:rsidRPr="00E55367">
        <w:rPr>
          <w:rFonts w:ascii="Verdana" w:hAnsi="Verdana"/>
          <w:color w:val="0076BA"/>
          <w:sz w:val="20"/>
          <w:szCs w:val="20"/>
          <w:u w:color="0076BA"/>
        </w:rPr>
        <w:t xml:space="preserve">zniesione </w:t>
      </w:r>
      <w:r w:rsidRPr="00E55367">
        <w:rPr>
          <w:rFonts w:ascii="Verdana" w:hAnsi="Verdana"/>
          <w:color w:val="0076BA"/>
          <w:sz w:val="20"/>
          <w:szCs w:val="20"/>
          <w:u w:color="0076BA"/>
        </w:rPr>
        <w:t xml:space="preserve">ze względu na zachowanie źródła lub </w:t>
      </w:r>
      <w:r w:rsidR="006E1FB2" w:rsidRPr="00E55367">
        <w:rPr>
          <w:rFonts w:ascii="Verdana" w:hAnsi="Verdana"/>
          <w:color w:val="0076BA"/>
          <w:sz w:val="20"/>
          <w:szCs w:val="20"/>
          <w:u w:color="0076BA"/>
        </w:rPr>
        <w:t xml:space="preserve">z uwagi na to, że </w:t>
      </w:r>
      <w:r w:rsidRPr="00E55367">
        <w:rPr>
          <w:rFonts w:ascii="Verdana" w:hAnsi="Verdana"/>
          <w:color w:val="0076BA"/>
          <w:sz w:val="20"/>
          <w:szCs w:val="20"/>
          <w:u w:color="0076BA"/>
        </w:rPr>
        <w:t>tożsamość</w:t>
      </w:r>
      <w:r w:rsidR="006E1FB2" w:rsidRPr="00E55367">
        <w:rPr>
          <w:rFonts w:ascii="Verdana" w:hAnsi="Verdana"/>
          <w:color w:val="0076BA"/>
          <w:sz w:val="20"/>
          <w:szCs w:val="20"/>
          <w:u w:color="0076BA"/>
        </w:rPr>
        <w:t xml:space="preserve"> źródła została ujawniona</w:t>
      </w:r>
      <w:r w:rsidRPr="00E55367">
        <w:rPr>
          <w:rFonts w:ascii="Verdana" w:hAnsi="Verdana"/>
          <w:color w:val="0076BA"/>
          <w:sz w:val="20"/>
          <w:szCs w:val="20"/>
          <w:u w:color="0076BA"/>
        </w:rPr>
        <w:t xml:space="preserve">. Trybunał nie był zatem przekonany, </w:t>
      </w:r>
      <w:r w:rsidR="006E1FB2" w:rsidRPr="00E55367">
        <w:rPr>
          <w:rFonts w:ascii="Verdana" w:hAnsi="Verdana"/>
          <w:color w:val="0076BA"/>
          <w:sz w:val="20"/>
          <w:szCs w:val="20"/>
          <w:u w:color="0076BA"/>
        </w:rPr>
        <w:t xml:space="preserve">że </w:t>
      </w:r>
      <w:r w:rsidRPr="00E55367">
        <w:rPr>
          <w:rFonts w:ascii="Verdana" w:hAnsi="Verdana"/>
          <w:color w:val="0076BA"/>
          <w:sz w:val="20"/>
          <w:szCs w:val="20"/>
          <w:u w:color="0076BA"/>
        </w:rPr>
        <w:t>okoliczności niniejszej spraw</w:t>
      </w:r>
      <w:r w:rsidR="006E1FB2" w:rsidRPr="00E55367">
        <w:rPr>
          <w:rFonts w:ascii="Verdana" w:hAnsi="Verdana"/>
          <w:color w:val="0076BA"/>
          <w:sz w:val="20"/>
          <w:szCs w:val="20"/>
          <w:u w:color="0076BA"/>
        </w:rPr>
        <w:t>y</w:t>
      </w:r>
      <w:r w:rsidRPr="00E55367">
        <w:rPr>
          <w:rFonts w:ascii="Verdana" w:hAnsi="Verdana"/>
          <w:color w:val="0076BA"/>
          <w:sz w:val="20"/>
          <w:szCs w:val="20"/>
          <w:u w:color="0076BA"/>
        </w:rPr>
        <w:t xml:space="preserve"> bądź przedstawione argumenty uzasadniały </w:t>
      </w:r>
      <w:r w:rsidR="006E1FB2" w:rsidRPr="00E55367">
        <w:rPr>
          <w:rFonts w:ascii="Verdana" w:hAnsi="Verdana"/>
          <w:color w:val="0076BA"/>
          <w:sz w:val="20"/>
          <w:szCs w:val="20"/>
          <w:u w:color="0076BA"/>
        </w:rPr>
        <w:t>zmuszanie</w:t>
      </w:r>
      <w:r w:rsidRPr="00E55367">
        <w:rPr>
          <w:rFonts w:ascii="Verdana" w:hAnsi="Verdana"/>
          <w:color w:val="0076BA"/>
          <w:sz w:val="20"/>
          <w:szCs w:val="20"/>
          <w:u w:color="0076BA"/>
        </w:rPr>
        <w:t xml:space="preserve"> skarżąc</w:t>
      </w:r>
      <w:r w:rsidR="00FB411A" w:rsidRPr="00E55367">
        <w:rPr>
          <w:rFonts w:ascii="Verdana" w:hAnsi="Verdana"/>
          <w:color w:val="0076BA"/>
          <w:sz w:val="20"/>
          <w:szCs w:val="20"/>
          <w:u w:color="0076BA"/>
        </w:rPr>
        <w:t>ej</w:t>
      </w:r>
      <w:r w:rsidRPr="00E55367">
        <w:rPr>
          <w:rFonts w:ascii="Verdana" w:hAnsi="Verdana"/>
          <w:color w:val="0076BA"/>
          <w:sz w:val="20"/>
          <w:szCs w:val="20"/>
          <w:u w:color="0076BA"/>
        </w:rPr>
        <w:t xml:space="preserve"> do złożenia zeznań.</w:t>
      </w:r>
    </w:p>
    <w:p w14:paraId="1CCD5935" w14:textId="77777777" w:rsidR="00780781" w:rsidRDefault="00780781">
      <w:pPr>
        <w:pStyle w:val="TreA"/>
        <w:jc w:val="both"/>
        <w:rPr>
          <w:rFonts w:ascii="Verdana" w:hAnsi="Verdana"/>
          <w:color w:val="0076BA"/>
          <w:sz w:val="20"/>
          <w:szCs w:val="20"/>
          <w:u w:color="0076BA"/>
        </w:rPr>
      </w:pPr>
    </w:p>
    <w:p w14:paraId="06A4094F" w14:textId="7DD494F5" w:rsidR="00780781" w:rsidRPr="00780781" w:rsidRDefault="00780781" w:rsidP="00780781">
      <w:pPr>
        <w:pStyle w:val="TreA"/>
        <w:spacing w:before="120"/>
        <w:rPr>
          <w:rStyle w:val="Hipercze"/>
          <w:rFonts w:ascii="Verdana" w:hAnsi="Verdana"/>
          <w:b/>
          <w:bCs/>
          <w:color w:val="0070C0"/>
          <w:sz w:val="20"/>
          <w:szCs w:val="20"/>
        </w:rPr>
      </w:pPr>
      <w:r w:rsidRPr="00780781">
        <w:rPr>
          <w:rFonts w:ascii="Verdana" w:hAnsi="Verdana"/>
          <w:b/>
          <w:bCs/>
          <w:color w:val="0070C0"/>
          <w:sz w:val="20"/>
          <w:szCs w:val="20"/>
          <w:u w:val="single"/>
        </w:rPr>
        <w:fldChar w:fldCharType="begin"/>
      </w:r>
      <w:r w:rsidRPr="00780781">
        <w:rPr>
          <w:rFonts w:ascii="Verdana" w:hAnsi="Verdana"/>
          <w:b/>
          <w:bCs/>
          <w:color w:val="0070C0"/>
          <w:sz w:val="20"/>
          <w:szCs w:val="20"/>
          <w:u w:val="single"/>
        </w:rPr>
        <w:instrText>HYPERLINK "https://hudoc.echr.coe.int/eng-press?i=003-6815935-9118718"</w:instrText>
      </w:r>
      <w:r w:rsidRPr="00780781">
        <w:rPr>
          <w:rFonts w:ascii="Verdana" w:hAnsi="Verdana"/>
          <w:b/>
          <w:bCs/>
          <w:color w:val="0070C0"/>
          <w:sz w:val="20"/>
          <w:szCs w:val="20"/>
          <w:u w:val="single"/>
        </w:rPr>
      </w:r>
      <w:r w:rsidRPr="00780781">
        <w:rPr>
          <w:rFonts w:ascii="Verdana" w:hAnsi="Verdana"/>
          <w:b/>
          <w:bCs/>
          <w:color w:val="0070C0"/>
          <w:sz w:val="20"/>
          <w:szCs w:val="20"/>
          <w:u w:val="single"/>
        </w:rPr>
        <w:fldChar w:fldCharType="separate"/>
      </w:r>
      <w:r w:rsidRPr="00780781">
        <w:rPr>
          <w:rStyle w:val="Hipercze"/>
          <w:rFonts w:ascii="Verdana" w:hAnsi="Verdana"/>
          <w:b/>
          <w:bCs/>
          <w:color w:val="0070C0"/>
          <w:sz w:val="20"/>
          <w:szCs w:val="20"/>
        </w:rPr>
        <w:t>Jecker przeciwko Szwajcarii</w:t>
      </w:r>
    </w:p>
    <w:p w14:paraId="5E05DD8F" w14:textId="2236AFF2" w:rsidR="00780781" w:rsidRPr="003D7525" w:rsidRDefault="00780781" w:rsidP="00780781">
      <w:pPr>
        <w:pStyle w:val="TreA"/>
        <w:rPr>
          <w:rFonts w:ascii="Verdana" w:hAnsi="Verdana"/>
          <w:color w:val="929292"/>
          <w:sz w:val="18"/>
          <w:szCs w:val="18"/>
          <w:u w:color="929292"/>
        </w:rPr>
      </w:pPr>
      <w:r w:rsidRPr="00780781">
        <w:rPr>
          <w:rFonts w:ascii="Verdana" w:hAnsi="Verdana"/>
          <w:b/>
          <w:bCs/>
          <w:color w:val="0070C0"/>
          <w:sz w:val="20"/>
          <w:szCs w:val="20"/>
          <w:u w:val="single"/>
        </w:rPr>
        <w:fldChar w:fldCharType="end"/>
      </w:r>
      <w:r w:rsidRPr="003D7525">
        <w:rPr>
          <w:rFonts w:ascii="Verdana" w:hAnsi="Verdana"/>
          <w:color w:val="929292"/>
          <w:sz w:val="18"/>
          <w:szCs w:val="18"/>
          <w:u w:color="929292"/>
        </w:rPr>
        <w:t>5 października 2017 r.</w:t>
      </w:r>
    </w:p>
    <w:p w14:paraId="311E6A6B" w14:textId="77777777" w:rsidR="00780781" w:rsidRPr="00780781" w:rsidRDefault="00780781" w:rsidP="00780781">
      <w:pPr>
        <w:pStyle w:val="TreA"/>
        <w:jc w:val="both"/>
        <w:rPr>
          <w:rFonts w:ascii="Verdana" w:hAnsi="Verdana"/>
          <w:sz w:val="20"/>
          <w:szCs w:val="20"/>
        </w:rPr>
      </w:pPr>
      <w:r w:rsidRPr="00780781">
        <w:rPr>
          <w:rFonts w:ascii="Verdana" w:hAnsi="Verdana"/>
          <w:sz w:val="20"/>
          <w:szCs w:val="20"/>
        </w:rPr>
        <w:t>Skarżąca w tej sprawie, dziennikarka, stwierdziła, że została zmuszona do złożenia zeznań zeznań podczas śledztwa w sprawie handlu narkotykami oraz że władze zażądały od niej zażądały od niej ujawnienia jej źródeł po opublikowaniu artykułu w gazecie o dilerze narkotyków miękkich, który dostarczył jej informacji. Skarżyła się na nieuzasadnioną ingerencję w wykonywanie jej prawa jako dziennikarki do nieujawniania swoich źródeł.</w:t>
      </w:r>
    </w:p>
    <w:p w14:paraId="0FAEA785" w14:textId="19450777" w:rsidR="00780781" w:rsidRDefault="00780781" w:rsidP="00780781">
      <w:pPr>
        <w:pStyle w:val="TreA"/>
        <w:jc w:val="both"/>
        <w:rPr>
          <w:rFonts w:ascii="Verdana" w:hAnsi="Verdana"/>
          <w:color w:val="0076BA"/>
          <w:sz w:val="20"/>
          <w:szCs w:val="20"/>
          <w:u w:color="0076BA"/>
        </w:rPr>
      </w:pPr>
      <w:r w:rsidRPr="00780781">
        <w:rPr>
          <w:rFonts w:ascii="Verdana" w:hAnsi="Verdana"/>
          <w:color w:val="0076BA"/>
          <w:sz w:val="20"/>
          <w:szCs w:val="20"/>
          <w:u w:color="0076BA"/>
        </w:rPr>
        <w:t xml:space="preserve">Europejski Trybunał uznał, że doszło do </w:t>
      </w:r>
      <w:r w:rsidRPr="00FA41B0">
        <w:rPr>
          <w:rFonts w:ascii="Verdana" w:hAnsi="Verdana"/>
          <w:b/>
          <w:bCs/>
          <w:color w:val="0076BA"/>
          <w:sz w:val="20"/>
          <w:szCs w:val="20"/>
          <w:u w:color="0076BA"/>
        </w:rPr>
        <w:t xml:space="preserve">naruszenia art. 10 </w:t>
      </w:r>
      <w:r w:rsidRPr="00780781">
        <w:rPr>
          <w:rFonts w:ascii="Verdana" w:hAnsi="Verdana"/>
          <w:color w:val="0076BA"/>
          <w:sz w:val="20"/>
          <w:szCs w:val="20"/>
          <w:u w:color="0076BA"/>
        </w:rPr>
        <w:t>Konwencji w odniesieniu do skarżącego.</w:t>
      </w:r>
      <w:r>
        <w:rPr>
          <w:rFonts w:ascii="Verdana" w:hAnsi="Verdana"/>
          <w:color w:val="0076BA"/>
          <w:sz w:val="20"/>
          <w:szCs w:val="20"/>
          <w:u w:color="0076BA"/>
        </w:rPr>
        <w:t xml:space="preserve"> </w:t>
      </w:r>
      <w:r w:rsidRPr="00780781">
        <w:rPr>
          <w:rFonts w:ascii="Verdana" w:hAnsi="Verdana"/>
          <w:color w:val="0076BA"/>
          <w:sz w:val="20"/>
          <w:szCs w:val="20"/>
          <w:u w:color="0076BA"/>
        </w:rPr>
        <w:t>Trybunał zauważył w szczególności, że Szwajcarski Federalny</w:t>
      </w:r>
      <w:r>
        <w:rPr>
          <w:rFonts w:ascii="Verdana" w:hAnsi="Verdana"/>
          <w:color w:val="0076BA"/>
          <w:sz w:val="20"/>
          <w:szCs w:val="20"/>
          <w:u w:color="0076BA"/>
        </w:rPr>
        <w:t xml:space="preserve"> uznał, </w:t>
      </w:r>
      <w:r w:rsidRPr="00780781">
        <w:rPr>
          <w:rFonts w:ascii="Verdana" w:hAnsi="Verdana"/>
          <w:color w:val="0076BA"/>
          <w:sz w:val="20"/>
          <w:szCs w:val="20"/>
          <w:u w:color="0076BA"/>
        </w:rPr>
        <w:t>że skarżący nie mógł powołać się na prawo do odmowy</w:t>
      </w:r>
      <w:r>
        <w:rPr>
          <w:rFonts w:ascii="Verdana" w:hAnsi="Verdana"/>
          <w:color w:val="0076BA"/>
          <w:sz w:val="20"/>
          <w:szCs w:val="20"/>
          <w:u w:color="0076BA"/>
        </w:rPr>
        <w:t xml:space="preserve"> </w:t>
      </w:r>
      <w:r w:rsidRPr="00780781">
        <w:rPr>
          <w:rFonts w:ascii="Verdana" w:hAnsi="Verdana"/>
          <w:color w:val="0076BA"/>
          <w:sz w:val="20"/>
          <w:szCs w:val="20"/>
          <w:u w:color="0076BA"/>
        </w:rPr>
        <w:t xml:space="preserve">zeznań, ponieważ handel miękkimi narkotykami był przestępstwem o zaostrzonym rygorze. Odnosząc się </w:t>
      </w:r>
      <w:r w:rsidR="00FA41B0" w:rsidRPr="00FA41B0">
        <w:rPr>
          <w:rFonts w:ascii="Verdana" w:hAnsi="Verdana"/>
          <w:color w:val="0076BA"/>
          <w:sz w:val="20"/>
          <w:szCs w:val="20"/>
          <w:u w:color="0076BA"/>
        </w:rPr>
        <w:t>do równowagi zachowanej w prawodawstwie między wchodzącymi w grę interesami</w:t>
      </w:r>
      <w:r w:rsidR="00FA41B0">
        <w:rPr>
          <w:rFonts w:ascii="Verdana" w:hAnsi="Verdana"/>
          <w:color w:val="0076BA"/>
          <w:sz w:val="20"/>
          <w:szCs w:val="20"/>
          <w:u w:color="0076BA"/>
        </w:rPr>
        <w:t xml:space="preserve">, </w:t>
      </w:r>
      <w:r w:rsidRPr="00780781">
        <w:rPr>
          <w:rFonts w:ascii="Verdana" w:hAnsi="Verdana"/>
          <w:color w:val="0076BA"/>
          <w:sz w:val="20"/>
          <w:szCs w:val="20"/>
          <w:u w:color="0076BA"/>
        </w:rPr>
        <w:t>Federalny Sąd Najwyższy orzekł, że interes publiczny w ściganiu ciężkiego przestępstwa narkotykowego</w:t>
      </w:r>
      <w:r w:rsidR="00FA41B0">
        <w:rPr>
          <w:rFonts w:ascii="Verdana" w:hAnsi="Verdana"/>
          <w:color w:val="0076BA"/>
          <w:sz w:val="20"/>
          <w:szCs w:val="20"/>
          <w:u w:color="0076BA"/>
        </w:rPr>
        <w:t xml:space="preserve"> </w:t>
      </w:r>
      <w:r w:rsidRPr="00780781">
        <w:rPr>
          <w:rFonts w:ascii="Verdana" w:hAnsi="Verdana"/>
          <w:color w:val="0076BA"/>
          <w:sz w:val="20"/>
          <w:szCs w:val="20"/>
          <w:u w:color="0076BA"/>
        </w:rPr>
        <w:t>przeważył nad interesem ochrony źródła. Trybunał wskazał w swoim</w:t>
      </w:r>
      <w:r w:rsidR="00FA41B0">
        <w:rPr>
          <w:rFonts w:ascii="Verdana" w:hAnsi="Verdana"/>
          <w:color w:val="0076BA"/>
          <w:sz w:val="20"/>
          <w:szCs w:val="20"/>
          <w:u w:color="0076BA"/>
        </w:rPr>
        <w:t xml:space="preserve"> wyroku, </w:t>
      </w:r>
      <w:r w:rsidRPr="00780781">
        <w:rPr>
          <w:rFonts w:ascii="Verdana" w:hAnsi="Verdana"/>
          <w:color w:val="0076BA"/>
          <w:sz w:val="20"/>
          <w:szCs w:val="20"/>
          <w:u w:color="0076BA"/>
        </w:rPr>
        <w:t>że ze względu na znaczenie ochrony źródeł dziennikarskich dla wolności prasy w demokratycznym społeczeństwie</w:t>
      </w:r>
      <w:r w:rsidR="00FA41B0">
        <w:rPr>
          <w:rFonts w:ascii="Verdana" w:hAnsi="Verdana"/>
          <w:color w:val="0076BA"/>
          <w:sz w:val="20"/>
          <w:szCs w:val="20"/>
          <w:u w:color="0076BA"/>
        </w:rPr>
        <w:t xml:space="preserve">, wymóg </w:t>
      </w:r>
      <w:r w:rsidRPr="00780781">
        <w:rPr>
          <w:rFonts w:ascii="Verdana" w:hAnsi="Verdana"/>
          <w:color w:val="0076BA"/>
          <w:sz w:val="20"/>
          <w:szCs w:val="20"/>
          <w:u w:color="0076BA"/>
        </w:rPr>
        <w:t>ujawnienia przez dziennikarza</w:t>
      </w:r>
      <w:r w:rsidR="00FA41B0">
        <w:rPr>
          <w:rFonts w:ascii="Verdana" w:hAnsi="Verdana"/>
          <w:color w:val="0076BA"/>
          <w:sz w:val="20"/>
          <w:szCs w:val="20"/>
          <w:u w:color="0076BA"/>
        </w:rPr>
        <w:t xml:space="preserve"> </w:t>
      </w:r>
      <w:r w:rsidRPr="00780781">
        <w:rPr>
          <w:rFonts w:ascii="Verdana" w:hAnsi="Verdana"/>
          <w:color w:val="0076BA"/>
          <w:sz w:val="20"/>
          <w:szCs w:val="20"/>
          <w:u w:color="0076BA"/>
        </w:rPr>
        <w:t>tożsamości swojego źródła nie może być zgodny z art. 10 Konwencji</w:t>
      </w:r>
      <w:r w:rsidR="00FA41B0">
        <w:rPr>
          <w:rFonts w:ascii="Verdana" w:hAnsi="Verdana"/>
          <w:color w:val="0076BA"/>
          <w:sz w:val="20"/>
          <w:szCs w:val="20"/>
          <w:u w:color="0076BA"/>
        </w:rPr>
        <w:t xml:space="preserve">, </w:t>
      </w:r>
      <w:r w:rsidRPr="00780781">
        <w:rPr>
          <w:rFonts w:ascii="Verdana" w:hAnsi="Verdana"/>
          <w:color w:val="0076BA"/>
          <w:sz w:val="20"/>
          <w:szCs w:val="20"/>
          <w:u w:color="0076BA"/>
        </w:rPr>
        <w:t>chyba że było to uzasadnione nadrzędnym wymogiem interesu publicznego. W niniejszej sprawie</w:t>
      </w:r>
      <w:r w:rsidR="00FA41B0">
        <w:rPr>
          <w:rFonts w:ascii="Verdana" w:hAnsi="Verdana"/>
          <w:color w:val="0076BA"/>
          <w:sz w:val="20"/>
          <w:szCs w:val="20"/>
          <w:u w:color="0076BA"/>
        </w:rPr>
        <w:t xml:space="preserve"> </w:t>
      </w:r>
      <w:r w:rsidRPr="00780781">
        <w:rPr>
          <w:rFonts w:ascii="Verdana" w:hAnsi="Verdana"/>
          <w:color w:val="0076BA"/>
          <w:sz w:val="20"/>
          <w:szCs w:val="20"/>
          <w:u w:color="0076BA"/>
        </w:rPr>
        <w:t>nie było wystarczające, aby ingerencja została nałożona, ponieważ przestępstwo</w:t>
      </w:r>
      <w:r w:rsidR="00FA41B0">
        <w:rPr>
          <w:rFonts w:ascii="Verdana" w:hAnsi="Verdana"/>
          <w:color w:val="0076BA"/>
          <w:sz w:val="20"/>
          <w:szCs w:val="20"/>
          <w:u w:color="0076BA"/>
        </w:rPr>
        <w:t xml:space="preserve"> </w:t>
      </w:r>
      <w:r w:rsidRPr="00780781">
        <w:rPr>
          <w:rFonts w:ascii="Verdana" w:hAnsi="Verdana"/>
          <w:color w:val="0076BA"/>
          <w:sz w:val="20"/>
          <w:szCs w:val="20"/>
          <w:u w:color="0076BA"/>
        </w:rPr>
        <w:t>należało do określonej kategorii lub było objęte normą prawną sformułowaną w sposób ogólny.</w:t>
      </w:r>
      <w:r w:rsidR="00FA41B0">
        <w:rPr>
          <w:rFonts w:ascii="Verdana" w:hAnsi="Verdana"/>
          <w:color w:val="0076BA"/>
          <w:sz w:val="20"/>
          <w:szCs w:val="20"/>
          <w:u w:color="0076BA"/>
        </w:rPr>
        <w:t xml:space="preserve"> Z</w:t>
      </w:r>
      <w:r w:rsidRPr="00780781">
        <w:rPr>
          <w:rFonts w:ascii="Verdana" w:hAnsi="Verdana"/>
          <w:color w:val="0076BA"/>
          <w:sz w:val="20"/>
          <w:szCs w:val="20"/>
          <w:u w:color="0076BA"/>
        </w:rPr>
        <w:t>amiast tego należało ustalić, że była ona konieczna w konkretnych okolicznościach.</w:t>
      </w:r>
      <w:r w:rsidR="00FA41B0">
        <w:rPr>
          <w:rFonts w:ascii="Verdana" w:hAnsi="Verdana"/>
          <w:color w:val="0076BA"/>
          <w:sz w:val="20"/>
          <w:szCs w:val="20"/>
          <w:u w:color="0076BA"/>
        </w:rPr>
        <w:t xml:space="preserve"> </w:t>
      </w:r>
      <w:r w:rsidRPr="00780781">
        <w:rPr>
          <w:rFonts w:ascii="Verdana" w:hAnsi="Verdana"/>
          <w:color w:val="0076BA"/>
          <w:sz w:val="20"/>
          <w:szCs w:val="20"/>
          <w:u w:color="0076BA"/>
        </w:rPr>
        <w:t>Federalny Sąd Najwyższy rozstrzygnął jednak sprawę</w:t>
      </w:r>
      <w:r w:rsidR="00FA41B0">
        <w:rPr>
          <w:rFonts w:ascii="Verdana" w:hAnsi="Verdana"/>
          <w:color w:val="0076BA"/>
          <w:sz w:val="20"/>
          <w:szCs w:val="20"/>
          <w:u w:color="0076BA"/>
        </w:rPr>
        <w:t xml:space="preserve"> </w:t>
      </w:r>
      <w:r w:rsidRPr="00780781">
        <w:rPr>
          <w:rFonts w:ascii="Verdana" w:hAnsi="Verdana"/>
          <w:color w:val="0076BA"/>
          <w:sz w:val="20"/>
          <w:szCs w:val="20"/>
          <w:u w:color="0076BA"/>
        </w:rPr>
        <w:t xml:space="preserve">w odniesieniu do wyważenia dokonanego w sposób ogólny i abstrakcyjny przez ustawodawcę. Jego wyrok nie mógł zatem prowadzić do wniosku, że nakaz złożenia zeznań przez skarżącego spełniał nadrzędny wymóg interesu publicznego. W związku z tym Federalny Sąd Najwyższy nie przedstawił wystarczającego uzasadnienia, że zaskarżony </w:t>
      </w:r>
      <w:r w:rsidRPr="00780781">
        <w:rPr>
          <w:rFonts w:ascii="Verdana" w:hAnsi="Verdana"/>
          <w:color w:val="0076BA"/>
          <w:sz w:val="20"/>
          <w:szCs w:val="20"/>
          <w:u w:color="0076BA"/>
        </w:rPr>
        <w:lastRenderedPageBreak/>
        <w:t>środek odpowiadał pilnej potrzebie społecznej, a ingerencja w korzystanie przez skarżącego z wolności wypowiedzi nie mogła być uznana za konieczną w demokratycznym społeczeństwie</w:t>
      </w:r>
      <w:r w:rsidR="00FA41B0">
        <w:rPr>
          <w:rFonts w:ascii="Verdana" w:hAnsi="Verdana"/>
          <w:color w:val="0076BA"/>
          <w:sz w:val="20"/>
          <w:szCs w:val="20"/>
          <w:u w:color="0076BA"/>
        </w:rPr>
        <w:t>.</w:t>
      </w:r>
    </w:p>
    <w:p w14:paraId="00DB241C" w14:textId="77777777" w:rsidR="00F402BC" w:rsidRDefault="00F402BC" w:rsidP="00780781">
      <w:pPr>
        <w:pStyle w:val="TreA"/>
        <w:jc w:val="both"/>
        <w:rPr>
          <w:rFonts w:ascii="Verdana" w:hAnsi="Verdana"/>
          <w:color w:val="0076BA"/>
          <w:sz w:val="20"/>
          <w:szCs w:val="20"/>
          <w:u w:color="0076BA"/>
        </w:rPr>
      </w:pPr>
    </w:p>
    <w:p w14:paraId="18ED30DA" w14:textId="6AB93206" w:rsidR="00F402BC" w:rsidRPr="00F402BC" w:rsidRDefault="00F402BC" w:rsidP="00F402BC">
      <w:pPr>
        <w:pStyle w:val="TreA"/>
        <w:jc w:val="both"/>
        <w:rPr>
          <w:rFonts w:ascii="Verdana" w:hAnsi="Verdana"/>
          <w:b/>
          <w:bCs/>
          <w:color w:val="0070C0"/>
          <w:sz w:val="20"/>
          <w:szCs w:val="20"/>
          <w:u w:color="0076BA"/>
        </w:rPr>
      </w:pPr>
      <w:hyperlink r:id="rId16" w:history="1">
        <w:r w:rsidRPr="00F402BC">
          <w:rPr>
            <w:rStyle w:val="Hipercze"/>
            <w:rFonts w:ascii="Verdana" w:hAnsi="Verdana"/>
            <w:b/>
            <w:bCs/>
            <w:color w:val="0070C0"/>
            <w:sz w:val="20"/>
            <w:szCs w:val="20"/>
          </w:rPr>
          <w:t>Big Brother Watch i Inni przeciwko Zjednoczonemu Królestwu (skargi nr 58170/13, 62322/14 i 24960/15)</w:t>
        </w:r>
      </w:hyperlink>
    </w:p>
    <w:p w14:paraId="5E77E599" w14:textId="77777777" w:rsidR="00F402BC" w:rsidRPr="00F402BC" w:rsidRDefault="00F402BC" w:rsidP="00F402BC">
      <w:pPr>
        <w:pStyle w:val="TreA"/>
        <w:jc w:val="both"/>
        <w:rPr>
          <w:rFonts w:ascii="Verdana" w:hAnsi="Verdana"/>
          <w:color w:val="A6A6A6" w:themeColor="background1" w:themeShade="A6"/>
          <w:sz w:val="18"/>
          <w:szCs w:val="18"/>
          <w:u w:color="0076BA"/>
        </w:rPr>
      </w:pPr>
      <w:r w:rsidRPr="00F402BC">
        <w:rPr>
          <w:rFonts w:ascii="Verdana" w:hAnsi="Verdana"/>
          <w:color w:val="A6A6A6" w:themeColor="background1" w:themeShade="A6"/>
          <w:sz w:val="18"/>
          <w:szCs w:val="18"/>
          <w:u w:color="0076BA"/>
        </w:rPr>
        <w:t>13 września 2018 r. (wyrok Izby) – sprawa przekazana do Wielkiej Izby w lutym 2019 r.</w:t>
      </w:r>
    </w:p>
    <w:p w14:paraId="38B00695" w14:textId="5034205F" w:rsidR="00F402BC" w:rsidRPr="00F402BC" w:rsidRDefault="00F402BC" w:rsidP="00F402BC">
      <w:pPr>
        <w:pStyle w:val="TreA"/>
        <w:jc w:val="both"/>
        <w:rPr>
          <w:rFonts w:ascii="Verdana" w:hAnsi="Verdana"/>
          <w:color w:val="auto"/>
          <w:sz w:val="20"/>
          <w:szCs w:val="20"/>
          <w:u w:color="0076BA"/>
        </w:rPr>
      </w:pPr>
      <w:r w:rsidRPr="00F402BC">
        <w:rPr>
          <w:rFonts w:ascii="Verdana" w:hAnsi="Verdana"/>
          <w:color w:val="auto"/>
          <w:sz w:val="20"/>
          <w:szCs w:val="20"/>
          <w:u w:color="0076BA"/>
        </w:rPr>
        <w:t>Skargi zostały złożone po ujawnieniu przez Edwarda Snowdena (byłego kontrahenta amerykańskiej Agencji Bezpieczeństwa Narodowego) informacji na temat programów inwigilacji i wymiany danych wywiadowczych między USA a Wielką Brytanią. Sprawa dotyczy skarg dziennikarzy, osób indywidualnych i organizacji praw człowieka w związku z trzema różnymi systemami inwigilacji: (1) masowym przechwytywaniem komunikatów; (2) wymianą danych wywiadowczych z rządami zagranicznymi oraz (3) uzyskiwaniem danych o połączeniach od dostawców usług komunikacyjnych</w:t>
      </w:r>
      <w:r>
        <w:rPr>
          <w:rStyle w:val="Odwoanieprzypisudolnego"/>
          <w:rFonts w:ascii="Verdana" w:hAnsi="Verdana"/>
          <w:color w:val="auto"/>
          <w:sz w:val="20"/>
          <w:szCs w:val="20"/>
          <w:u w:color="0076BA"/>
        </w:rPr>
        <w:footnoteReference w:id="1"/>
      </w:r>
      <w:r w:rsidRPr="00F402BC">
        <w:rPr>
          <w:rFonts w:ascii="Verdana" w:hAnsi="Verdana"/>
          <w:color w:val="auto"/>
          <w:sz w:val="20"/>
          <w:szCs w:val="20"/>
          <w:u w:color="0076BA"/>
        </w:rPr>
        <w:t>.</w:t>
      </w:r>
    </w:p>
    <w:p w14:paraId="44D5DC5F" w14:textId="7BDEF349" w:rsidR="00F402BC" w:rsidRDefault="00F402BC" w:rsidP="00F402BC">
      <w:pPr>
        <w:pStyle w:val="TreA"/>
        <w:jc w:val="both"/>
        <w:rPr>
          <w:rFonts w:ascii="Verdana" w:hAnsi="Verdana"/>
          <w:color w:val="0076BA"/>
          <w:sz w:val="20"/>
          <w:szCs w:val="20"/>
          <w:u w:color="0076BA"/>
        </w:rPr>
      </w:pPr>
      <w:r w:rsidRPr="00F402BC">
        <w:rPr>
          <w:rFonts w:ascii="Verdana" w:hAnsi="Verdana"/>
          <w:color w:val="0076BA"/>
          <w:sz w:val="20"/>
          <w:szCs w:val="20"/>
          <w:u w:color="0076BA"/>
        </w:rPr>
        <w:t xml:space="preserve">Wielka Izba orzekła: jednogłośnie, że doszło do </w:t>
      </w:r>
      <w:r w:rsidRPr="00F402BC">
        <w:rPr>
          <w:rFonts w:ascii="Verdana" w:hAnsi="Verdana"/>
          <w:b/>
          <w:bCs/>
          <w:color w:val="0076BA"/>
          <w:sz w:val="20"/>
          <w:szCs w:val="20"/>
          <w:u w:color="0076BA"/>
        </w:rPr>
        <w:t xml:space="preserve">naruszenia </w:t>
      </w:r>
      <w:r>
        <w:rPr>
          <w:rFonts w:ascii="Verdana" w:hAnsi="Verdana"/>
          <w:b/>
          <w:bCs/>
          <w:color w:val="0076BA"/>
          <w:sz w:val="20"/>
          <w:szCs w:val="20"/>
          <w:u w:color="0076BA"/>
        </w:rPr>
        <w:t>art.</w:t>
      </w:r>
      <w:r w:rsidRPr="00F402BC">
        <w:rPr>
          <w:rFonts w:ascii="Verdana" w:hAnsi="Verdana"/>
          <w:b/>
          <w:bCs/>
          <w:color w:val="0076BA"/>
          <w:sz w:val="20"/>
          <w:szCs w:val="20"/>
          <w:u w:color="0076BA"/>
        </w:rPr>
        <w:t xml:space="preserve"> 8</w:t>
      </w:r>
      <w:r w:rsidRPr="00F402BC">
        <w:rPr>
          <w:rFonts w:ascii="Verdana" w:hAnsi="Verdana"/>
          <w:color w:val="0076BA"/>
          <w:sz w:val="20"/>
          <w:szCs w:val="20"/>
          <w:u w:color="0076BA"/>
        </w:rPr>
        <w:t xml:space="preserve"> (prawo do poszanowania życia prywatnego i korespondencji) Konwencji w odniesieniu do systemu masowego przechwytywania; jednogłośnie, że doszło do </w:t>
      </w:r>
      <w:r w:rsidRPr="00F402BC">
        <w:rPr>
          <w:rFonts w:ascii="Verdana" w:hAnsi="Verdana"/>
          <w:b/>
          <w:bCs/>
          <w:color w:val="0076BA"/>
          <w:sz w:val="20"/>
          <w:szCs w:val="20"/>
          <w:u w:color="0076BA"/>
        </w:rPr>
        <w:t xml:space="preserve">naruszenia </w:t>
      </w:r>
      <w:r>
        <w:rPr>
          <w:rFonts w:ascii="Verdana" w:hAnsi="Verdana"/>
          <w:b/>
          <w:bCs/>
          <w:color w:val="0076BA"/>
          <w:sz w:val="20"/>
          <w:szCs w:val="20"/>
          <w:u w:color="0076BA"/>
        </w:rPr>
        <w:t>art.</w:t>
      </w:r>
      <w:r w:rsidRPr="00F402BC">
        <w:rPr>
          <w:rFonts w:ascii="Verdana" w:hAnsi="Verdana"/>
          <w:b/>
          <w:bCs/>
          <w:color w:val="0076BA"/>
          <w:sz w:val="20"/>
          <w:szCs w:val="20"/>
          <w:u w:color="0076BA"/>
        </w:rPr>
        <w:t xml:space="preserve"> 8 </w:t>
      </w:r>
      <w:r w:rsidRPr="00F402BC">
        <w:rPr>
          <w:rFonts w:ascii="Verdana" w:hAnsi="Verdana"/>
          <w:color w:val="0076BA"/>
          <w:sz w:val="20"/>
          <w:szCs w:val="20"/>
          <w:u w:color="0076BA"/>
        </w:rPr>
        <w:t xml:space="preserve">w odniesieniu do systemu uzyskiwania danych komunikacyjnych od dostawców usług komunikacyjnych; dwunastoma głosami do pięciu, że </w:t>
      </w:r>
      <w:r w:rsidRPr="00F402BC">
        <w:rPr>
          <w:rFonts w:ascii="Verdana" w:hAnsi="Verdana"/>
          <w:b/>
          <w:bCs/>
          <w:color w:val="0076BA"/>
          <w:sz w:val="20"/>
          <w:szCs w:val="20"/>
          <w:u w:color="0076BA"/>
        </w:rPr>
        <w:t>nie doszło do naruszenia Artykułu 8</w:t>
      </w:r>
      <w:r w:rsidRPr="00F402BC">
        <w:rPr>
          <w:rFonts w:ascii="Verdana" w:hAnsi="Verdana"/>
          <w:color w:val="0076BA"/>
          <w:sz w:val="20"/>
          <w:szCs w:val="20"/>
          <w:u w:color="0076BA"/>
        </w:rPr>
        <w:t xml:space="preserve"> w odniesieniu do systemu Zjednoczonego Królestwa dotyczącego żądania przechwyconych materiałów od zagranicznych rządów i agencji wywiadowczych; jednogłośnie, że doszło do </w:t>
      </w:r>
      <w:r w:rsidRPr="00F402BC">
        <w:rPr>
          <w:rFonts w:ascii="Verdana" w:hAnsi="Verdana"/>
          <w:b/>
          <w:bCs/>
          <w:color w:val="0076BA"/>
          <w:sz w:val="20"/>
          <w:szCs w:val="20"/>
          <w:u w:color="0076BA"/>
        </w:rPr>
        <w:t>naruszenia art. 10</w:t>
      </w:r>
      <w:r w:rsidRPr="00F402BC">
        <w:rPr>
          <w:rFonts w:ascii="Verdana" w:hAnsi="Verdana"/>
          <w:color w:val="0076BA"/>
          <w:sz w:val="20"/>
          <w:szCs w:val="20"/>
          <w:u w:color="0076BA"/>
        </w:rPr>
        <w:t xml:space="preserve"> (wolność wypowiedzi) Konwencji, zarówno w odniesieniu do systemu masowego przechwytywania, jak i systemu uzyskiwania danych komunikacyjnych od dostawców usług komunikacyjnych; oraz, dwunastoma głosami do pięciu, </w:t>
      </w:r>
      <w:r w:rsidRPr="00F402BC">
        <w:rPr>
          <w:rFonts w:ascii="Verdana" w:hAnsi="Verdana"/>
          <w:b/>
          <w:bCs/>
          <w:color w:val="0076BA"/>
          <w:sz w:val="20"/>
          <w:szCs w:val="20"/>
          <w:u w:color="0076BA"/>
        </w:rPr>
        <w:t>że nie doszło do naruszenia art. 10</w:t>
      </w:r>
      <w:r w:rsidRPr="00F402BC">
        <w:rPr>
          <w:rFonts w:ascii="Verdana" w:hAnsi="Verdana"/>
          <w:color w:val="0076BA"/>
          <w:sz w:val="20"/>
          <w:szCs w:val="20"/>
          <w:u w:color="0076BA"/>
        </w:rPr>
        <w:t xml:space="preserve"> w odniesieniu do systemu żądania przechwyconych materiałów od zagranicznych rządów i agencji wywiadowczych.</w:t>
      </w:r>
      <w:r>
        <w:rPr>
          <w:rFonts w:ascii="Verdana" w:hAnsi="Verdana"/>
          <w:color w:val="0076BA"/>
          <w:sz w:val="20"/>
          <w:szCs w:val="20"/>
          <w:u w:color="0076BA"/>
        </w:rPr>
        <w:t xml:space="preserve"> </w:t>
      </w:r>
      <w:r w:rsidRPr="00F402BC">
        <w:rPr>
          <w:rFonts w:ascii="Verdana" w:hAnsi="Verdana"/>
          <w:color w:val="0076BA"/>
          <w:sz w:val="20"/>
          <w:szCs w:val="20"/>
          <w:u w:color="0076BA"/>
        </w:rPr>
        <w:t>Trybunał uznał w szczególności, że ze względu na mnogość zagrożeń, przed którymi stoją państwa we współczesnym społeczeństwie, stosowanie systemu masowego przechwytywania samo w sobie nie narusza Konwencji. Jednak taki system musiał podlegać „kompleksowym zabezpieczeniom”, co oznacza, że na poziomie krajowym na każdym etapie procesu należy dokonać oceny konieczności i proporcjonalności podejmowanych środków; że masowe przechwytywanie powinno podlegać niezależnej autoryzacji na samym początku, gdy określany jest przedmiot i zakres operacji; oraz że operacja powinna podlegać nadzorowi i niezależnemu przeglądowi ex post facto. Mając na uwadze system masowego przechwytywania stosowany w Wielkiej Brytanii, Trybunał zidentyfikował następujące niedociągnięcia: masowe przechwytywanie zostało zatwierdzone przez Sekretarza Stanu, a nie przez organ niezależny od władzy wykonawczej; kategorie terminów wyszukiwania określające rodzaje komunikacji, które mogłyby podlegać badaniu, nie zostały uwzględnione we wniosku o wydanie nakazu; a terminy wyszukiwania powiązane z osobą fizyczną (to znaczy konkretne identyfikatory, takie jak adres e-mail) nie podlegały uprzedniej wewnętrznej autoryzacji. Trybunał stwierdził również, że system masowego przechwytywania nie zapewniał wystarczającej ochrony poufnych materiałów dziennikarskich.</w:t>
      </w:r>
      <w:r>
        <w:rPr>
          <w:rFonts w:ascii="Verdana" w:hAnsi="Verdana"/>
          <w:color w:val="0076BA"/>
          <w:sz w:val="20"/>
          <w:szCs w:val="20"/>
          <w:u w:color="0076BA"/>
        </w:rPr>
        <w:t xml:space="preserve"> </w:t>
      </w:r>
      <w:r w:rsidRPr="00F402BC">
        <w:rPr>
          <w:rFonts w:ascii="Verdana" w:hAnsi="Verdana"/>
          <w:color w:val="0076BA"/>
          <w:sz w:val="20"/>
          <w:szCs w:val="20"/>
          <w:u w:color="0076BA"/>
        </w:rPr>
        <w:t>Stwierdzono również, że system uzyskiwania danych komunikacyjnych od dostawców usług komunikacyjnych nie był zgodny z prawem. Trybunał orzekł jednak, że system, w ramach którego Wielka Brytania mogła żądać informacji wywiadowczych od zagranicznych rządów i/lub agencji wywiadowczych, posiadał wystarczające zabezpieczenia w celu ochrony przed nadużyciami i zapewnienia, że władze brytyjskie nie wykorzystały takich wniosków jako sposobu na obejście swoich obowiązków wynikających z prawa krajowego i Konwencji.</w:t>
      </w:r>
    </w:p>
    <w:p w14:paraId="280EF5C0" w14:textId="77777777" w:rsidR="00F402BC" w:rsidRDefault="00F402BC" w:rsidP="00F402BC">
      <w:pPr>
        <w:pStyle w:val="TreA"/>
        <w:jc w:val="both"/>
        <w:rPr>
          <w:rFonts w:ascii="Verdana" w:hAnsi="Verdana"/>
          <w:color w:val="0076BA"/>
          <w:sz w:val="20"/>
          <w:szCs w:val="20"/>
          <w:u w:color="0076BA"/>
        </w:rPr>
      </w:pPr>
    </w:p>
    <w:p w14:paraId="1074E400" w14:textId="213FD155" w:rsidR="00F402BC" w:rsidRPr="00A71D72" w:rsidRDefault="00F402BC" w:rsidP="00F402BC">
      <w:pPr>
        <w:pStyle w:val="TreA"/>
        <w:jc w:val="both"/>
        <w:rPr>
          <w:rFonts w:ascii="Verdana" w:hAnsi="Verdana"/>
          <w:b/>
          <w:bCs/>
          <w:color w:val="0076BA"/>
          <w:sz w:val="20"/>
          <w:szCs w:val="20"/>
          <w:u w:color="0076BA"/>
        </w:rPr>
      </w:pPr>
      <w:hyperlink r:id="rId17" w:history="1">
        <w:r w:rsidRPr="00A71D72">
          <w:rPr>
            <w:rStyle w:val="Hipercze"/>
            <w:rFonts w:ascii="Verdana" w:hAnsi="Verdana"/>
            <w:b/>
            <w:bCs/>
            <w:color w:val="0070C0"/>
            <w:sz w:val="20"/>
            <w:szCs w:val="20"/>
          </w:rPr>
          <w:t>Standard Verlagsgesellschaft mbH przeciwko Austrii (</w:t>
        </w:r>
        <w:r w:rsidR="00A71D72">
          <w:rPr>
            <w:rStyle w:val="Hipercze"/>
            <w:rFonts w:ascii="Verdana" w:hAnsi="Verdana"/>
            <w:b/>
            <w:bCs/>
            <w:color w:val="0070C0"/>
            <w:sz w:val="20"/>
            <w:szCs w:val="20"/>
          </w:rPr>
          <w:t>nr 3</w:t>
        </w:r>
        <w:r w:rsidRPr="00A71D72">
          <w:rPr>
            <w:rStyle w:val="Hipercze"/>
            <w:rFonts w:ascii="Verdana" w:hAnsi="Verdana"/>
            <w:b/>
            <w:bCs/>
            <w:color w:val="0070C0"/>
            <w:sz w:val="20"/>
            <w:szCs w:val="20"/>
          </w:rPr>
          <w:t>)</w:t>
        </w:r>
      </w:hyperlink>
    </w:p>
    <w:p w14:paraId="6F5B81C7" w14:textId="58417882" w:rsidR="00F402BC" w:rsidRPr="00A71D72" w:rsidRDefault="00A71D72" w:rsidP="00F402BC">
      <w:pPr>
        <w:pStyle w:val="TreA"/>
        <w:jc w:val="both"/>
        <w:rPr>
          <w:rFonts w:ascii="Verdana" w:hAnsi="Verdana"/>
          <w:color w:val="A6A6A6" w:themeColor="background1" w:themeShade="A6"/>
          <w:sz w:val="18"/>
          <w:szCs w:val="18"/>
          <w:u w:color="0076BA"/>
        </w:rPr>
      </w:pPr>
      <w:r w:rsidRPr="00A71D72">
        <w:rPr>
          <w:rFonts w:ascii="Verdana" w:hAnsi="Verdana"/>
          <w:color w:val="A6A6A6" w:themeColor="background1" w:themeShade="A6"/>
          <w:sz w:val="18"/>
          <w:szCs w:val="18"/>
          <w:u w:color="0076BA"/>
        </w:rPr>
        <w:t>7 grudnia 2021 r.</w:t>
      </w:r>
    </w:p>
    <w:p w14:paraId="68205303" w14:textId="441242E2" w:rsidR="00B13EDC" w:rsidRDefault="00A71D72" w:rsidP="00A71D72">
      <w:pPr>
        <w:pStyle w:val="TreA"/>
        <w:jc w:val="both"/>
        <w:rPr>
          <w:rFonts w:ascii="Verdana" w:hAnsi="Verdana"/>
          <w:color w:val="auto"/>
          <w:sz w:val="20"/>
          <w:szCs w:val="20"/>
          <w:u w:color="0076BA"/>
        </w:rPr>
      </w:pPr>
      <w:r w:rsidRPr="00A71D72">
        <w:rPr>
          <w:rFonts w:ascii="Verdana" w:hAnsi="Verdana"/>
          <w:color w:val="auto"/>
          <w:sz w:val="20"/>
          <w:szCs w:val="20"/>
          <w:u w:color="0076BA"/>
        </w:rPr>
        <w:t xml:space="preserve">Sprawa ta dotyczyła nakazu sądowego, aby skarżąca spółka medialna ujawniła informacje o zarejestrowanych użytkownikach, którzy zamieścili komentarze na jej stronie internetowej derStandard.at, stronie internetowej gazety Der Standard. Nastąpiło to po komentarzach </w:t>
      </w:r>
      <w:r w:rsidRPr="00A71D72">
        <w:rPr>
          <w:rFonts w:ascii="Verdana" w:hAnsi="Verdana"/>
          <w:color w:val="auto"/>
          <w:sz w:val="20"/>
          <w:szCs w:val="20"/>
          <w:u w:color="0076BA"/>
        </w:rPr>
        <w:lastRenderedPageBreak/>
        <w:t>rzekomo łączących polityków m.in. z korupcją lub neonazistami, które skarżąca spółka usunęła, odmawiając jednak ujawnienia informacji o komentujących.</w:t>
      </w:r>
    </w:p>
    <w:p w14:paraId="1BF18620" w14:textId="21ADE3E9" w:rsidR="00A71D72" w:rsidRPr="00A71D72" w:rsidRDefault="00A71D72" w:rsidP="00A71D72">
      <w:pPr>
        <w:pStyle w:val="TreA"/>
        <w:jc w:val="both"/>
        <w:rPr>
          <w:rFonts w:ascii="Verdana" w:hAnsi="Verdana"/>
          <w:color w:val="0070C0"/>
          <w:sz w:val="20"/>
          <w:szCs w:val="20"/>
          <w:u w:color="0076BA"/>
        </w:rPr>
      </w:pPr>
      <w:r w:rsidRPr="00A71D72">
        <w:rPr>
          <w:rFonts w:ascii="Verdana" w:hAnsi="Verdana"/>
          <w:color w:val="0070C0"/>
          <w:sz w:val="20"/>
          <w:szCs w:val="20"/>
          <w:u w:color="0076BA"/>
        </w:rPr>
        <w:t xml:space="preserve">Trybunał uznał, że w niniejszej sprawie </w:t>
      </w:r>
      <w:r w:rsidRPr="00A71D72">
        <w:rPr>
          <w:rFonts w:ascii="Verdana" w:hAnsi="Verdana"/>
          <w:b/>
          <w:bCs/>
          <w:color w:val="0070C0"/>
          <w:sz w:val="20"/>
          <w:szCs w:val="20"/>
          <w:u w:color="0076BA"/>
        </w:rPr>
        <w:t>doszło do naruszenia art. 10</w:t>
      </w:r>
      <w:r w:rsidRPr="00A71D72">
        <w:rPr>
          <w:rFonts w:ascii="Verdana" w:hAnsi="Verdana"/>
          <w:color w:val="0070C0"/>
          <w:sz w:val="20"/>
          <w:szCs w:val="20"/>
          <w:u w:color="0076BA"/>
        </w:rPr>
        <w:t xml:space="preserve"> Konwencji, stwierdzając, że przedmiotowe nakazy sądowe nie były konieczne w demokratycznym społeczeństwie. Trybunał stwierdził w szczególności, że dane użytkowników nie korzystały z ochrony „źródeł dziennikarskich” i nie istniało bezwzględne prawo do anonimowości w Internecie. Jednakże sądy krajowe nawet nie zrównoważyły interesów skarżących z interesami skarżącej spółki w utrzymaniu anonimowości użytkowników, aby pomóc w promowaniu swobodnej wymiany myśli i informacji, zgodnie z art. 10 Konwencji.</w:t>
      </w:r>
    </w:p>
    <w:p w14:paraId="4700ABA6" w14:textId="77777777" w:rsidR="00A71D72" w:rsidRPr="00A71D72" w:rsidRDefault="00A71D72">
      <w:pPr>
        <w:pStyle w:val="TreA"/>
        <w:rPr>
          <w:rFonts w:ascii="Verdana" w:hAnsi="Verdana"/>
          <w:color w:val="auto"/>
          <w:sz w:val="20"/>
          <w:szCs w:val="20"/>
        </w:rPr>
      </w:pPr>
    </w:p>
    <w:p w14:paraId="1CAD0BE0" w14:textId="1CA8D84B" w:rsidR="00E55367" w:rsidRPr="00FB4F34" w:rsidRDefault="00797BF0" w:rsidP="00623750">
      <w:pPr>
        <w:pStyle w:val="TreA"/>
        <w:pBdr>
          <w:top w:val="none" w:sz="0" w:space="0" w:color="auto"/>
          <w:left w:val="none" w:sz="0" w:space="0" w:color="auto"/>
          <w:bottom w:val="none" w:sz="0" w:space="0" w:color="auto"/>
          <w:right w:val="none" w:sz="0" w:space="0" w:color="auto"/>
          <w:between w:val="none" w:sz="0" w:space="0" w:color="auto"/>
          <w:bar w:val="none" w:sz="0" w:color="auto"/>
        </w:pBdr>
        <w:shd w:val="pct5" w:color="auto" w:fill="auto"/>
        <w:jc w:val="both"/>
        <w:rPr>
          <w:rFonts w:ascii="Verdana" w:hAnsi="Verdana"/>
          <w:b/>
          <w:color w:val="808080" w:themeColor="background1" w:themeShade="80"/>
          <w:sz w:val="20"/>
          <w:szCs w:val="20"/>
        </w:rPr>
      </w:pPr>
      <w:r w:rsidRPr="00A71D72">
        <w:rPr>
          <w:rFonts w:ascii="Verdana" w:hAnsi="Verdana"/>
          <w:b/>
          <w:color w:val="808080" w:themeColor="background1" w:themeShade="80"/>
          <w:sz w:val="20"/>
          <w:szCs w:val="20"/>
        </w:rPr>
        <w:t>Sprawy w toku</w:t>
      </w:r>
    </w:p>
    <w:bookmarkStart w:id="0" w:name="_Hlk187416063"/>
    <w:p w14:paraId="19AA1BFB" w14:textId="66A83E31" w:rsidR="00B13EDC" w:rsidRPr="00A71D72" w:rsidRDefault="00A71D72" w:rsidP="00623750">
      <w:pPr>
        <w:pStyle w:val="TreA"/>
        <w:pBdr>
          <w:top w:val="none" w:sz="0" w:space="0" w:color="auto"/>
          <w:left w:val="none" w:sz="0" w:space="0" w:color="auto"/>
          <w:bottom w:val="none" w:sz="0" w:space="0" w:color="auto"/>
          <w:right w:val="none" w:sz="0" w:space="0" w:color="auto"/>
          <w:between w:val="none" w:sz="0" w:space="0" w:color="auto"/>
          <w:bar w:val="none" w:sz="0" w:color="auto"/>
        </w:pBdr>
        <w:shd w:val="pct5" w:color="auto" w:fill="auto"/>
        <w:jc w:val="both"/>
        <w:rPr>
          <w:rFonts w:ascii="Verdana" w:hAnsi="Verdana"/>
          <w:color w:val="0070C0"/>
          <w:sz w:val="20"/>
          <w:szCs w:val="20"/>
          <w:lang w:val="fr-FR"/>
        </w:rPr>
      </w:pPr>
      <w:r w:rsidRPr="00A71D72">
        <w:rPr>
          <w:rFonts w:ascii="Verdana" w:hAnsi="Verdana"/>
          <w:b/>
          <w:bCs/>
          <w:color w:val="0070C0"/>
          <w:sz w:val="20"/>
          <w:szCs w:val="20"/>
          <w:u w:val="single" w:color="0076BA"/>
          <w:lang w:val="fr-FR"/>
        </w:rPr>
        <w:fldChar w:fldCharType="begin"/>
      </w:r>
      <w:r w:rsidRPr="00A71D72">
        <w:rPr>
          <w:rFonts w:ascii="Verdana" w:hAnsi="Verdana"/>
          <w:b/>
          <w:bCs/>
          <w:color w:val="0070C0"/>
          <w:sz w:val="20"/>
          <w:szCs w:val="20"/>
          <w:u w:val="single" w:color="0076BA"/>
          <w:lang w:val="fr-FR"/>
        </w:rPr>
        <w:instrText>HYPERLINK "https://hudoc.echr.coe.int/eng?i=001-173634"</w:instrText>
      </w:r>
      <w:r w:rsidRPr="00A71D72">
        <w:rPr>
          <w:rFonts w:ascii="Verdana" w:hAnsi="Verdana"/>
          <w:b/>
          <w:bCs/>
          <w:color w:val="0070C0"/>
          <w:sz w:val="20"/>
          <w:szCs w:val="20"/>
          <w:u w:val="single" w:color="0076BA"/>
          <w:lang w:val="fr-FR"/>
        </w:rPr>
      </w:r>
      <w:r w:rsidRPr="00A71D72">
        <w:rPr>
          <w:rFonts w:ascii="Verdana" w:hAnsi="Verdana"/>
          <w:b/>
          <w:bCs/>
          <w:color w:val="0070C0"/>
          <w:sz w:val="20"/>
          <w:szCs w:val="20"/>
          <w:u w:val="single" w:color="0076BA"/>
          <w:lang w:val="fr-FR"/>
        </w:rPr>
        <w:fldChar w:fldCharType="separate"/>
      </w:r>
      <w:r w:rsidR="00797BF0" w:rsidRPr="00A71D72">
        <w:rPr>
          <w:rStyle w:val="Hipercze"/>
          <w:rFonts w:ascii="Verdana" w:hAnsi="Verdana"/>
          <w:b/>
          <w:bCs/>
          <w:color w:val="0070C0"/>
          <w:sz w:val="20"/>
          <w:szCs w:val="20"/>
          <w:lang w:val="fr-FR"/>
        </w:rPr>
        <w:t>Association confraternelle de la presse judiciaire przeciwko Francji i 11 innych skarg (nr 49526/15, 49615/15, 49616/15, 49617/15, 49618/15, 49619/15, 49620/15, 49621/15, 55058/15, 55061/15, 59602/15 oraz 59621/15)</w:t>
      </w:r>
      <w:r w:rsidRPr="00A71D72">
        <w:rPr>
          <w:rFonts w:ascii="Verdana" w:hAnsi="Verdana"/>
          <w:b/>
          <w:bCs/>
          <w:color w:val="0070C0"/>
          <w:sz w:val="20"/>
          <w:szCs w:val="20"/>
          <w:u w:val="single" w:color="0076BA"/>
          <w:lang w:val="fr-FR"/>
        </w:rPr>
        <w:fldChar w:fldCharType="end"/>
      </w:r>
    </w:p>
    <w:p w14:paraId="2E001E50" w14:textId="14845D94" w:rsidR="00B13EDC" w:rsidRPr="00981109" w:rsidRDefault="00797BF0" w:rsidP="00623750">
      <w:pPr>
        <w:pStyle w:val="TreA"/>
        <w:pBdr>
          <w:top w:val="none" w:sz="0" w:space="0" w:color="auto"/>
          <w:left w:val="none" w:sz="0" w:space="0" w:color="auto"/>
          <w:bottom w:val="none" w:sz="0" w:space="0" w:color="auto"/>
          <w:right w:val="none" w:sz="0" w:space="0" w:color="auto"/>
          <w:between w:val="none" w:sz="0" w:space="0" w:color="auto"/>
          <w:bar w:val="none" w:sz="0" w:color="auto"/>
        </w:pBdr>
        <w:shd w:val="pct5" w:color="auto" w:fill="auto"/>
        <w:rPr>
          <w:rFonts w:ascii="Verdana" w:hAnsi="Verdana"/>
          <w:color w:val="929292"/>
          <w:sz w:val="18"/>
          <w:szCs w:val="18"/>
          <w:u w:color="929292"/>
        </w:rPr>
      </w:pPr>
      <w:r w:rsidRPr="00981109">
        <w:rPr>
          <w:rFonts w:ascii="Verdana" w:hAnsi="Verdana"/>
          <w:color w:val="929292"/>
          <w:sz w:val="18"/>
          <w:szCs w:val="18"/>
          <w:u w:color="929292"/>
        </w:rPr>
        <w:t>Skargi zakomunikowane rządowi francuskiemu w dniu 26 kwietnia 2017 r.</w:t>
      </w:r>
    </w:p>
    <w:p w14:paraId="5597AA65" w14:textId="2F74C8E5" w:rsidR="00B13EDC" w:rsidRPr="00E55367" w:rsidRDefault="00797BF0" w:rsidP="00623750">
      <w:pPr>
        <w:pStyle w:val="TreA"/>
        <w:pBdr>
          <w:top w:val="none" w:sz="0" w:space="0" w:color="auto"/>
          <w:left w:val="none" w:sz="0" w:space="0" w:color="auto"/>
          <w:bottom w:val="none" w:sz="0" w:space="0" w:color="auto"/>
          <w:right w:val="none" w:sz="0" w:space="0" w:color="auto"/>
          <w:between w:val="none" w:sz="0" w:space="0" w:color="auto"/>
          <w:bar w:val="none" w:sz="0" w:color="auto"/>
        </w:pBdr>
        <w:shd w:val="pct5" w:color="auto" w:fill="auto"/>
        <w:jc w:val="both"/>
        <w:rPr>
          <w:rFonts w:ascii="Verdana" w:hAnsi="Verdana"/>
          <w:sz w:val="20"/>
          <w:szCs w:val="20"/>
        </w:rPr>
      </w:pPr>
      <w:r w:rsidRPr="00E55367">
        <w:rPr>
          <w:rFonts w:ascii="Verdana" w:hAnsi="Verdana"/>
          <w:sz w:val="20"/>
          <w:szCs w:val="20"/>
        </w:rPr>
        <w:t>Skargi</w:t>
      </w:r>
      <w:r w:rsidR="00906A4F" w:rsidRPr="00E55367">
        <w:rPr>
          <w:rFonts w:ascii="Verdana" w:hAnsi="Verdana"/>
          <w:sz w:val="20"/>
          <w:szCs w:val="20"/>
        </w:rPr>
        <w:t>,</w:t>
      </w:r>
      <w:r w:rsidRPr="00E55367">
        <w:rPr>
          <w:rFonts w:ascii="Verdana" w:hAnsi="Verdana"/>
          <w:sz w:val="20"/>
          <w:szCs w:val="20"/>
        </w:rPr>
        <w:t xml:space="preserve"> złożone przez prawników i dziennikarzy oraz przez </w:t>
      </w:r>
      <w:r w:rsidR="00906A4F" w:rsidRPr="00E55367">
        <w:rPr>
          <w:rFonts w:ascii="Verdana" w:hAnsi="Verdana"/>
          <w:sz w:val="20"/>
          <w:szCs w:val="20"/>
        </w:rPr>
        <w:t xml:space="preserve">osoby prawne </w:t>
      </w:r>
      <w:r w:rsidRPr="00E55367">
        <w:rPr>
          <w:rFonts w:ascii="Verdana" w:hAnsi="Verdana"/>
          <w:sz w:val="20"/>
          <w:szCs w:val="20"/>
        </w:rPr>
        <w:t>powiązane z tymi zawodami</w:t>
      </w:r>
      <w:r w:rsidR="00906A4F" w:rsidRPr="00E55367">
        <w:rPr>
          <w:rFonts w:ascii="Verdana" w:hAnsi="Verdana"/>
          <w:sz w:val="20"/>
          <w:szCs w:val="20"/>
        </w:rPr>
        <w:t>,</w:t>
      </w:r>
      <w:r w:rsidRPr="00E55367">
        <w:rPr>
          <w:rFonts w:ascii="Verdana" w:hAnsi="Verdana"/>
          <w:sz w:val="20"/>
          <w:szCs w:val="20"/>
        </w:rPr>
        <w:t xml:space="preserve"> dotyczą </w:t>
      </w:r>
      <w:r w:rsidR="00906A4F" w:rsidRPr="00E55367">
        <w:rPr>
          <w:rFonts w:ascii="Verdana" w:hAnsi="Verdana"/>
          <w:sz w:val="20"/>
          <w:szCs w:val="20"/>
        </w:rPr>
        <w:t xml:space="preserve">ustawy z dnia 24 lipca 2015 r. o </w:t>
      </w:r>
      <w:r w:rsidRPr="00E55367">
        <w:rPr>
          <w:rFonts w:ascii="Verdana" w:hAnsi="Verdana"/>
          <w:sz w:val="20"/>
          <w:szCs w:val="20"/>
        </w:rPr>
        <w:t>francuski</w:t>
      </w:r>
      <w:r w:rsidR="00906A4F" w:rsidRPr="00E55367">
        <w:rPr>
          <w:rFonts w:ascii="Verdana" w:hAnsi="Verdana"/>
          <w:sz w:val="20"/>
          <w:szCs w:val="20"/>
        </w:rPr>
        <w:t>m</w:t>
      </w:r>
      <w:r w:rsidRPr="00E55367">
        <w:rPr>
          <w:rFonts w:ascii="Verdana" w:hAnsi="Verdana"/>
          <w:sz w:val="20"/>
          <w:szCs w:val="20"/>
        </w:rPr>
        <w:t xml:space="preserve"> wywiad</w:t>
      </w:r>
      <w:r w:rsidR="00906A4F" w:rsidRPr="00E55367">
        <w:rPr>
          <w:rFonts w:ascii="Verdana" w:hAnsi="Verdana"/>
          <w:sz w:val="20"/>
          <w:szCs w:val="20"/>
        </w:rPr>
        <w:t>zie</w:t>
      </w:r>
    </w:p>
    <w:p w14:paraId="35AD55AF" w14:textId="147E7F6E" w:rsidR="00E55367" w:rsidRPr="00E55367" w:rsidRDefault="00797BF0" w:rsidP="00623750">
      <w:pPr>
        <w:pStyle w:val="TreA"/>
        <w:pBdr>
          <w:top w:val="none" w:sz="0" w:space="0" w:color="auto"/>
          <w:left w:val="none" w:sz="0" w:space="0" w:color="auto"/>
          <w:bottom w:val="none" w:sz="0" w:space="0" w:color="auto"/>
          <w:right w:val="none" w:sz="0" w:space="0" w:color="auto"/>
          <w:between w:val="none" w:sz="0" w:space="0" w:color="auto"/>
          <w:bar w:val="none" w:sz="0" w:color="auto"/>
        </w:pBdr>
        <w:shd w:val="pct5" w:color="auto" w:fill="auto"/>
        <w:jc w:val="both"/>
        <w:rPr>
          <w:rFonts w:ascii="Verdana" w:hAnsi="Verdana"/>
          <w:color w:val="0076BA"/>
          <w:sz w:val="20"/>
          <w:szCs w:val="20"/>
          <w:u w:color="0076BA"/>
        </w:rPr>
      </w:pPr>
      <w:r w:rsidRPr="00E55367">
        <w:rPr>
          <w:rFonts w:ascii="Verdana" w:hAnsi="Verdana"/>
          <w:color w:val="0076BA"/>
          <w:sz w:val="20"/>
          <w:szCs w:val="20"/>
          <w:u w:color="0076BA"/>
        </w:rPr>
        <w:t xml:space="preserve">Trybunał powiadomił </w:t>
      </w:r>
      <w:r w:rsidR="00906A4F" w:rsidRPr="00E55367">
        <w:rPr>
          <w:rFonts w:ascii="Verdana" w:hAnsi="Verdana"/>
          <w:color w:val="0076BA"/>
          <w:sz w:val="20"/>
          <w:szCs w:val="20"/>
          <w:u w:color="0076BA"/>
        </w:rPr>
        <w:t xml:space="preserve">o skargach </w:t>
      </w:r>
      <w:r w:rsidRPr="00E55367">
        <w:rPr>
          <w:rFonts w:ascii="Verdana" w:hAnsi="Verdana"/>
          <w:color w:val="0076BA"/>
          <w:sz w:val="20"/>
          <w:szCs w:val="20"/>
          <w:u w:color="0076BA"/>
        </w:rPr>
        <w:t xml:space="preserve">rząd francuski i przedstawił stronom pytania </w:t>
      </w:r>
      <w:r w:rsidR="00906A4F" w:rsidRPr="00E55367">
        <w:rPr>
          <w:rFonts w:ascii="Verdana" w:hAnsi="Verdana"/>
          <w:color w:val="0076BA"/>
          <w:sz w:val="20"/>
          <w:szCs w:val="20"/>
          <w:u w:color="0076BA"/>
        </w:rPr>
        <w:t>zgodnie z</w:t>
      </w:r>
      <w:r w:rsidRPr="00E55367">
        <w:rPr>
          <w:rFonts w:ascii="Verdana" w:hAnsi="Verdana"/>
          <w:color w:val="0076BA"/>
          <w:sz w:val="20"/>
          <w:szCs w:val="20"/>
          <w:u w:color="0076BA"/>
        </w:rPr>
        <w:t xml:space="preserve"> art. 8 (prawo do poszanowania życia prywatnego i korespondencji), art.</w:t>
      </w:r>
      <w:r w:rsidR="00B536BC" w:rsidRPr="00E55367">
        <w:rPr>
          <w:rFonts w:ascii="Verdana" w:hAnsi="Verdana"/>
          <w:color w:val="0076BA"/>
          <w:sz w:val="20"/>
          <w:szCs w:val="20"/>
          <w:u w:color="0076BA"/>
        </w:rPr>
        <w:t xml:space="preserve"> </w:t>
      </w:r>
      <w:r w:rsidRPr="00E55367">
        <w:rPr>
          <w:rFonts w:ascii="Verdana" w:hAnsi="Verdana"/>
          <w:color w:val="0076BA"/>
          <w:sz w:val="20"/>
          <w:szCs w:val="20"/>
          <w:u w:color="0076BA"/>
        </w:rPr>
        <w:t>10 (wolność wyrażania opinii) i</w:t>
      </w:r>
      <w:r w:rsidR="00283B94" w:rsidRPr="00E55367">
        <w:rPr>
          <w:rFonts w:ascii="Verdana" w:hAnsi="Verdana"/>
          <w:color w:val="0076BA"/>
          <w:sz w:val="20"/>
          <w:szCs w:val="20"/>
          <w:u w:color="0076BA"/>
        </w:rPr>
        <w:t> </w:t>
      </w:r>
      <w:r w:rsidRPr="00E55367">
        <w:rPr>
          <w:rFonts w:ascii="Verdana" w:hAnsi="Verdana"/>
          <w:color w:val="0076BA"/>
          <w:sz w:val="20"/>
          <w:szCs w:val="20"/>
          <w:u w:color="0076BA"/>
        </w:rPr>
        <w:t>art. 13 (prawo do skutecznego środka odwoławczego) Konwencji.</w:t>
      </w:r>
      <w:bookmarkEnd w:id="0"/>
    </w:p>
    <w:p w14:paraId="657C0207" w14:textId="207A862C" w:rsidR="00B13EDC" w:rsidRPr="00E55367" w:rsidRDefault="00797BF0" w:rsidP="00623750">
      <w:pPr>
        <w:pStyle w:val="TreA"/>
        <w:pBdr>
          <w:top w:val="none" w:sz="0" w:space="0" w:color="auto"/>
          <w:left w:val="none" w:sz="0" w:space="0" w:color="auto"/>
          <w:bottom w:val="none" w:sz="0" w:space="0" w:color="auto"/>
          <w:right w:val="none" w:sz="0" w:space="0" w:color="auto"/>
          <w:between w:val="none" w:sz="0" w:space="0" w:color="auto"/>
          <w:bar w:val="none" w:sz="0" w:color="auto"/>
        </w:pBdr>
        <w:shd w:val="pct5" w:color="auto" w:fill="auto"/>
        <w:jc w:val="both"/>
        <w:rPr>
          <w:rFonts w:ascii="Verdana" w:hAnsi="Verdana"/>
          <w:b/>
          <w:bCs/>
          <w:sz w:val="20"/>
          <w:szCs w:val="20"/>
          <w:u w:val="single"/>
        </w:rPr>
      </w:pPr>
      <w:r w:rsidRPr="00E55367">
        <w:rPr>
          <w:rFonts w:ascii="Verdana" w:hAnsi="Verdana"/>
          <w:i/>
          <w:iCs/>
          <w:color w:val="5E5E5E"/>
          <w:sz w:val="20"/>
          <w:szCs w:val="20"/>
          <w:u w:color="5E5E5E"/>
        </w:rPr>
        <w:t>Podobne sprawy w toku:</w:t>
      </w:r>
      <w:r w:rsidRPr="00E55367">
        <w:rPr>
          <w:rFonts w:ascii="Verdana" w:hAnsi="Verdana"/>
          <w:sz w:val="20"/>
          <w:szCs w:val="20"/>
        </w:rPr>
        <w:t xml:space="preserve"> </w:t>
      </w:r>
      <w:hyperlink r:id="rId18" w:history="1">
        <w:r w:rsidRPr="00A71D72">
          <w:rPr>
            <w:rStyle w:val="Hipercze"/>
            <w:rFonts w:ascii="Verdana" w:hAnsi="Verdana"/>
            <w:b/>
            <w:bCs/>
            <w:color w:val="0070C0"/>
            <w:sz w:val="20"/>
            <w:szCs w:val="20"/>
          </w:rPr>
          <w:t>Follorou przeciwko Francji (skarga nr 30635/17) oraz Johannes przeciwko Francji (skarga nr 30636/17)</w:t>
        </w:r>
      </w:hyperlink>
    </w:p>
    <w:p w14:paraId="6166AC25" w14:textId="7E14EA06" w:rsidR="00B13EDC" w:rsidRPr="00981109" w:rsidRDefault="00797BF0" w:rsidP="00623750">
      <w:pPr>
        <w:pStyle w:val="TreA"/>
        <w:pBdr>
          <w:top w:val="none" w:sz="0" w:space="0" w:color="auto"/>
          <w:left w:val="none" w:sz="0" w:space="0" w:color="auto"/>
          <w:bottom w:val="none" w:sz="0" w:space="0" w:color="auto"/>
          <w:right w:val="none" w:sz="0" w:space="0" w:color="auto"/>
          <w:between w:val="none" w:sz="0" w:space="0" w:color="auto"/>
          <w:bar w:val="none" w:sz="0" w:color="auto"/>
        </w:pBdr>
        <w:shd w:val="pct5" w:color="auto" w:fill="auto"/>
        <w:rPr>
          <w:rFonts w:ascii="Verdana" w:hAnsi="Verdana"/>
          <w:color w:val="929292"/>
          <w:sz w:val="18"/>
          <w:szCs w:val="18"/>
          <w:u w:color="929292"/>
        </w:rPr>
      </w:pPr>
      <w:r w:rsidRPr="00981109">
        <w:rPr>
          <w:rFonts w:ascii="Verdana" w:hAnsi="Verdana"/>
          <w:color w:val="929292"/>
          <w:sz w:val="18"/>
          <w:szCs w:val="18"/>
          <w:u w:color="929292"/>
        </w:rPr>
        <w:t>Skargi zakomunikowane rządowi francuskiemu w dniu 4 lipca 2017 r.</w:t>
      </w:r>
    </w:p>
    <w:p w14:paraId="62F54E4E" w14:textId="53EB4BB1" w:rsidR="00A71D72" w:rsidRPr="00FB4F34" w:rsidRDefault="00797BF0" w:rsidP="00623750">
      <w:pPr>
        <w:pStyle w:val="TreA"/>
        <w:pBdr>
          <w:top w:val="none" w:sz="0" w:space="0" w:color="auto"/>
          <w:left w:val="none" w:sz="0" w:space="0" w:color="auto"/>
          <w:bottom w:val="none" w:sz="0" w:space="0" w:color="auto"/>
          <w:right w:val="none" w:sz="0" w:space="0" w:color="auto"/>
          <w:between w:val="none" w:sz="0" w:space="0" w:color="auto"/>
          <w:bar w:val="none" w:sz="0" w:color="auto"/>
        </w:pBdr>
        <w:shd w:val="pct5" w:color="auto" w:fill="auto"/>
        <w:jc w:val="both"/>
        <w:rPr>
          <w:rFonts w:ascii="Verdana" w:hAnsi="Verdana"/>
          <w:color w:val="0076BA"/>
          <w:sz w:val="20"/>
          <w:szCs w:val="20"/>
          <w:u w:color="0076BA"/>
        </w:rPr>
      </w:pPr>
      <w:r w:rsidRPr="00E55367">
        <w:rPr>
          <w:rFonts w:ascii="Verdana" w:hAnsi="Verdana"/>
          <w:color w:val="0076BA"/>
          <w:sz w:val="20"/>
          <w:szCs w:val="20"/>
          <w:u w:color="0076BA"/>
        </w:rPr>
        <w:t xml:space="preserve">Trybunał powiadomił </w:t>
      </w:r>
      <w:r w:rsidR="007D7531" w:rsidRPr="00E55367">
        <w:rPr>
          <w:rFonts w:ascii="Verdana" w:hAnsi="Verdana"/>
          <w:color w:val="0076BA"/>
          <w:sz w:val="20"/>
          <w:szCs w:val="20"/>
          <w:u w:color="0076BA"/>
        </w:rPr>
        <w:t xml:space="preserve">o skargach </w:t>
      </w:r>
      <w:r w:rsidRPr="00E55367">
        <w:rPr>
          <w:rFonts w:ascii="Verdana" w:hAnsi="Verdana"/>
          <w:color w:val="0076BA"/>
          <w:sz w:val="20"/>
          <w:szCs w:val="20"/>
          <w:u w:color="0076BA"/>
        </w:rPr>
        <w:t xml:space="preserve">rząd francuski i przedstawił stronom pytania </w:t>
      </w:r>
      <w:r w:rsidR="007D7531" w:rsidRPr="00E55367">
        <w:rPr>
          <w:rFonts w:ascii="Verdana" w:hAnsi="Verdana"/>
          <w:color w:val="0076BA"/>
          <w:sz w:val="20"/>
          <w:szCs w:val="20"/>
          <w:u w:color="0076BA"/>
        </w:rPr>
        <w:t>zgodnie z</w:t>
      </w:r>
      <w:r w:rsidRPr="00E55367">
        <w:rPr>
          <w:rFonts w:ascii="Verdana" w:hAnsi="Verdana"/>
          <w:color w:val="0076BA"/>
          <w:sz w:val="20"/>
          <w:szCs w:val="20"/>
          <w:u w:color="0076BA"/>
        </w:rPr>
        <w:t xml:space="preserve"> art. 6 ust. 1 (prawo do rzetelnego procesu sądowego), art. 8 (prawo do poszanowania życia prywatnego), art. 10 (wolność wyrażania opinii) oraz art. 13 (prawo do skutecznego środka odwoławczego) Konwencji.</w:t>
      </w:r>
    </w:p>
    <w:p w14:paraId="7A21488B" w14:textId="6E25283B" w:rsidR="00A71D72" w:rsidRPr="00981109" w:rsidRDefault="00981109" w:rsidP="00A71D72">
      <w:pPr>
        <w:pStyle w:val="TreA"/>
        <w:pBdr>
          <w:top w:val="none" w:sz="0" w:space="0" w:color="auto"/>
          <w:left w:val="none" w:sz="0" w:space="0" w:color="auto"/>
          <w:bottom w:val="none" w:sz="0" w:space="0" w:color="auto"/>
          <w:right w:val="none" w:sz="0" w:space="0" w:color="auto"/>
          <w:between w:val="none" w:sz="0" w:space="0" w:color="auto"/>
          <w:bar w:val="none" w:sz="0" w:color="auto"/>
        </w:pBdr>
        <w:shd w:val="pct5" w:color="auto" w:fill="auto"/>
        <w:jc w:val="both"/>
        <w:rPr>
          <w:rStyle w:val="Hipercze"/>
          <w:rFonts w:ascii="Verdana" w:hAnsi="Verdana"/>
          <w:color w:val="0070C0"/>
          <w:sz w:val="20"/>
          <w:szCs w:val="20"/>
          <w:lang w:val="fr-FR"/>
        </w:rPr>
      </w:pPr>
      <w:r w:rsidRPr="00981109">
        <w:rPr>
          <w:rFonts w:ascii="Verdana" w:hAnsi="Verdana"/>
          <w:b/>
          <w:bCs/>
          <w:color w:val="0070C0"/>
          <w:sz w:val="20"/>
          <w:szCs w:val="20"/>
          <w:u w:val="single"/>
          <w:lang w:val="fr-FR"/>
        </w:rPr>
        <w:fldChar w:fldCharType="begin"/>
      </w:r>
      <w:r w:rsidRPr="00981109">
        <w:rPr>
          <w:rFonts w:ascii="Verdana" w:hAnsi="Verdana"/>
          <w:b/>
          <w:bCs/>
          <w:color w:val="0070C0"/>
          <w:sz w:val="20"/>
          <w:szCs w:val="20"/>
          <w:u w:val="single"/>
          <w:lang w:val="fr-FR"/>
        </w:rPr>
        <w:instrText>HYPERLINK "https://hudoc.echr.coe.int/eng?i=001-211962"</w:instrText>
      </w:r>
      <w:r w:rsidRPr="00981109">
        <w:rPr>
          <w:rFonts w:ascii="Verdana" w:hAnsi="Verdana"/>
          <w:b/>
          <w:bCs/>
          <w:color w:val="0070C0"/>
          <w:sz w:val="20"/>
          <w:szCs w:val="20"/>
          <w:u w:val="single"/>
          <w:lang w:val="fr-FR"/>
        </w:rPr>
      </w:r>
      <w:r w:rsidRPr="00981109">
        <w:rPr>
          <w:rFonts w:ascii="Verdana" w:hAnsi="Verdana"/>
          <w:b/>
          <w:bCs/>
          <w:color w:val="0070C0"/>
          <w:sz w:val="20"/>
          <w:szCs w:val="20"/>
          <w:u w:val="single"/>
          <w:lang w:val="fr-FR"/>
        </w:rPr>
        <w:fldChar w:fldCharType="separate"/>
      </w:r>
      <w:r w:rsidR="00A71D72" w:rsidRPr="00981109">
        <w:rPr>
          <w:rStyle w:val="Hipercze"/>
          <w:rFonts w:ascii="Verdana" w:hAnsi="Verdana"/>
          <w:b/>
          <w:bCs/>
          <w:color w:val="0070C0"/>
          <w:sz w:val="20"/>
          <w:szCs w:val="20"/>
          <w:lang w:val="fr-FR"/>
        </w:rPr>
        <w:t xml:space="preserve">Start Media Ltd przeciwko Armenii i </w:t>
      </w:r>
      <w:r w:rsidRPr="00981109">
        <w:rPr>
          <w:rStyle w:val="Hipercze"/>
          <w:rFonts w:ascii="Verdana" w:hAnsi="Verdana"/>
          <w:b/>
          <w:bCs/>
          <w:color w:val="0070C0"/>
          <w:sz w:val="20"/>
          <w:szCs w:val="20"/>
          <w:lang w:val="fr-FR"/>
        </w:rPr>
        <w:t>inna</w:t>
      </w:r>
      <w:r w:rsidR="00A71D72" w:rsidRPr="00981109">
        <w:rPr>
          <w:rStyle w:val="Hipercze"/>
          <w:rFonts w:ascii="Verdana" w:hAnsi="Verdana"/>
          <w:b/>
          <w:bCs/>
          <w:color w:val="0070C0"/>
          <w:sz w:val="20"/>
          <w:szCs w:val="20"/>
          <w:lang w:val="fr-FR"/>
        </w:rPr>
        <w:t xml:space="preserve"> skarga (nr 34286/15 and nr 34321/15)</w:t>
      </w:r>
    </w:p>
    <w:p w14:paraId="69E8F50E" w14:textId="1A783E0C" w:rsidR="00A71D72" w:rsidRPr="00981109" w:rsidRDefault="00981109" w:rsidP="00A71D72">
      <w:pPr>
        <w:pStyle w:val="TreA"/>
        <w:pBdr>
          <w:top w:val="none" w:sz="0" w:space="0" w:color="auto"/>
          <w:left w:val="none" w:sz="0" w:space="0" w:color="auto"/>
          <w:bottom w:val="none" w:sz="0" w:space="0" w:color="auto"/>
          <w:right w:val="none" w:sz="0" w:space="0" w:color="auto"/>
          <w:between w:val="none" w:sz="0" w:space="0" w:color="auto"/>
          <w:bar w:val="none" w:sz="0" w:color="auto"/>
        </w:pBdr>
        <w:shd w:val="pct5" w:color="auto" w:fill="auto"/>
        <w:rPr>
          <w:rFonts w:ascii="Verdana" w:hAnsi="Verdana"/>
          <w:color w:val="929292"/>
          <w:sz w:val="18"/>
          <w:szCs w:val="18"/>
          <w:u w:color="929292"/>
        </w:rPr>
      </w:pPr>
      <w:r w:rsidRPr="00981109">
        <w:rPr>
          <w:rFonts w:ascii="Verdana" w:hAnsi="Verdana"/>
          <w:b/>
          <w:bCs/>
          <w:color w:val="0070C0"/>
          <w:sz w:val="20"/>
          <w:szCs w:val="20"/>
          <w:u w:val="single"/>
          <w:lang w:val="fr-FR"/>
        </w:rPr>
        <w:fldChar w:fldCharType="end"/>
      </w:r>
      <w:r w:rsidR="00A71D72" w:rsidRPr="00981109">
        <w:rPr>
          <w:rFonts w:ascii="Verdana" w:hAnsi="Verdana"/>
          <w:color w:val="929292"/>
          <w:sz w:val="18"/>
          <w:szCs w:val="18"/>
          <w:u w:color="929292"/>
        </w:rPr>
        <w:t xml:space="preserve">Skargi zakomunikowane rządowi </w:t>
      </w:r>
      <w:r>
        <w:rPr>
          <w:rFonts w:ascii="Verdana" w:hAnsi="Verdana"/>
          <w:color w:val="929292"/>
          <w:sz w:val="18"/>
          <w:szCs w:val="18"/>
          <w:u w:color="929292"/>
        </w:rPr>
        <w:t>ormiańskiemu</w:t>
      </w:r>
      <w:r w:rsidR="00A71D72" w:rsidRPr="00981109">
        <w:rPr>
          <w:rFonts w:ascii="Verdana" w:hAnsi="Verdana"/>
          <w:color w:val="929292"/>
          <w:sz w:val="18"/>
          <w:szCs w:val="18"/>
          <w:u w:color="929292"/>
        </w:rPr>
        <w:t xml:space="preserve"> w dniu </w:t>
      </w:r>
      <w:r>
        <w:rPr>
          <w:rFonts w:ascii="Verdana" w:hAnsi="Verdana"/>
          <w:color w:val="929292"/>
          <w:sz w:val="18"/>
          <w:szCs w:val="18"/>
          <w:u w:color="929292"/>
        </w:rPr>
        <w:t>30 sierpnia</w:t>
      </w:r>
      <w:r w:rsidR="00A71D72" w:rsidRPr="00981109">
        <w:rPr>
          <w:rFonts w:ascii="Verdana" w:hAnsi="Verdana"/>
          <w:color w:val="929292"/>
          <w:sz w:val="18"/>
          <w:szCs w:val="18"/>
          <w:u w:color="929292"/>
        </w:rPr>
        <w:t xml:space="preserve"> 20</w:t>
      </w:r>
      <w:r>
        <w:rPr>
          <w:rFonts w:ascii="Verdana" w:hAnsi="Verdana"/>
          <w:color w:val="929292"/>
          <w:sz w:val="18"/>
          <w:szCs w:val="18"/>
          <w:u w:color="929292"/>
        </w:rPr>
        <w:t>21</w:t>
      </w:r>
      <w:r w:rsidR="00A71D72" w:rsidRPr="00981109">
        <w:rPr>
          <w:rFonts w:ascii="Verdana" w:hAnsi="Verdana"/>
          <w:color w:val="929292"/>
          <w:sz w:val="18"/>
          <w:szCs w:val="18"/>
          <w:u w:color="929292"/>
        </w:rPr>
        <w:t xml:space="preserve"> r.</w:t>
      </w:r>
    </w:p>
    <w:p w14:paraId="34B31CFF" w14:textId="48717BEF" w:rsidR="00981109" w:rsidRDefault="00981109" w:rsidP="00A71D72">
      <w:pPr>
        <w:pStyle w:val="TreA"/>
        <w:pBdr>
          <w:top w:val="none" w:sz="0" w:space="0" w:color="auto"/>
          <w:left w:val="none" w:sz="0" w:space="0" w:color="auto"/>
          <w:bottom w:val="none" w:sz="0" w:space="0" w:color="auto"/>
          <w:right w:val="none" w:sz="0" w:space="0" w:color="auto"/>
          <w:between w:val="none" w:sz="0" w:space="0" w:color="auto"/>
          <w:bar w:val="none" w:sz="0" w:color="auto"/>
        </w:pBdr>
        <w:shd w:val="pct5" w:color="auto" w:fill="auto"/>
        <w:jc w:val="both"/>
        <w:rPr>
          <w:rFonts w:ascii="Verdana" w:hAnsi="Verdana"/>
          <w:sz w:val="20"/>
          <w:szCs w:val="20"/>
        </w:rPr>
      </w:pPr>
      <w:r w:rsidRPr="00981109">
        <w:rPr>
          <w:rFonts w:ascii="Verdana" w:hAnsi="Verdana"/>
          <w:sz w:val="20"/>
          <w:szCs w:val="20"/>
        </w:rPr>
        <w:t>Skarżącymi są, w pierwszej sprawie, spółka prywatna, która w istotnym czasie prowadziła internetową stronę medialną oraz, w drugiej sprawie, inna spółka prywatna, która w istotnym czasie wydawała gazetę oraz jej dziennikarz. Skarżą się one na postanowienie sądu nakazujące ujawnienie ich źródeł dziennikarskich.</w:t>
      </w:r>
    </w:p>
    <w:p w14:paraId="4DEB17B1" w14:textId="4EF8C1CF" w:rsidR="00FB4F34" w:rsidRPr="00FB4F34" w:rsidRDefault="00981109" w:rsidP="00FB4F34">
      <w:pPr>
        <w:pStyle w:val="TreA"/>
        <w:pBdr>
          <w:top w:val="none" w:sz="0" w:space="0" w:color="auto"/>
          <w:left w:val="none" w:sz="0" w:space="0" w:color="auto"/>
          <w:bottom w:val="none" w:sz="0" w:space="0" w:color="auto"/>
          <w:right w:val="none" w:sz="0" w:space="0" w:color="auto"/>
          <w:between w:val="none" w:sz="0" w:space="0" w:color="auto"/>
          <w:bar w:val="none" w:sz="0" w:color="auto"/>
        </w:pBdr>
        <w:shd w:val="pct5" w:color="auto" w:fill="auto"/>
        <w:jc w:val="both"/>
        <w:rPr>
          <w:rFonts w:ascii="Verdana" w:hAnsi="Verdana"/>
          <w:color w:val="0076BA"/>
          <w:sz w:val="20"/>
          <w:szCs w:val="20"/>
          <w:u w:color="0076BA"/>
        </w:rPr>
      </w:pPr>
      <w:r w:rsidRPr="00981109">
        <w:rPr>
          <w:rFonts w:ascii="Verdana" w:hAnsi="Verdana"/>
          <w:color w:val="0076BA"/>
          <w:sz w:val="20"/>
          <w:szCs w:val="20"/>
          <w:u w:color="0076BA"/>
        </w:rPr>
        <w:t>Trybunał powiadomił Rząd Armenii o skargach i zadał stronom pytania na podstawie Artykułu 10 (wolność wyrażania opinii) Konwencji.</w:t>
      </w:r>
    </w:p>
    <w:p w14:paraId="239FE069" w14:textId="77777777" w:rsidR="00FB4F34" w:rsidRDefault="00FB4F34" w:rsidP="00FB4F34">
      <w:pPr>
        <w:pStyle w:val="TreA"/>
        <w:rPr>
          <w:rFonts w:ascii="Verdana" w:hAnsi="Verdana"/>
          <w:color w:val="0072BC"/>
          <w:sz w:val="28"/>
          <w:szCs w:val="28"/>
          <w:u w:color="00A2FF"/>
        </w:rPr>
      </w:pPr>
    </w:p>
    <w:p w14:paraId="2D494B30" w14:textId="382FFA3E" w:rsidR="00B13EDC" w:rsidRDefault="00797BF0" w:rsidP="00FB4F34">
      <w:pPr>
        <w:pStyle w:val="TreA"/>
        <w:rPr>
          <w:rFonts w:ascii="Verdana" w:hAnsi="Verdana"/>
          <w:color w:val="0072BC"/>
          <w:sz w:val="28"/>
          <w:szCs w:val="28"/>
          <w:u w:color="00A2FF"/>
        </w:rPr>
      </w:pPr>
      <w:r w:rsidRPr="00E55367">
        <w:rPr>
          <w:rFonts w:ascii="Verdana" w:hAnsi="Verdana"/>
          <w:color w:val="0072BC"/>
          <w:sz w:val="28"/>
          <w:szCs w:val="28"/>
          <w:u w:color="00A2FF"/>
        </w:rPr>
        <w:t>Przeszukani</w:t>
      </w:r>
      <w:r w:rsidR="00DC725F" w:rsidRPr="00E55367">
        <w:rPr>
          <w:rFonts w:ascii="Verdana" w:hAnsi="Verdana"/>
          <w:color w:val="0072BC"/>
          <w:sz w:val="28"/>
          <w:szCs w:val="28"/>
          <w:u w:color="00A2FF"/>
        </w:rPr>
        <w:t>e</w:t>
      </w:r>
      <w:r w:rsidRPr="00E55367">
        <w:rPr>
          <w:rFonts w:ascii="Verdana" w:hAnsi="Verdana"/>
          <w:color w:val="0072BC"/>
          <w:sz w:val="28"/>
          <w:szCs w:val="28"/>
          <w:u w:color="00A2FF"/>
        </w:rPr>
        <w:t xml:space="preserve"> miejsc zamieszkania i miejsc pracy dziennikarzy / zatrzymanie </w:t>
      </w:r>
      <w:r w:rsidR="00946A73" w:rsidRPr="00E55367">
        <w:rPr>
          <w:rFonts w:ascii="Verdana" w:hAnsi="Verdana"/>
          <w:color w:val="0072BC"/>
          <w:sz w:val="28"/>
          <w:szCs w:val="28"/>
          <w:u w:color="00A2FF"/>
        </w:rPr>
        <w:t xml:space="preserve">dziennikarskich </w:t>
      </w:r>
      <w:r w:rsidR="00DC725F" w:rsidRPr="00E55367">
        <w:rPr>
          <w:rFonts w:ascii="Verdana" w:hAnsi="Verdana"/>
          <w:color w:val="0072BC"/>
          <w:sz w:val="28"/>
          <w:szCs w:val="28"/>
          <w:u w:color="00A2FF"/>
        </w:rPr>
        <w:t>materiałów</w:t>
      </w:r>
    </w:p>
    <w:p w14:paraId="44501AD5" w14:textId="77777777" w:rsidR="00FB4F34" w:rsidRDefault="00FB4F34" w:rsidP="00FB4F34">
      <w:pPr>
        <w:pStyle w:val="TreA"/>
        <w:rPr>
          <w:rFonts w:ascii="Verdana" w:hAnsi="Verdana"/>
          <w:color w:val="0072BC"/>
          <w:sz w:val="24"/>
          <w:szCs w:val="26"/>
          <w:u w:color="00A2FF"/>
        </w:rPr>
      </w:pPr>
      <w:r w:rsidRPr="00235F2C">
        <w:rPr>
          <w:rFonts w:ascii="Aptos" w:eastAsia="Aptos" w:hAnsi="Aptos" w:cs="Times New Roman"/>
          <w:noProof/>
          <w:color w:val="auto"/>
          <w:kern w:val="2"/>
          <w:sz w:val="24"/>
          <w:szCs w:val="24"/>
          <w:bdr w:val="none" w:sz="0" w:space="0" w:color="auto"/>
          <w:lang w:eastAsia="en-US"/>
          <w14:textOutline w14:w="0" w14:cap="rnd" w14:cmpd="sng" w14:algn="ctr">
            <w14:noFill/>
            <w14:prstDash w14:val="solid"/>
            <w14:bevel/>
          </w14:textOutline>
          <w14:ligatures w14:val="standardContextual"/>
        </w:rPr>
        <mc:AlternateContent>
          <mc:Choice Requires="wps">
            <w:drawing>
              <wp:anchor distT="45720" distB="45720" distL="114300" distR="114300" simplePos="0" relativeHeight="251673600" behindDoc="0" locked="0" layoutInCell="1" allowOverlap="1" wp14:anchorId="55C60093" wp14:editId="1873A242">
                <wp:simplePos x="0" y="0"/>
                <wp:positionH relativeFrom="margin">
                  <wp:posOffset>-26670</wp:posOffset>
                </wp:positionH>
                <wp:positionV relativeFrom="paragraph">
                  <wp:posOffset>625475</wp:posOffset>
                </wp:positionV>
                <wp:extent cx="6187440" cy="2308860"/>
                <wp:effectExtent l="0" t="0" r="3810" b="0"/>
                <wp:wrapSquare wrapText="bothSides"/>
                <wp:docPr id="182151094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2308860"/>
                        </a:xfrm>
                        <a:prstGeom prst="rect">
                          <a:avLst/>
                        </a:prstGeom>
                        <a:solidFill>
                          <a:srgbClr val="E8E8E8"/>
                        </a:solidFill>
                        <a:ln w="9525">
                          <a:noFill/>
                          <a:miter lim="800000"/>
                          <a:headEnd/>
                          <a:tailEnd/>
                        </a:ln>
                      </wps:spPr>
                      <wps:txbx>
                        <w:txbxContent>
                          <w:p w14:paraId="1EAB4E30" w14:textId="77777777" w:rsidR="00FB4F34" w:rsidRPr="00981109" w:rsidRDefault="00FB4F34" w:rsidP="00FB4F34">
                            <w:pPr>
                              <w:pStyle w:val="TreA"/>
                              <w:spacing w:before="120"/>
                              <w:rPr>
                                <w:rFonts w:ascii="Verdana" w:hAnsi="Verdana"/>
                                <w:b/>
                                <w:bCs/>
                                <w:color w:val="0070C0"/>
                                <w:sz w:val="20"/>
                                <w:szCs w:val="20"/>
                                <w:u w:val="single" w:color="0076BA"/>
                              </w:rPr>
                            </w:pPr>
                            <w:hyperlink r:id="rId19" w:history="1">
                              <w:r w:rsidRPr="00981109">
                                <w:rPr>
                                  <w:rStyle w:val="Hipercze"/>
                                  <w:rFonts w:ascii="Verdana" w:hAnsi="Verdana"/>
                                  <w:b/>
                                  <w:bCs/>
                                  <w:color w:val="0070C0"/>
                                  <w:sz w:val="20"/>
                                  <w:szCs w:val="20"/>
                                </w:rPr>
                                <w:t>Ernst i Inni przeciwko Belgii</w:t>
                              </w:r>
                            </w:hyperlink>
                          </w:p>
                          <w:p w14:paraId="2CE3464E" w14:textId="77777777" w:rsidR="00FB4F34" w:rsidRPr="00981109" w:rsidRDefault="00FB4F34" w:rsidP="00FB4F34">
                            <w:pPr>
                              <w:pStyle w:val="TreA"/>
                              <w:rPr>
                                <w:rFonts w:ascii="Verdana" w:hAnsi="Verdana"/>
                                <w:color w:val="929292"/>
                                <w:sz w:val="18"/>
                                <w:szCs w:val="18"/>
                                <w:u w:color="929292"/>
                              </w:rPr>
                            </w:pPr>
                            <w:r w:rsidRPr="00981109">
                              <w:rPr>
                                <w:rFonts w:ascii="Verdana" w:hAnsi="Verdana"/>
                                <w:color w:val="929292"/>
                                <w:sz w:val="18"/>
                                <w:szCs w:val="18"/>
                                <w:u w:color="929292"/>
                              </w:rPr>
                              <w:t>15 lipca 2003 r.</w:t>
                            </w:r>
                          </w:p>
                          <w:p w14:paraId="260CE106" w14:textId="77777777" w:rsidR="00FB4F34" w:rsidRPr="00E55367" w:rsidRDefault="00FB4F34" w:rsidP="00FB4F34">
                            <w:pPr>
                              <w:pStyle w:val="TreA"/>
                              <w:jc w:val="both"/>
                              <w:rPr>
                                <w:rFonts w:ascii="Verdana" w:hAnsi="Verdana"/>
                                <w:sz w:val="20"/>
                                <w:szCs w:val="20"/>
                              </w:rPr>
                            </w:pPr>
                            <w:r w:rsidRPr="00E55367">
                              <w:rPr>
                                <w:rFonts w:ascii="Verdana" w:hAnsi="Verdana"/>
                                <w:sz w:val="20"/>
                                <w:szCs w:val="20"/>
                              </w:rPr>
                              <w:t>Skarżącymi w tej sprawie byli czterej dziennikarze. Sprawa dotyczyła przeszukania biur belgijskich gazet oraz domów czterech dziennikarzy przez sekcję policji ds. zwalczania poważnych przestępstw w związku z oskarżeniem członków państwowego biura obsługi prawnej przy Sądzie Apelacyjnym w Liège o naruszenie zasady poufności wskutek przecieków ze spraw karnych o wysokim stopniu poufności.</w:t>
                            </w:r>
                          </w:p>
                          <w:p w14:paraId="57216FFB" w14:textId="77777777" w:rsidR="00FB4F34" w:rsidRPr="00E55367" w:rsidRDefault="00FB4F34" w:rsidP="00FB4F34">
                            <w:pPr>
                              <w:pStyle w:val="TreA"/>
                              <w:jc w:val="both"/>
                              <w:rPr>
                                <w:rFonts w:ascii="Verdana" w:hAnsi="Verdana"/>
                                <w:color w:val="0076BA"/>
                                <w:sz w:val="20"/>
                                <w:szCs w:val="20"/>
                                <w:u w:color="0076BA"/>
                              </w:rPr>
                            </w:pPr>
                            <w:r w:rsidRPr="00E55367">
                              <w:rPr>
                                <w:rFonts w:ascii="Verdana" w:hAnsi="Verdana"/>
                                <w:color w:val="0076BA"/>
                                <w:sz w:val="20"/>
                                <w:szCs w:val="20"/>
                                <w:u w:color="0076BA"/>
                              </w:rPr>
                              <w:t xml:space="preserve">Trybunał uznał, że doszło do </w:t>
                            </w:r>
                            <w:r w:rsidRPr="00E55367">
                              <w:rPr>
                                <w:rFonts w:ascii="Verdana" w:hAnsi="Verdana"/>
                                <w:b/>
                                <w:bCs/>
                                <w:color w:val="0076BA"/>
                                <w:sz w:val="20"/>
                                <w:szCs w:val="20"/>
                                <w:u w:color="0076BA"/>
                              </w:rPr>
                              <w:t>naruszenia art. 10</w:t>
                            </w:r>
                            <w:r w:rsidRPr="00E55367">
                              <w:rPr>
                                <w:rFonts w:ascii="Verdana" w:hAnsi="Verdana"/>
                                <w:color w:val="0076BA"/>
                                <w:sz w:val="20"/>
                                <w:szCs w:val="20"/>
                                <w:u w:color="0076BA"/>
                              </w:rPr>
                              <w:t xml:space="preserve"> Konwencji. Stwierdził w szczególności, że przedstawione przez sądy krajowe argumenty nie były wystarczające do uzasadnienia przeszukań i zatrzymań na tak dużą skalę. W sprawie tej Trybunał stwierdził ponadto, że doszło do naruszenia art. 8 (prawo do poszanowania życia prywatnego ), nie doszło do naruszenia art. 6 ust. 1 (prawo do rzetelnego procesu sądowego), nie doszło do naruszenia art. 14 (zakaz dyskryminacji) w zw. z art. 6 ust. 1 oraz że nie doszło do naruszenia art. 13 (prawo do skutecznego środka odwoławczego) Konwencji.</w:t>
                            </w:r>
                          </w:p>
                          <w:p w14:paraId="38D1D0FE" w14:textId="77777777" w:rsidR="00FB4F34" w:rsidRDefault="00FB4F34" w:rsidP="00FB4F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60093" id="_x0000_t202" coordsize="21600,21600" o:spt="202" path="m,l,21600r21600,l21600,xe">
                <v:stroke joinstyle="miter"/>
                <v:path gradientshapeok="t" o:connecttype="rect"/>
              </v:shapetype>
              <v:shape id="Pole tekstowe 2" o:spid="_x0000_s1026" type="#_x0000_t202" style="position:absolute;margin-left:-2.1pt;margin-top:49.25pt;width:487.2pt;height:181.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" fillcolor="#e8e8e8" stroked="f">
                <v:textbox>
                  <w:txbxContent>
                    <w:p w14:paraId="1EAB4E30" w14:textId="77777777" w:rsidR="00FB4F34" w:rsidRPr="00981109" w:rsidRDefault="00FB4F34" w:rsidP="00FB4F34">
                      <w:pPr>
                        <w:pStyle w:val="TreA"/>
                        <w:spacing w:before="120"/>
                        <w:rPr>
                          <w:rFonts w:ascii="Verdana" w:hAnsi="Verdana"/>
                          <w:b/>
                          <w:bCs/>
                          <w:color w:val="0070C0"/>
                          <w:sz w:val="20"/>
                          <w:szCs w:val="20"/>
                          <w:u w:val="single" w:color="0076BA"/>
                        </w:rPr>
                      </w:pPr>
                      <w:hyperlink r:id="rId20" w:history="1">
                        <w:r w:rsidRPr="00981109">
                          <w:rPr>
                            <w:rStyle w:val="Hipercze"/>
                            <w:rFonts w:ascii="Verdana" w:hAnsi="Verdana"/>
                            <w:b/>
                            <w:bCs/>
                            <w:color w:val="0070C0"/>
                            <w:sz w:val="20"/>
                            <w:szCs w:val="20"/>
                          </w:rPr>
                          <w:t>Ernst i Inni przeciwko Belgii</w:t>
                        </w:r>
                      </w:hyperlink>
                    </w:p>
                    <w:p w14:paraId="2CE3464E" w14:textId="77777777" w:rsidR="00FB4F34" w:rsidRPr="00981109" w:rsidRDefault="00FB4F34" w:rsidP="00FB4F34">
                      <w:pPr>
                        <w:pStyle w:val="TreA"/>
                        <w:rPr>
                          <w:rFonts w:ascii="Verdana" w:hAnsi="Verdana"/>
                          <w:color w:val="929292"/>
                          <w:sz w:val="18"/>
                          <w:szCs w:val="18"/>
                          <w:u w:color="929292"/>
                        </w:rPr>
                      </w:pPr>
                      <w:r w:rsidRPr="00981109">
                        <w:rPr>
                          <w:rFonts w:ascii="Verdana" w:hAnsi="Verdana"/>
                          <w:color w:val="929292"/>
                          <w:sz w:val="18"/>
                          <w:szCs w:val="18"/>
                          <w:u w:color="929292"/>
                        </w:rPr>
                        <w:t>15 lipca 2003 r.</w:t>
                      </w:r>
                    </w:p>
                    <w:p w14:paraId="260CE106" w14:textId="77777777" w:rsidR="00FB4F34" w:rsidRPr="00E55367" w:rsidRDefault="00FB4F34" w:rsidP="00FB4F34">
                      <w:pPr>
                        <w:pStyle w:val="TreA"/>
                        <w:jc w:val="both"/>
                        <w:rPr>
                          <w:rFonts w:ascii="Verdana" w:hAnsi="Verdana"/>
                          <w:sz w:val="20"/>
                          <w:szCs w:val="20"/>
                        </w:rPr>
                      </w:pPr>
                      <w:r w:rsidRPr="00E55367">
                        <w:rPr>
                          <w:rFonts w:ascii="Verdana" w:hAnsi="Verdana"/>
                          <w:sz w:val="20"/>
                          <w:szCs w:val="20"/>
                        </w:rPr>
                        <w:t>Skarżącymi w tej sprawie byli czterej dziennikarze. Sprawa dotyczyła przeszukania biur belgijskich gazet oraz domów czterech dziennikarzy przez sekcję policji ds. zwalczania poważnych przestępstw w związku z oskarżeniem członków państwowego biura obsługi prawnej przy Sądzie Apelacyjnym w Liège o naruszenie zasady poufności wskutek przecieków ze spraw karnych o wysokim stopniu poufności.</w:t>
                      </w:r>
                    </w:p>
                    <w:p w14:paraId="57216FFB" w14:textId="77777777" w:rsidR="00FB4F34" w:rsidRPr="00E55367" w:rsidRDefault="00FB4F34" w:rsidP="00FB4F34">
                      <w:pPr>
                        <w:pStyle w:val="TreA"/>
                        <w:jc w:val="both"/>
                        <w:rPr>
                          <w:rFonts w:ascii="Verdana" w:hAnsi="Verdana"/>
                          <w:color w:val="0076BA"/>
                          <w:sz w:val="20"/>
                          <w:szCs w:val="20"/>
                          <w:u w:color="0076BA"/>
                        </w:rPr>
                      </w:pPr>
                      <w:r w:rsidRPr="00E55367">
                        <w:rPr>
                          <w:rFonts w:ascii="Verdana" w:hAnsi="Verdana"/>
                          <w:color w:val="0076BA"/>
                          <w:sz w:val="20"/>
                          <w:szCs w:val="20"/>
                          <w:u w:color="0076BA"/>
                        </w:rPr>
                        <w:t xml:space="preserve">Trybunał uznał, że doszło do </w:t>
                      </w:r>
                      <w:r w:rsidRPr="00E55367">
                        <w:rPr>
                          <w:rFonts w:ascii="Verdana" w:hAnsi="Verdana"/>
                          <w:b/>
                          <w:bCs/>
                          <w:color w:val="0076BA"/>
                          <w:sz w:val="20"/>
                          <w:szCs w:val="20"/>
                          <w:u w:color="0076BA"/>
                        </w:rPr>
                        <w:t>naruszenia art. 10</w:t>
                      </w:r>
                      <w:r w:rsidRPr="00E55367">
                        <w:rPr>
                          <w:rFonts w:ascii="Verdana" w:hAnsi="Verdana"/>
                          <w:color w:val="0076BA"/>
                          <w:sz w:val="20"/>
                          <w:szCs w:val="20"/>
                          <w:u w:color="0076BA"/>
                        </w:rPr>
                        <w:t xml:space="preserve"> Konwencji. Stwierdził w szczególności, że przedstawione przez sądy krajowe argumenty nie były wystarczające do uzasadnienia przeszukań i zatrzymań na tak dużą skalę. W sprawie tej Trybunał stwierdził ponadto, że doszło do naruszenia art. 8 (prawo do poszanowania życia prywatnego ), nie doszło do naruszenia art. 6 ust. 1 (prawo do rzetelnego procesu sądowego), nie doszło do naruszenia art. 14 (zakaz dyskryminacji) w zw. z art. 6 ust. 1 oraz że nie doszło do naruszenia art. 13 (prawo do skutecznego środka odwoławczego) Konwencji.</w:t>
                      </w:r>
                    </w:p>
                    <w:p w14:paraId="38D1D0FE" w14:textId="77777777" w:rsidR="00FB4F34" w:rsidRDefault="00FB4F34" w:rsidP="00FB4F34"/>
                  </w:txbxContent>
                </v:textbox>
                <w10:wrap type="square" anchorx="margin"/>
              </v:shape>
            </w:pict>
          </mc:Fallback>
        </mc:AlternateContent>
      </w:r>
      <w:r w:rsidR="00981109" w:rsidRPr="00FB4F34">
        <w:rPr>
          <w:noProof/>
          <w:sz w:val="20"/>
          <w:szCs w:val="20"/>
        </w:rPr>
        <mc:AlternateContent>
          <mc:Choice Requires="wps">
            <w:drawing>
              <wp:anchor distT="0" distB="0" distL="114300" distR="114300" simplePos="0" relativeHeight="251667456" behindDoc="1" locked="0" layoutInCell="1" allowOverlap="1" wp14:anchorId="06494CDA" wp14:editId="2BAFAB47">
                <wp:simplePos x="0" y="0"/>
                <wp:positionH relativeFrom="margin">
                  <wp:posOffset>0</wp:posOffset>
                </wp:positionH>
                <wp:positionV relativeFrom="paragraph">
                  <wp:posOffset>-635</wp:posOffset>
                </wp:positionV>
                <wp:extent cx="6088380" cy="22860"/>
                <wp:effectExtent l="0" t="0" r="26670" b="34290"/>
                <wp:wrapNone/>
                <wp:docPr id="10955574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8380" cy="22860"/>
                        </a:xfrm>
                        <a:prstGeom prst="line">
                          <a:avLst/>
                        </a:prstGeom>
                        <a:noFill/>
                        <a:ln w="19050">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2032F" id="Line 9" o:spid="_x0000_s1026" style="position:absolute;flip:y;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79.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" strokecolor="#999" strokeweight="1.5pt">
                <w10:wrap anchorx="margin"/>
              </v:line>
            </w:pict>
          </mc:Fallback>
        </mc:AlternateContent>
      </w:r>
      <w:r w:rsidR="00797BF0" w:rsidRPr="00FB4F34">
        <w:rPr>
          <w:rFonts w:ascii="Verdana" w:hAnsi="Verdana"/>
          <w:color w:val="5E5E5E"/>
          <w:sz w:val="18"/>
          <w:szCs w:val="18"/>
          <w:u w:color="5E5E5E"/>
        </w:rPr>
        <w:t xml:space="preserve">W </w:t>
      </w:r>
      <w:r w:rsidR="008109E5" w:rsidRPr="00FB4F34">
        <w:rPr>
          <w:rFonts w:ascii="Verdana" w:hAnsi="Verdana"/>
          <w:color w:val="5E5E5E"/>
          <w:sz w:val="18"/>
          <w:szCs w:val="18"/>
          <w:u w:color="5E5E5E"/>
        </w:rPr>
        <w:t>dwóch</w:t>
      </w:r>
      <w:r w:rsidR="00797BF0" w:rsidRPr="00FB4F34">
        <w:rPr>
          <w:rFonts w:ascii="Verdana" w:hAnsi="Verdana"/>
          <w:color w:val="5E5E5E"/>
          <w:sz w:val="18"/>
          <w:szCs w:val="18"/>
          <w:u w:color="5E5E5E"/>
        </w:rPr>
        <w:t xml:space="preserve"> </w:t>
      </w:r>
      <w:r w:rsidR="008109E5" w:rsidRPr="00FB4F34">
        <w:rPr>
          <w:rFonts w:ascii="Verdana" w:hAnsi="Verdana"/>
          <w:color w:val="5E5E5E"/>
          <w:sz w:val="18"/>
          <w:szCs w:val="18"/>
          <w:u w:color="5E5E5E"/>
        </w:rPr>
        <w:t>opisanych poniżej</w:t>
      </w:r>
      <w:r w:rsidR="00946A73" w:rsidRPr="00FB4F34">
        <w:rPr>
          <w:rFonts w:ascii="Verdana" w:hAnsi="Verdana"/>
          <w:color w:val="5E5E5E"/>
          <w:sz w:val="18"/>
          <w:szCs w:val="18"/>
          <w:u w:color="5E5E5E"/>
        </w:rPr>
        <w:t xml:space="preserve"> </w:t>
      </w:r>
      <w:r w:rsidR="00797BF0" w:rsidRPr="00FB4F34">
        <w:rPr>
          <w:rFonts w:ascii="Verdana" w:hAnsi="Verdana"/>
          <w:color w:val="5E5E5E"/>
          <w:sz w:val="18"/>
          <w:szCs w:val="18"/>
          <w:u w:color="5E5E5E"/>
        </w:rPr>
        <w:t xml:space="preserve">sprawach Trybunał orzekł, że władze krajowe musiały wykazać, iż środki inne niż przeszukanie domu i miejsca pracy dziennikarzy oraz zatrzymanie materiałów, </w:t>
      </w:r>
      <w:r w:rsidR="00946A73" w:rsidRPr="00FB4F34">
        <w:rPr>
          <w:rFonts w:ascii="Verdana" w:hAnsi="Verdana"/>
          <w:color w:val="5E5E5E"/>
          <w:sz w:val="18"/>
          <w:szCs w:val="18"/>
          <w:u w:color="5E5E5E"/>
        </w:rPr>
        <w:t>takie jak</w:t>
      </w:r>
      <w:r w:rsidR="00797BF0" w:rsidRPr="00FB4F34">
        <w:rPr>
          <w:rFonts w:ascii="Verdana" w:hAnsi="Verdana"/>
          <w:color w:val="5E5E5E"/>
          <w:sz w:val="18"/>
          <w:szCs w:val="18"/>
          <w:u w:color="5E5E5E"/>
        </w:rPr>
        <w:t xml:space="preserve"> przesłuchanie odpowiednich funkcjonariuszy, nie byłyby wystarczając</w:t>
      </w:r>
      <w:r w:rsidR="00946A73" w:rsidRPr="00FB4F34">
        <w:rPr>
          <w:rFonts w:ascii="Verdana" w:hAnsi="Verdana"/>
          <w:color w:val="5E5E5E"/>
          <w:sz w:val="18"/>
          <w:szCs w:val="18"/>
          <w:u w:color="5E5E5E"/>
        </w:rPr>
        <w:t>e</w:t>
      </w:r>
      <w:r w:rsidR="00797BF0" w:rsidRPr="00FB4F34">
        <w:rPr>
          <w:rFonts w:ascii="Verdana" w:hAnsi="Verdana"/>
          <w:color w:val="5E5E5E"/>
          <w:sz w:val="18"/>
          <w:szCs w:val="18"/>
          <w:u w:color="5E5E5E"/>
        </w:rPr>
        <w:t xml:space="preserve"> </w:t>
      </w:r>
      <w:r w:rsidR="00946A73" w:rsidRPr="00FB4F34">
        <w:rPr>
          <w:rFonts w:ascii="Verdana" w:hAnsi="Verdana"/>
          <w:color w:val="5E5E5E"/>
          <w:sz w:val="18"/>
          <w:szCs w:val="18"/>
          <w:u w:color="5E5E5E"/>
        </w:rPr>
        <w:t>dla zapobieżenia</w:t>
      </w:r>
      <w:r w:rsidR="00797BF0" w:rsidRPr="00FB4F34">
        <w:rPr>
          <w:rFonts w:ascii="Verdana" w:hAnsi="Verdana"/>
          <w:color w:val="5E5E5E"/>
          <w:sz w:val="18"/>
          <w:szCs w:val="18"/>
          <w:u w:color="5E5E5E"/>
        </w:rPr>
        <w:t xml:space="preserve"> zakłóceni</w:t>
      </w:r>
      <w:r w:rsidR="00906CCE" w:rsidRPr="00FB4F34">
        <w:rPr>
          <w:rFonts w:ascii="Verdana" w:hAnsi="Verdana"/>
          <w:color w:val="5E5E5E"/>
          <w:sz w:val="18"/>
          <w:szCs w:val="18"/>
          <w:u w:color="5E5E5E"/>
        </w:rPr>
        <w:t>u</w:t>
      </w:r>
      <w:r w:rsidR="00797BF0" w:rsidRPr="00FB4F34">
        <w:rPr>
          <w:rFonts w:ascii="Verdana" w:hAnsi="Verdana"/>
          <w:color w:val="5E5E5E"/>
          <w:sz w:val="18"/>
          <w:szCs w:val="18"/>
          <w:u w:color="5E5E5E"/>
        </w:rPr>
        <w:t xml:space="preserve"> porządku lub </w:t>
      </w:r>
      <w:r w:rsidR="00906CCE" w:rsidRPr="00FB4F34">
        <w:rPr>
          <w:rFonts w:ascii="Verdana" w:hAnsi="Verdana"/>
          <w:color w:val="5E5E5E"/>
          <w:sz w:val="18"/>
          <w:szCs w:val="18"/>
          <w:u w:color="5E5E5E"/>
        </w:rPr>
        <w:t>przestępstwu</w:t>
      </w:r>
      <w:r w:rsidR="00797BF0" w:rsidRPr="00FB4F34">
        <w:rPr>
          <w:rFonts w:ascii="Verdana" w:hAnsi="Verdana"/>
          <w:color w:val="5E5E5E"/>
          <w:sz w:val="18"/>
          <w:szCs w:val="18"/>
          <w:u w:color="5E5E5E"/>
        </w:rPr>
        <w:t>.</w:t>
      </w:r>
    </w:p>
    <w:p w14:paraId="5AD59B9E" w14:textId="273F5943" w:rsidR="00FB4F34" w:rsidRPr="00FB4F34" w:rsidRDefault="00FB4F34" w:rsidP="00FB4F34">
      <w:pPr>
        <w:pStyle w:val="TreA"/>
        <w:rPr>
          <w:rFonts w:ascii="Verdana" w:hAnsi="Verdana"/>
          <w:color w:val="0072BC"/>
          <w:sz w:val="24"/>
          <w:szCs w:val="26"/>
          <w:u w:color="00A2FF"/>
        </w:rPr>
      </w:pPr>
      <w:r w:rsidRPr="00FB4F34">
        <w:rPr>
          <w:rFonts w:ascii="Aptos" w:eastAsia="Aptos" w:hAnsi="Aptos" w:cs="Times New Roman"/>
          <w:noProof/>
          <w:color w:val="auto"/>
          <w:kern w:val="2"/>
          <w:sz w:val="24"/>
          <w:szCs w:val="24"/>
          <w:bdr w:val="none" w:sz="0" w:space="0" w:color="auto"/>
          <w:lang w:eastAsia="en-US"/>
          <w14:textOutline w14:w="0" w14:cap="rnd" w14:cmpd="sng" w14:algn="ctr">
            <w14:noFill/>
            <w14:prstDash w14:val="solid"/>
            <w14:bevel/>
          </w14:textOutline>
          <w14:ligatures w14:val="standardContextual"/>
        </w:rPr>
        <w:lastRenderedPageBreak/>
        <mc:AlternateContent>
          <mc:Choice Requires="wps">
            <w:drawing>
              <wp:anchor distT="45720" distB="45720" distL="114300" distR="114300" simplePos="0" relativeHeight="251671552" behindDoc="0" locked="0" layoutInCell="1" allowOverlap="1" wp14:anchorId="1F734798" wp14:editId="2C37D665">
                <wp:simplePos x="0" y="0"/>
                <wp:positionH relativeFrom="margin">
                  <wp:align>left</wp:align>
                </wp:positionH>
                <wp:positionV relativeFrom="paragraph">
                  <wp:posOffset>0</wp:posOffset>
                </wp:positionV>
                <wp:extent cx="6065520" cy="3131820"/>
                <wp:effectExtent l="0" t="0" r="0" b="0"/>
                <wp:wrapSquare wrapText="bothSides"/>
                <wp:docPr id="80953420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3131820"/>
                        </a:xfrm>
                        <a:prstGeom prst="rect">
                          <a:avLst/>
                        </a:prstGeom>
                        <a:solidFill>
                          <a:srgbClr val="E8E8E8"/>
                        </a:solidFill>
                        <a:ln w="9525">
                          <a:noFill/>
                          <a:miter lim="800000"/>
                          <a:headEnd/>
                          <a:tailEnd/>
                        </a:ln>
                      </wps:spPr>
                      <wps:txbx>
                        <w:txbxContent>
                          <w:p w14:paraId="7F9C4416" w14:textId="77777777" w:rsidR="00FB4F34" w:rsidRPr="00981109" w:rsidRDefault="00FB4F34" w:rsidP="00FB4F34">
                            <w:pPr>
                              <w:pStyle w:val="TreA"/>
                              <w:spacing w:before="120"/>
                              <w:rPr>
                                <w:rFonts w:ascii="Verdana" w:hAnsi="Verdana"/>
                                <w:b/>
                                <w:bCs/>
                                <w:color w:val="0070C0"/>
                                <w:sz w:val="20"/>
                                <w:szCs w:val="20"/>
                                <w:u w:val="single" w:color="0076BA"/>
                              </w:rPr>
                            </w:pPr>
                            <w:hyperlink r:id="rId21" w:history="1">
                              <w:r w:rsidRPr="00981109">
                                <w:rPr>
                                  <w:rStyle w:val="Hipercze"/>
                                  <w:rFonts w:ascii="Verdana" w:hAnsi="Verdana"/>
                                  <w:b/>
                                  <w:bCs/>
                                  <w:color w:val="0070C0"/>
                                  <w:sz w:val="20"/>
                                  <w:szCs w:val="20"/>
                                </w:rPr>
                                <w:t>Roemen i Schmitt przeciwko Luksemburgowi</w:t>
                              </w:r>
                            </w:hyperlink>
                          </w:p>
                          <w:p w14:paraId="28ECF2EF" w14:textId="77777777" w:rsidR="00FB4F34" w:rsidRPr="00981109" w:rsidRDefault="00FB4F34" w:rsidP="00FB4F34">
                            <w:pPr>
                              <w:pStyle w:val="TreA"/>
                              <w:rPr>
                                <w:rFonts w:ascii="Verdana" w:hAnsi="Verdana"/>
                                <w:color w:val="929292"/>
                                <w:sz w:val="18"/>
                                <w:szCs w:val="18"/>
                                <w:u w:color="929292"/>
                              </w:rPr>
                            </w:pPr>
                            <w:r w:rsidRPr="00981109">
                              <w:rPr>
                                <w:rFonts w:ascii="Verdana" w:hAnsi="Verdana"/>
                                <w:color w:val="929292"/>
                                <w:sz w:val="18"/>
                                <w:szCs w:val="18"/>
                                <w:u w:color="929292"/>
                              </w:rPr>
                              <w:t>25 lutego 2003 r.</w:t>
                            </w:r>
                          </w:p>
                          <w:p w14:paraId="253086E1" w14:textId="77777777" w:rsidR="00FB4F34" w:rsidRPr="00E55367" w:rsidRDefault="00FB4F34" w:rsidP="00FB4F34">
                            <w:pPr>
                              <w:pStyle w:val="TreA"/>
                              <w:jc w:val="both"/>
                              <w:rPr>
                                <w:rFonts w:ascii="Verdana" w:hAnsi="Verdana"/>
                                <w:sz w:val="20"/>
                                <w:szCs w:val="20"/>
                              </w:rPr>
                            </w:pPr>
                            <w:r w:rsidRPr="00E55367">
                              <w:rPr>
                                <w:rFonts w:ascii="Verdana" w:hAnsi="Verdana"/>
                                <w:sz w:val="20"/>
                                <w:szCs w:val="20"/>
                              </w:rPr>
                              <w:t xml:space="preserve">Skarżącymi w tej sprawie byli dziennikarz i jego pełnomocnik w postępowaniu krajowym. Sprawa dotyczyła niezapowiedzianego najścia i przeszukania przez policję domu pierwszego skarżącego, które miało miejsce po publikacji artykułu dotyczącego oszustw podatkowych ministra rządu.. Śledczy, dysponujący nakazem przeszukania, przeprowadzili szeroko zakrojoną kontrolę. Sędzia śledczy zarządził również przeszukanie biura drugiego skarżącego. </w:t>
                            </w:r>
                          </w:p>
                          <w:p w14:paraId="51B3273A" w14:textId="77777777" w:rsidR="00FB4F34" w:rsidRPr="00E55367" w:rsidRDefault="00FB4F34" w:rsidP="00FB4F34">
                            <w:pPr>
                              <w:pStyle w:val="TreA"/>
                              <w:jc w:val="both"/>
                              <w:rPr>
                                <w:rFonts w:ascii="Verdana" w:hAnsi="Verdana"/>
                                <w:color w:val="00A2FF"/>
                                <w:sz w:val="20"/>
                                <w:szCs w:val="20"/>
                                <w:u w:color="00A2FF"/>
                              </w:rPr>
                            </w:pPr>
                            <w:r w:rsidRPr="00E55367">
                              <w:rPr>
                                <w:rFonts w:ascii="Verdana" w:hAnsi="Verdana"/>
                                <w:color w:val="0076BA"/>
                                <w:sz w:val="20"/>
                                <w:szCs w:val="20"/>
                                <w:u w:color="0076BA"/>
                              </w:rPr>
                              <w:t xml:space="preserve">Biorąc pod uwagę, że Rząd nie wykazał, że zachowana została równowaga pomiędzy zagrożonymi dobrami, a mianowicie ochroną źródeł z jednej strony oraz zapobieganiem i karaniem przestępstw z drugiej strony, Trybunał orzekł, że zastosowane środki były nieproporcjonalne i skutkowały naruszeniem prawa pierwszego skarżącego do wolności wyrażania opinii. W związku z tym doszło do </w:t>
                            </w:r>
                            <w:r w:rsidRPr="00E55367">
                              <w:rPr>
                                <w:rFonts w:ascii="Verdana" w:hAnsi="Verdana"/>
                                <w:b/>
                                <w:bCs/>
                                <w:color w:val="0076BA"/>
                                <w:sz w:val="20"/>
                                <w:szCs w:val="20"/>
                                <w:u w:color="0076BA"/>
                              </w:rPr>
                              <w:t xml:space="preserve">naruszenia art. 10 </w:t>
                            </w:r>
                            <w:r w:rsidRPr="00E55367">
                              <w:rPr>
                                <w:rFonts w:ascii="Verdana" w:hAnsi="Verdana"/>
                                <w:color w:val="0076BA"/>
                                <w:sz w:val="20"/>
                                <w:szCs w:val="20"/>
                                <w:u w:color="0076BA"/>
                              </w:rPr>
                              <w:t xml:space="preserve">Konwencji w odniesieniu do pierwszego skarżącego. Trybunał stwierdził ponadto, że przeszukanie przeprowadzone w biurze drugiego skarżącego miało wpływ na prawa pierwszego skarżącego wynikające z art. 10 Konwencji. Uznając, że przeszukanie biura drugiego skarżącego nie było proporcjonalne w stosunku do realizowanego celu, w szczególności ze względu na szybkość, z jaką zostało przeprowadzone, Trybunał odpowiednio stwierdził, że doszło do </w:t>
                            </w:r>
                            <w:r w:rsidRPr="00E55367">
                              <w:rPr>
                                <w:rFonts w:ascii="Verdana" w:hAnsi="Verdana"/>
                                <w:b/>
                                <w:bCs/>
                                <w:color w:val="0076BA"/>
                                <w:sz w:val="20"/>
                                <w:szCs w:val="20"/>
                                <w:u w:color="0076BA"/>
                              </w:rPr>
                              <w:t xml:space="preserve">naruszenia art. 8 </w:t>
                            </w:r>
                            <w:r w:rsidRPr="00E55367">
                              <w:rPr>
                                <w:rFonts w:ascii="Verdana" w:hAnsi="Verdana"/>
                                <w:color w:val="0076BA"/>
                                <w:sz w:val="20"/>
                                <w:szCs w:val="20"/>
                                <w:u w:color="0076BA"/>
                              </w:rPr>
                              <w:t>(prawo do poszanowania mieszkania) Konwencji w odniesieniu do drugiego skarżącego.</w:t>
                            </w:r>
                          </w:p>
                          <w:p w14:paraId="60F4AC77" w14:textId="77777777" w:rsidR="00FB4F34" w:rsidRDefault="00FB4F34" w:rsidP="00FB4F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34798" id="_x0000_s1027" type="#_x0000_t202" style="position:absolute;margin-left:0;margin-top:0;width:477.6pt;height:246.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" fillcolor="#e8e8e8" stroked="f">
                <v:textbox>
                  <w:txbxContent>
                    <w:p w14:paraId="7F9C4416" w14:textId="77777777" w:rsidR="00FB4F34" w:rsidRPr="00981109" w:rsidRDefault="00FB4F34" w:rsidP="00FB4F34">
                      <w:pPr>
                        <w:pStyle w:val="TreA"/>
                        <w:spacing w:before="120"/>
                        <w:rPr>
                          <w:rFonts w:ascii="Verdana" w:hAnsi="Verdana"/>
                          <w:b/>
                          <w:bCs/>
                          <w:color w:val="0070C0"/>
                          <w:sz w:val="20"/>
                          <w:szCs w:val="20"/>
                          <w:u w:val="single" w:color="0076BA"/>
                        </w:rPr>
                      </w:pPr>
                      <w:hyperlink r:id="rId22" w:history="1">
                        <w:r w:rsidRPr="00981109">
                          <w:rPr>
                            <w:rStyle w:val="Hipercze"/>
                            <w:rFonts w:ascii="Verdana" w:hAnsi="Verdana"/>
                            <w:b/>
                            <w:bCs/>
                            <w:color w:val="0070C0"/>
                            <w:sz w:val="20"/>
                            <w:szCs w:val="20"/>
                          </w:rPr>
                          <w:t>Roemen i Schmitt przeciwko Luksemburgowi</w:t>
                        </w:r>
                      </w:hyperlink>
                    </w:p>
                    <w:p w14:paraId="28ECF2EF" w14:textId="77777777" w:rsidR="00FB4F34" w:rsidRPr="00981109" w:rsidRDefault="00FB4F34" w:rsidP="00FB4F34">
                      <w:pPr>
                        <w:pStyle w:val="TreA"/>
                        <w:rPr>
                          <w:rFonts w:ascii="Verdana" w:hAnsi="Verdana"/>
                          <w:color w:val="929292"/>
                          <w:sz w:val="18"/>
                          <w:szCs w:val="18"/>
                          <w:u w:color="929292"/>
                        </w:rPr>
                      </w:pPr>
                      <w:r w:rsidRPr="00981109">
                        <w:rPr>
                          <w:rFonts w:ascii="Verdana" w:hAnsi="Verdana"/>
                          <w:color w:val="929292"/>
                          <w:sz w:val="18"/>
                          <w:szCs w:val="18"/>
                          <w:u w:color="929292"/>
                        </w:rPr>
                        <w:t>25 lutego 2003 r.</w:t>
                      </w:r>
                    </w:p>
                    <w:p w14:paraId="253086E1" w14:textId="77777777" w:rsidR="00FB4F34" w:rsidRPr="00E55367" w:rsidRDefault="00FB4F34" w:rsidP="00FB4F34">
                      <w:pPr>
                        <w:pStyle w:val="TreA"/>
                        <w:jc w:val="both"/>
                        <w:rPr>
                          <w:rFonts w:ascii="Verdana" w:hAnsi="Verdana"/>
                          <w:sz w:val="20"/>
                          <w:szCs w:val="20"/>
                        </w:rPr>
                      </w:pPr>
                      <w:r w:rsidRPr="00E55367">
                        <w:rPr>
                          <w:rFonts w:ascii="Verdana" w:hAnsi="Verdana"/>
                          <w:sz w:val="20"/>
                          <w:szCs w:val="20"/>
                        </w:rPr>
                        <w:t xml:space="preserve">Skarżącymi w tej sprawie byli dziennikarz i jego pełnomocnik w postępowaniu krajowym. Sprawa dotyczyła niezapowiedzianego najścia i przeszukania przez policję domu pierwszego skarżącego, które miało miejsce po publikacji artykułu dotyczącego oszustw podatkowych ministra rządu.. Śledczy, dysponujący nakazem przeszukania, przeprowadzili szeroko zakrojoną kontrolę. Sędzia śledczy zarządził również przeszukanie biura drugiego skarżącego. </w:t>
                      </w:r>
                    </w:p>
                    <w:p w14:paraId="51B3273A" w14:textId="77777777" w:rsidR="00FB4F34" w:rsidRPr="00E55367" w:rsidRDefault="00FB4F34" w:rsidP="00FB4F34">
                      <w:pPr>
                        <w:pStyle w:val="TreA"/>
                        <w:jc w:val="both"/>
                        <w:rPr>
                          <w:rFonts w:ascii="Verdana" w:hAnsi="Verdana"/>
                          <w:color w:val="00A2FF"/>
                          <w:sz w:val="20"/>
                          <w:szCs w:val="20"/>
                          <w:u w:color="00A2FF"/>
                        </w:rPr>
                      </w:pPr>
                      <w:r w:rsidRPr="00E55367">
                        <w:rPr>
                          <w:rFonts w:ascii="Verdana" w:hAnsi="Verdana"/>
                          <w:color w:val="0076BA"/>
                          <w:sz w:val="20"/>
                          <w:szCs w:val="20"/>
                          <w:u w:color="0076BA"/>
                        </w:rPr>
                        <w:t xml:space="preserve">Biorąc pod uwagę, że Rząd nie wykazał, że zachowana została równowaga pomiędzy zagrożonymi dobrami, a mianowicie ochroną źródeł z jednej strony oraz zapobieganiem i karaniem przestępstw z drugiej strony, Trybunał orzekł, że zastosowane środki były nieproporcjonalne i skutkowały naruszeniem prawa pierwszego skarżącego do wolności wyrażania opinii. W związku z tym doszło do </w:t>
                      </w:r>
                      <w:r w:rsidRPr="00E55367">
                        <w:rPr>
                          <w:rFonts w:ascii="Verdana" w:hAnsi="Verdana"/>
                          <w:b/>
                          <w:bCs/>
                          <w:color w:val="0076BA"/>
                          <w:sz w:val="20"/>
                          <w:szCs w:val="20"/>
                          <w:u w:color="0076BA"/>
                        </w:rPr>
                        <w:t xml:space="preserve">naruszenia art. 10 </w:t>
                      </w:r>
                      <w:r w:rsidRPr="00E55367">
                        <w:rPr>
                          <w:rFonts w:ascii="Verdana" w:hAnsi="Verdana"/>
                          <w:color w:val="0076BA"/>
                          <w:sz w:val="20"/>
                          <w:szCs w:val="20"/>
                          <w:u w:color="0076BA"/>
                        </w:rPr>
                        <w:t xml:space="preserve">Konwencji w odniesieniu do pierwszego skarżącego. Trybunał stwierdził ponadto, że przeszukanie przeprowadzone w biurze drugiego skarżącego miało wpływ na prawa pierwszego skarżącego wynikające z art. 10 Konwencji. Uznając, że przeszukanie biura drugiego skarżącego nie było proporcjonalne w stosunku do realizowanego celu, w szczególności ze względu na szybkość, z jaką zostało przeprowadzone, Trybunał odpowiednio stwierdził, że doszło do </w:t>
                      </w:r>
                      <w:r w:rsidRPr="00E55367">
                        <w:rPr>
                          <w:rFonts w:ascii="Verdana" w:hAnsi="Verdana"/>
                          <w:b/>
                          <w:bCs/>
                          <w:color w:val="0076BA"/>
                          <w:sz w:val="20"/>
                          <w:szCs w:val="20"/>
                          <w:u w:color="0076BA"/>
                        </w:rPr>
                        <w:t xml:space="preserve">naruszenia art. 8 </w:t>
                      </w:r>
                      <w:r w:rsidRPr="00E55367">
                        <w:rPr>
                          <w:rFonts w:ascii="Verdana" w:hAnsi="Verdana"/>
                          <w:color w:val="0076BA"/>
                          <w:sz w:val="20"/>
                          <w:szCs w:val="20"/>
                          <w:u w:color="0076BA"/>
                        </w:rPr>
                        <w:t>(prawo do poszanowania mieszkania) Konwencji w odniesieniu do drugiego skarżącego.</w:t>
                      </w:r>
                    </w:p>
                    <w:p w14:paraId="60F4AC77" w14:textId="77777777" w:rsidR="00FB4F34" w:rsidRDefault="00FB4F34" w:rsidP="00FB4F34"/>
                  </w:txbxContent>
                </v:textbox>
                <w10:wrap type="square" anchorx="margin"/>
              </v:shape>
            </w:pict>
          </mc:Fallback>
        </mc:AlternateContent>
      </w:r>
    </w:p>
    <w:p w14:paraId="6036CDFF" w14:textId="2239D8E7" w:rsidR="00B13EDC" w:rsidRPr="00951051" w:rsidRDefault="00797BF0" w:rsidP="00E55367">
      <w:pPr>
        <w:pStyle w:val="TreA"/>
        <w:spacing w:before="120"/>
        <w:rPr>
          <w:rFonts w:ascii="Verdana" w:hAnsi="Verdana"/>
          <w:b/>
          <w:bCs/>
          <w:color w:val="0070C0"/>
          <w:sz w:val="20"/>
          <w:szCs w:val="20"/>
          <w:u w:val="single" w:color="0076BA"/>
        </w:rPr>
      </w:pPr>
      <w:hyperlink r:id="rId23" w:history="1">
        <w:r w:rsidRPr="00951051">
          <w:rPr>
            <w:rStyle w:val="Hipercze"/>
            <w:rFonts w:ascii="Verdana" w:hAnsi="Verdana"/>
            <w:b/>
            <w:bCs/>
            <w:color w:val="0070C0"/>
            <w:sz w:val="20"/>
            <w:szCs w:val="20"/>
          </w:rPr>
          <w:t>Tillack przeciwko Belgii</w:t>
        </w:r>
      </w:hyperlink>
    </w:p>
    <w:p w14:paraId="3189873B" w14:textId="7B49AD90" w:rsidR="00B13EDC" w:rsidRPr="00951051" w:rsidRDefault="00797BF0">
      <w:pPr>
        <w:pStyle w:val="TreA"/>
        <w:rPr>
          <w:rFonts w:ascii="Verdana" w:hAnsi="Verdana"/>
          <w:color w:val="929292"/>
          <w:sz w:val="18"/>
          <w:szCs w:val="18"/>
          <w:u w:color="929292"/>
        </w:rPr>
      </w:pPr>
      <w:r w:rsidRPr="00951051">
        <w:rPr>
          <w:rFonts w:ascii="Verdana" w:hAnsi="Verdana"/>
          <w:color w:val="929292"/>
          <w:sz w:val="18"/>
          <w:szCs w:val="18"/>
          <w:u w:color="929292"/>
        </w:rPr>
        <w:t>27 listopada 2007 r.</w:t>
      </w:r>
    </w:p>
    <w:p w14:paraId="0415A2E0" w14:textId="4592A984" w:rsidR="00B13EDC" w:rsidRPr="00E55367" w:rsidRDefault="00797BF0">
      <w:pPr>
        <w:pStyle w:val="TreA"/>
        <w:jc w:val="both"/>
        <w:rPr>
          <w:rFonts w:ascii="Verdana" w:hAnsi="Verdana"/>
          <w:sz w:val="20"/>
          <w:szCs w:val="20"/>
        </w:rPr>
      </w:pPr>
      <w:r w:rsidRPr="00E55367">
        <w:rPr>
          <w:rFonts w:ascii="Verdana" w:hAnsi="Verdana"/>
          <w:sz w:val="20"/>
          <w:szCs w:val="20"/>
        </w:rPr>
        <w:t>Skarżący, dziennikarz niemieckiego tygodnika „Stern”, złożył skargę dotyczącą przeszukania</w:t>
      </w:r>
      <w:r w:rsidR="00DB5C25" w:rsidRPr="00E55367">
        <w:rPr>
          <w:rFonts w:ascii="Verdana" w:hAnsi="Verdana"/>
          <w:sz w:val="20"/>
          <w:szCs w:val="20"/>
        </w:rPr>
        <w:br/>
      </w:r>
      <w:r w:rsidRPr="00E55367">
        <w:rPr>
          <w:rFonts w:ascii="Verdana" w:hAnsi="Verdana"/>
          <w:sz w:val="20"/>
          <w:szCs w:val="20"/>
        </w:rPr>
        <w:t>i zatrzymania rzeczy w jego domu i miejscu pracy, po publikacji artykułów</w:t>
      </w:r>
      <w:r w:rsidR="009A5BB9" w:rsidRPr="00E55367">
        <w:rPr>
          <w:rFonts w:ascii="Verdana" w:hAnsi="Verdana"/>
          <w:sz w:val="20"/>
          <w:szCs w:val="20"/>
        </w:rPr>
        <w:t xml:space="preserve"> dotyczących nieprawidłowości w instytucjach europejskich</w:t>
      </w:r>
      <w:r w:rsidRPr="00E55367">
        <w:rPr>
          <w:rFonts w:ascii="Verdana" w:hAnsi="Verdana"/>
          <w:sz w:val="20"/>
          <w:szCs w:val="20"/>
        </w:rPr>
        <w:t xml:space="preserve">, które </w:t>
      </w:r>
      <w:r w:rsidR="009A5BB9" w:rsidRPr="00E55367">
        <w:rPr>
          <w:rFonts w:ascii="Verdana" w:hAnsi="Verdana"/>
          <w:sz w:val="20"/>
          <w:szCs w:val="20"/>
        </w:rPr>
        <w:t xml:space="preserve">to artykuły </w:t>
      </w:r>
      <w:r w:rsidRPr="00E55367">
        <w:rPr>
          <w:rFonts w:ascii="Verdana" w:hAnsi="Verdana"/>
          <w:sz w:val="20"/>
          <w:szCs w:val="20"/>
        </w:rPr>
        <w:t xml:space="preserve">opierały się na </w:t>
      </w:r>
      <w:r w:rsidR="005F0D71" w:rsidRPr="00E55367">
        <w:rPr>
          <w:rFonts w:ascii="Verdana" w:hAnsi="Verdana"/>
          <w:sz w:val="20"/>
          <w:szCs w:val="20"/>
        </w:rPr>
        <w:t xml:space="preserve">informacjach pochodzących z </w:t>
      </w:r>
      <w:r w:rsidRPr="00E55367">
        <w:rPr>
          <w:rFonts w:ascii="Verdana" w:hAnsi="Verdana"/>
          <w:sz w:val="20"/>
          <w:szCs w:val="20"/>
        </w:rPr>
        <w:t xml:space="preserve">poufnych </w:t>
      </w:r>
      <w:r w:rsidR="005F0D71" w:rsidRPr="00E55367">
        <w:rPr>
          <w:rFonts w:ascii="Verdana" w:hAnsi="Verdana"/>
          <w:sz w:val="20"/>
          <w:szCs w:val="20"/>
        </w:rPr>
        <w:t xml:space="preserve">dokumentów </w:t>
      </w:r>
      <w:r w:rsidRPr="00E55367">
        <w:rPr>
          <w:rFonts w:ascii="Verdana" w:hAnsi="Verdana"/>
          <w:sz w:val="20"/>
          <w:szCs w:val="20"/>
        </w:rPr>
        <w:t>Europejskiego Urzędu ds. Zwalczania Nadużyć Finansowych</w:t>
      </w:r>
      <w:r w:rsidR="005F0D71" w:rsidRPr="00E55367">
        <w:rPr>
          <w:rFonts w:ascii="Verdana" w:hAnsi="Verdana"/>
          <w:sz w:val="20"/>
          <w:szCs w:val="20"/>
        </w:rPr>
        <w:t>.</w:t>
      </w:r>
      <w:r w:rsidRPr="00E55367">
        <w:rPr>
          <w:rFonts w:ascii="Verdana" w:hAnsi="Verdana"/>
          <w:sz w:val="20"/>
          <w:szCs w:val="20"/>
        </w:rPr>
        <w:t xml:space="preserve"> </w:t>
      </w:r>
    </w:p>
    <w:p w14:paraId="4D1626F1" w14:textId="14C5E6FA" w:rsidR="00B13EDC" w:rsidRPr="00E55367" w:rsidRDefault="00797BF0">
      <w:pPr>
        <w:pStyle w:val="TreA"/>
        <w:jc w:val="both"/>
        <w:rPr>
          <w:rFonts w:ascii="Verdana" w:hAnsi="Verdana"/>
          <w:color w:val="0076BA"/>
          <w:sz w:val="20"/>
          <w:szCs w:val="20"/>
          <w:u w:color="0076BA"/>
        </w:rPr>
      </w:pPr>
      <w:r w:rsidRPr="00E55367">
        <w:rPr>
          <w:rFonts w:ascii="Verdana" w:hAnsi="Verdana"/>
          <w:color w:val="0076BA"/>
          <w:sz w:val="20"/>
          <w:szCs w:val="20"/>
          <w:u w:color="0076BA"/>
        </w:rPr>
        <w:t xml:space="preserve">Trybunał uznał, że doszło do </w:t>
      </w:r>
      <w:r w:rsidRPr="00E55367">
        <w:rPr>
          <w:rFonts w:ascii="Verdana" w:hAnsi="Verdana"/>
          <w:b/>
          <w:bCs/>
          <w:color w:val="0076BA"/>
          <w:sz w:val="20"/>
          <w:szCs w:val="20"/>
          <w:u w:color="0076BA"/>
        </w:rPr>
        <w:t>naruszenia art. 10</w:t>
      </w:r>
      <w:r w:rsidRPr="00E55367">
        <w:rPr>
          <w:rFonts w:ascii="Verdana" w:hAnsi="Verdana"/>
          <w:color w:val="0076BA"/>
          <w:sz w:val="20"/>
          <w:szCs w:val="20"/>
          <w:u w:color="0076BA"/>
        </w:rPr>
        <w:t xml:space="preserve"> Konwencji. Podkreślił w szczególności, że prawo dziennikarza do nieujawniania źródeł informacji nie </w:t>
      </w:r>
      <w:r w:rsidR="005F0D71" w:rsidRPr="00E55367">
        <w:rPr>
          <w:rFonts w:ascii="Verdana" w:hAnsi="Verdana"/>
          <w:color w:val="0076BA"/>
          <w:sz w:val="20"/>
          <w:szCs w:val="20"/>
          <w:u w:color="0076BA"/>
        </w:rPr>
        <w:t xml:space="preserve">mogło </w:t>
      </w:r>
      <w:r w:rsidRPr="00E55367">
        <w:rPr>
          <w:rFonts w:ascii="Verdana" w:hAnsi="Verdana"/>
          <w:color w:val="0076BA"/>
          <w:sz w:val="20"/>
          <w:szCs w:val="20"/>
          <w:u w:color="0076BA"/>
        </w:rPr>
        <w:t xml:space="preserve">być </w:t>
      </w:r>
      <w:r w:rsidR="005F0D71" w:rsidRPr="00E55367">
        <w:rPr>
          <w:rFonts w:ascii="Verdana" w:hAnsi="Verdana"/>
          <w:color w:val="0076BA"/>
          <w:sz w:val="20"/>
          <w:szCs w:val="20"/>
          <w:u w:color="0076BA"/>
        </w:rPr>
        <w:t>rozpatrywane jako</w:t>
      </w:r>
      <w:r w:rsidRPr="00E55367">
        <w:rPr>
          <w:rFonts w:ascii="Verdana" w:hAnsi="Verdana"/>
          <w:color w:val="0076BA"/>
          <w:sz w:val="20"/>
          <w:szCs w:val="20"/>
          <w:u w:color="0076BA"/>
        </w:rPr>
        <w:t xml:space="preserve"> zwykły przywilej, który może zostać mu przyznany lub odebrany w zależności od legalności lub nielegalności</w:t>
      </w:r>
      <w:r w:rsidR="005F0D71" w:rsidRPr="00E55367">
        <w:rPr>
          <w:rFonts w:ascii="Verdana" w:hAnsi="Verdana"/>
          <w:color w:val="0076BA"/>
          <w:sz w:val="20"/>
          <w:szCs w:val="20"/>
          <w:u w:color="0076BA"/>
        </w:rPr>
        <w:t xml:space="preserve"> jego źródeł</w:t>
      </w:r>
      <w:r w:rsidRPr="00E55367">
        <w:rPr>
          <w:rFonts w:ascii="Verdana" w:hAnsi="Verdana"/>
          <w:color w:val="0076BA"/>
          <w:sz w:val="20"/>
          <w:szCs w:val="20"/>
          <w:u w:color="0076BA"/>
        </w:rPr>
        <w:t>, lecz stanowi</w:t>
      </w:r>
      <w:r w:rsidR="005F0D71" w:rsidRPr="00E55367">
        <w:rPr>
          <w:rFonts w:ascii="Verdana" w:hAnsi="Verdana"/>
          <w:color w:val="0076BA"/>
          <w:sz w:val="20"/>
          <w:szCs w:val="20"/>
          <w:u w:color="0076BA"/>
        </w:rPr>
        <w:t>ło</w:t>
      </w:r>
      <w:r w:rsidRPr="00E55367">
        <w:rPr>
          <w:rFonts w:ascii="Verdana" w:hAnsi="Verdana"/>
          <w:color w:val="0076BA"/>
          <w:sz w:val="20"/>
          <w:szCs w:val="20"/>
          <w:u w:color="0076BA"/>
        </w:rPr>
        <w:t xml:space="preserve"> integralną część prawa do informacji. Trybunał uznał </w:t>
      </w:r>
      <w:r w:rsidR="005F0D71" w:rsidRPr="00E55367">
        <w:rPr>
          <w:rFonts w:ascii="Verdana" w:hAnsi="Verdana"/>
          <w:color w:val="0076BA"/>
          <w:sz w:val="20"/>
          <w:szCs w:val="20"/>
          <w:u w:color="0076BA"/>
        </w:rPr>
        <w:t xml:space="preserve">za niewystarczające powody </w:t>
      </w:r>
      <w:r w:rsidR="00951ACF" w:rsidRPr="00E55367">
        <w:rPr>
          <w:rFonts w:ascii="Verdana" w:hAnsi="Verdana"/>
          <w:color w:val="0076BA"/>
          <w:sz w:val="20"/>
          <w:szCs w:val="20"/>
          <w:u w:color="0076BA"/>
        </w:rPr>
        <w:t xml:space="preserve">wskazane </w:t>
      </w:r>
      <w:r w:rsidR="00DB5C25" w:rsidRPr="00E55367">
        <w:rPr>
          <w:rFonts w:ascii="Verdana" w:hAnsi="Verdana"/>
          <w:color w:val="0076BA"/>
          <w:sz w:val="20"/>
          <w:szCs w:val="20"/>
          <w:u w:color="0076BA"/>
        </w:rPr>
        <w:t>przez belgijskie sądy w uzasadnieniu</w:t>
      </w:r>
      <w:r w:rsidR="00951ACF" w:rsidRPr="00E55367">
        <w:rPr>
          <w:rFonts w:ascii="Verdana" w:hAnsi="Verdana"/>
          <w:color w:val="0076BA"/>
          <w:sz w:val="20"/>
          <w:szCs w:val="20"/>
          <w:u w:color="0076BA"/>
        </w:rPr>
        <w:t xml:space="preserve"> czynności przeszukania</w:t>
      </w:r>
      <w:r w:rsidRPr="00E55367">
        <w:rPr>
          <w:rFonts w:ascii="Verdana" w:hAnsi="Verdana"/>
          <w:color w:val="0076BA"/>
          <w:sz w:val="20"/>
          <w:szCs w:val="20"/>
          <w:u w:color="0076BA"/>
        </w:rPr>
        <w:t>.</w:t>
      </w:r>
    </w:p>
    <w:p w14:paraId="7D54643A" w14:textId="30CB6272" w:rsidR="00B13EDC" w:rsidRPr="00951051" w:rsidRDefault="00797BF0" w:rsidP="00E55367">
      <w:pPr>
        <w:pStyle w:val="TreA"/>
        <w:spacing w:before="120"/>
        <w:rPr>
          <w:rFonts w:ascii="Verdana" w:hAnsi="Verdana"/>
          <w:b/>
          <w:bCs/>
          <w:color w:val="0070C0"/>
          <w:sz w:val="20"/>
          <w:szCs w:val="20"/>
          <w:u w:val="single" w:color="0076BA"/>
        </w:rPr>
      </w:pPr>
      <w:hyperlink r:id="rId24" w:history="1">
        <w:r w:rsidRPr="00951051">
          <w:rPr>
            <w:rStyle w:val="Hipercze"/>
            <w:rFonts w:ascii="Verdana" w:hAnsi="Verdana"/>
            <w:b/>
            <w:bCs/>
            <w:color w:val="0070C0"/>
            <w:sz w:val="20"/>
            <w:szCs w:val="20"/>
          </w:rPr>
          <w:t>Martin i Inni przeciwko Francji</w:t>
        </w:r>
      </w:hyperlink>
    </w:p>
    <w:p w14:paraId="2995FBC2" w14:textId="77777777" w:rsidR="00B13EDC" w:rsidRPr="00951051" w:rsidRDefault="00797BF0">
      <w:pPr>
        <w:pStyle w:val="TreA"/>
        <w:rPr>
          <w:rFonts w:ascii="Verdana" w:hAnsi="Verdana"/>
          <w:color w:val="929292"/>
          <w:sz w:val="18"/>
          <w:szCs w:val="18"/>
          <w:u w:color="929292"/>
        </w:rPr>
      </w:pPr>
      <w:r w:rsidRPr="00951051">
        <w:rPr>
          <w:rFonts w:ascii="Verdana" w:hAnsi="Verdana"/>
          <w:color w:val="929292"/>
          <w:sz w:val="18"/>
          <w:szCs w:val="18"/>
          <w:u w:color="929292"/>
        </w:rPr>
        <w:t>12 kwietnia 2012 r.</w:t>
      </w:r>
    </w:p>
    <w:p w14:paraId="79E81086" w14:textId="09ABA25D" w:rsidR="00B13EDC" w:rsidRPr="00E55367" w:rsidRDefault="00797BF0">
      <w:pPr>
        <w:pStyle w:val="TreA"/>
        <w:jc w:val="both"/>
        <w:rPr>
          <w:rFonts w:ascii="Verdana" w:hAnsi="Verdana"/>
          <w:sz w:val="20"/>
          <w:szCs w:val="20"/>
        </w:rPr>
      </w:pPr>
      <w:r w:rsidRPr="00E55367">
        <w:rPr>
          <w:rFonts w:ascii="Verdana" w:hAnsi="Verdana"/>
          <w:sz w:val="20"/>
          <w:szCs w:val="20"/>
        </w:rPr>
        <w:t>Sprawa dotyczyła przeszukania pomieszczeń dziennika „Midi Libre”,</w:t>
      </w:r>
      <w:r w:rsidR="00DB5C25" w:rsidRPr="00E55367">
        <w:rPr>
          <w:rFonts w:ascii="Verdana" w:hAnsi="Verdana"/>
          <w:sz w:val="20"/>
          <w:szCs w:val="20"/>
        </w:rPr>
        <w:t xml:space="preserve"> </w:t>
      </w:r>
      <w:r w:rsidR="00665334" w:rsidRPr="00E55367">
        <w:rPr>
          <w:rFonts w:ascii="Verdana" w:hAnsi="Verdana"/>
          <w:sz w:val="20"/>
          <w:szCs w:val="20"/>
        </w:rPr>
        <w:t>zarządzonego przez</w:t>
      </w:r>
      <w:r w:rsidRPr="00E55367">
        <w:rPr>
          <w:rFonts w:ascii="Verdana" w:hAnsi="Verdana"/>
          <w:sz w:val="20"/>
          <w:szCs w:val="20"/>
        </w:rPr>
        <w:t xml:space="preserve"> sędzi</w:t>
      </w:r>
      <w:r w:rsidR="00665334" w:rsidRPr="00E55367">
        <w:rPr>
          <w:rFonts w:ascii="Verdana" w:hAnsi="Verdana"/>
          <w:sz w:val="20"/>
          <w:szCs w:val="20"/>
        </w:rPr>
        <w:t>ego śledczego</w:t>
      </w:r>
      <w:r w:rsidRPr="00E55367">
        <w:rPr>
          <w:rFonts w:ascii="Verdana" w:hAnsi="Verdana"/>
          <w:sz w:val="20"/>
          <w:szCs w:val="20"/>
        </w:rPr>
        <w:t xml:space="preserve"> w celu ustalenia, w jakich okolicznościach i</w:t>
      </w:r>
      <w:r w:rsidR="00283B94" w:rsidRPr="00E55367">
        <w:rPr>
          <w:rFonts w:ascii="Verdana" w:hAnsi="Verdana"/>
          <w:sz w:val="20"/>
          <w:szCs w:val="20"/>
        </w:rPr>
        <w:t> </w:t>
      </w:r>
      <w:r w:rsidRPr="00E55367">
        <w:rPr>
          <w:rFonts w:ascii="Verdana" w:hAnsi="Verdana"/>
          <w:sz w:val="20"/>
          <w:szCs w:val="20"/>
        </w:rPr>
        <w:t xml:space="preserve">warunkach dziennikarze weszli w posiadanie kopii poufnej wersji roboczej projektu </w:t>
      </w:r>
      <w:r w:rsidR="00665334" w:rsidRPr="00E55367">
        <w:rPr>
          <w:rFonts w:ascii="Verdana" w:hAnsi="Verdana"/>
          <w:sz w:val="20"/>
          <w:szCs w:val="20"/>
        </w:rPr>
        <w:t xml:space="preserve">raportu </w:t>
      </w:r>
      <w:r w:rsidRPr="00E55367">
        <w:rPr>
          <w:rFonts w:ascii="Verdana" w:hAnsi="Verdana"/>
          <w:sz w:val="20"/>
          <w:szCs w:val="20"/>
        </w:rPr>
        <w:t xml:space="preserve">Regionalnej Izby </w:t>
      </w:r>
      <w:r w:rsidR="00665334" w:rsidRPr="00E55367">
        <w:rPr>
          <w:rFonts w:ascii="Verdana" w:hAnsi="Verdana"/>
          <w:sz w:val="20"/>
          <w:szCs w:val="20"/>
        </w:rPr>
        <w:t>Kontroli</w:t>
      </w:r>
      <w:r w:rsidR="00161237" w:rsidRPr="00E55367">
        <w:rPr>
          <w:rFonts w:ascii="Verdana" w:hAnsi="Verdana"/>
          <w:sz w:val="20"/>
          <w:szCs w:val="20"/>
        </w:rPr>
        <w:t>,</w:t>
      </w:r>
      <w:r w:rsidR="00665334" w:rsidRPr="00E55367">
        <w:rPr>
          <w:rFonts w:ascii="Verdana" w:hAnsi="Verdana"/>
          <w:sz w:val="20"/>
          <w:szCs w:val="20"/>
        </w:rPr>
        <w:t xml:space="preserve"> </w:t>
      </w:r>
      <w:r w:rsidRPr="00E55367">
        <w:rPr>
          <w:rFonts w:ascii="Verdana" w:hAnsi="Verdana"/>
          <w:sz w:val="20"/>
          <w:szCs w:val="20"/>
        </w:rPr>
        <w:t>dotyczącego władz regionu Langwedocji-Roussillon.</w:t>
      </w:r>
    </w:p>
    <w:p w14:paraId="56CED6B8" w14:textId="2A01722C" w:rsidR="00B13EDC" w:rsidRPr="00E55367" w:rsidRDefault="00797BF0">
      <w:pPr>
        <w:pStyle w:val="TreA"/>
        <w:jc w:val="both"/>
        <w:rPr>
          <w:rFonts w:ascii="Verdana" w:hAnsi="Verdana"/>
          <w:color w:val="0076BA"/>
          <w:sz w:val="20"/>
          <w:szCs w:val="20"/>
          <w:u w:color="0076BA"/>
        </w:rPr>
      </w:pPr>
      <w:r w:rsidRPr="00E55367">
        <w:rPr>
          <w:rFonts w:ascii="Verdana" w:hAnsi="Verdana"/>
          <w:color w:val="0076BA"/>
          <w:sz w:val="20"/>
          <w:szCs w:val="20"/>
          <w:u w:color="0076BA"/>
        </w:rPr>
        <w:t xml:space="preserve">Trybunał uznał, że doszło do </w:t>
      </w:r>
      <w:r w:rsidRPr="00E55367">
        <w:rPr>
          <w:rFonts w:ascii="Verdana" w:hAnsi="Verdana"/>
          <w:b/>
          <w:bCs/>
          <w:color w:val="0076BA"/>
          <w:sz w:val="20"/>
          <w:szCs w:val="20"/>
          <w:u w:color="0076BA"/>
        </w:rPr>
        <w:t>naruszenia art. 10</w:t>
      </w:r>
      <w:r w:rsidRPr="00E55367">
        <w:rPr>
          <w:rFonts w:ascii="Verdana" w:hAnsi="Verdana"/>
          <w:color w:val="0076BA"/>
          <w:sz w:val="20"/>
          <w:szCs w:val="20"/>
          <w:u w:color="0076BA"/>
        </w:rPr>
        <w:t xml:space="preserve"> Konwencji. W szczególności rząd francuski nie wykazał, że sporne interesy – </w:t>
      </w:r>
      <w:r w:rsidR="00161237" w:rsidRPr="00E55367">
        <w:rPr>
          <w:rFonts w:ascii="Verdana" w:hAnsi="Verdana"/>
          <w:color w:val="0076BA"/>
          <w:sz w:val="20"/>
          <w:szCs w:val="20"/>
          <w:u w:color="0076BA"/>
        </w:rPr>
        <w:t xml:space="preserve">mianowicie </w:t>
      </w:r>
      <w:r w:rsidRPr="00E55367">
        <w:rPr>
          <w:rFonts w:ascii="Verdana" w:hAnsi="Verdana"/>
          <w:color w:val="0076BA"/>
          <w:sz w:val="20"/>
          <w:szCs w:val="20"/>
          <w:u w:color="0076BA"/>
        </w:rPr>
        <w:t xml:space="preserve">ochrona dziennikarskich źródeł informacji oraz zapobieganie </w:t>
      </w:r>
      <w:r w:rsidR="00161237" w:rsidRPr="00E55367">
        <w:rPr>
          <w:rFonts w:ascii="Verdana" w:hAnsi="Verdana"/>
          <w:color w:val="0076BA"/>
          <w:sz w:val="20"/>
          <w:szCs w:val="20"/>
          <w:u w:color="0076BA"/>
        </w:rPr>
        <w:t>i karanie przestępstw</w:t>
      </w:r>
      <w:r w:rsidRPr="00E55367">
        <w:rPr>
          <w:rFonts w:ascii="Verdana" w:hAnsi="Verdana"/>
          <w:color w:val="0076BA"/>
          <w:sz w:val="20"/>
          <w:szCs w:val="20"/>
          <w:u w:color="0076BA"/>
        </w:rPr>
        <w:t xml:space="preserve"> – zostały odpowiednio wyważone. </w:t>
      </w:r>
      <w:r w:rsidR="00161237" w:rsidRPr="00E55367">
        <w:rPr>
          <w:rFonts w:ascii="Verdana" w:hAnsi="Verdana"/>
          <w:color w:val="0076BA"/>
          <w:sz w:val="20"/>
          <w:szCs w:val="20"/>
          <w:u w:color="0076BA"/>
        </w:rPr>
        <w:t xml:space="preserve">Podane </w:t>
      </w:r>
      <w:r w:rsidRPr="00E55367">
        <w:rPr>
          <w:rFonts w:ascii="Verdana" w:hAnsi="Verdana"/>
          <w:color w:val="0076BA"/>
          <w:sz w:val="20"/>
          <w:szCs w:val="20"/>
          <w:u w:color="0076BA"/>
        </w:rPr>
        <w:t xml:space="preserve">przez władze </w:t>
      </w:r>
      <w:r w:rsidR="00161237" w:rsidRPr="00E55367">
        <w:rPr>
          <w:rFonts w:ascii="Verdana" w:hAnsi="Verdana"/>
          <w:color w:val="0076BA"/>
          <w:sz w:val="20"/>
          <w:szCs w:val="20"/>
          <w:u w:color="0076BA"/>
        </w:rPr>
        <w:t xml:space="preserve">powody </w:t>
      </w:r>
      <w:r w:rsidRPr="00E55367">
        <w:rPr>
          <w:rFonts w:ascii="Verdana" w:hAnsi="Verdana"/>
          <w:color w:val="0076BA"/>
          <w:sz w:val="20"/>
          <w:szCs w:val="20"/>
          <w:u w:color="0076BA"/>
        </w:rPr>
        <w:t>uzasadniające przeszukanie można</w:t>
      </w:r>
      <w:r w:rsidR="00161237" w:rsidRPr="00E55367">
        <w:rPr>
          <w:rFonts w:ascii="Verdana" w:hAnsi="Verdana"/>
          <w:color w:val="0076BA"/>
          <w:sz w:val="20"/>
          <w:szCs w:val="20"/>
          <w:u w:color="0076BA"/>
        </w:rPr>
        <w:t xml:space="preserve"> by</w:t>
      </w:r>
      <w:r w:rsidRPr="00E55367">
        <w:rPr>
          <w:rFonts w:ascii="Verdana" w:hAnsi="Verdana"/>
          <w:color w:val="0076BA"/>
          <w:sz w:val="20"/>
          <w:szCs w:val="20"/>
          <w:u w:color="0076BA"/>
        </w:rPr>
        <w:t xml:space="preserve"> uznać za </w:t>
      </w:r>
      <w:r w:rsidR="00161237" w:rsidRPr="00E55367">
        <w:rPr>
          <w:rFonts w:ascii="Verdana" w:hAnsi="Verdana"/>
          <w:color w:val="0076BA"/>
          <w:sz w:val="20"/>
          <w:szCs w:val="20"/>
          <w:u w:color="0076BA"/>
        </w:rPr>
        <w:t>odpowiednie</w:t>
      </w:r>
      <w:r w:rsidRPr="00E55367">
        <w:rPr>
          <w:rFonts w:ascii="Verdana" w:hAnsi="Verdana"/>
          <w:color w:val="0076BA"/>
          <w:sz w:val="20"/>
          <w:szCs w:val="20"/>
          <w:u w:color="0076BA"/>
        </w:rPr>
        <w:t xml:space="preserve">, </w:t>
      </w:r>
      <w:r w:rsidR="00161237" w:rsidRPr="00E55367">
        <w:rPr>
          <w:rFonts w:ascii="Verdana" w:hAnsi="Verdana"/>
          <w:color w:val="0076BA"/>
          <w:sz w:val="20"/>
          <w:szCs w:val="20"/>
          <w:u w:color="0076BA"/>
        </w:rPr>
        <w:t xml:space="preserve">ale nie </w:t>
      </w:r>
      <w:r w:rsidR="00623750" w:rsidRPr="00E55367">
        <w:rPr>
          <w:rFonts w:ascii="Verdana" w:hAnsi="Verdana"/>
          <w:color w:val="0076BA"/>
          <w:sz w:val="20"/>
          <w:szCs w:val="20"/>
          <w:u w:color="0076BA"/>
        </w:rPr>
        <w:t xml:space="preserve">za </w:t>
      </w:r>
      <w:r w:rsidR="0045155A" w:rsidRPr="00E55367">
        <w:rPr>
          <w:rFonts w:ascii="Verdana" w:hAnsi="Verdana"/>
          <w:color w:val="0076BA"/>
          <w:sz w:val="20"/>
          <w:szCs w:val="20"/>
          <w:u w:color="0076BA"/>
        </w:rPr>
        <w:t>wystarczające</w:t>
      </w:r>
      <w:r w:rsidRPr="00E55367">
        <w:rPr>
          <w:rFonts w:ascii="Verdana" w:hAnsi="Verdana"/>
          <w:color w:val="0076BA"/>
          <w:sz w:val="20"/>
          <w:szCs w:val="20"/>
          <w:u w:color="0076BA"/>
        </w:rPr>
        <w:t>. Przeszukanie było zatem nieproporcjonalne.</w:t>
      </w:r>
    </w:p>
    <w:p w14:paraId="01E8AEBB" w14:textId="619A99E5" w:rsidR="00B13EDC" w:rsidRPr="00951051" w:rsidRDefault="00797BF0" w:rsidP="00E55367">
      <w:pPr>
        <w:pStyle w:val="TreA"/>
        <w:spacing w:before="120"/>
        <w:rPr>
          <w:rFonts w:ascii="Verdana" w:hAnsi="Verdana"/>
          <w:b/>
          <w:bCs/>
          <w:color w:val="0070C0"/>
          <w:sz w:val="20"/>
          <w:szCs w:val="20"/>
          <w:u w:val="single" w:color="0076BA"/>
        </w:rPr>
      </w:pPr>
      <w:hyperlink r:id="rId25" w:history="1">
        <w:r w:rsidRPr="00951051">
          <w:rPr>
            <w:rStyle w:val="Hipercze"/>
            <w:rFonts w:ascii="Verdana" w:hAnsi="Verdana"/>
            <w:b/>
            <w:bCs/>
            <w:color w:val="0070C0"/>
            <w:sz w:val="20"/>
            <w:szCs w:val="20"/>
          </w:rPr>
          <w:t>Ressiot i Inni przeciwko Francji</w:t>
        </w:r>
      </w:hyperlink>
    </w:p>
    <w:p w14:paraId="5683E179" w14:textId="77777777" w:rsidR="00B13EDC" w:rsidRPr="00951051" w:rsidRDefault="00797BF0">
      <w:pPr>
        <w:pStyle w:val="TreA"/>
        <w:rPr>
          <w:rFonts w:ascii="Verdana" w:hAnsi="Verdana"/>
          <w:color w:val="929292"/>
          <w:sz w:val="18"/>
          <w:szCs w:val="18"/>
          <w:u w:color="929292"/>
        </w:rPr>
      </w:pPr>
      <w:r w:rsidRPr="00951051">
        <w:rPr>
          <w:rFonts w:ascii="Verdana" w:hAnsi="Verdana"/>
          <w:color w:val="929292"/>
          <w:sz w:val="18"/>
          <w:szCs w:val="18"/>
          <w:u w:color="929292"/>
        </w:rPr>
        <w:t>28 czerwca 2012 r.</w:t>
      </w:r>
    </w:p>
    <w:p w14:paraId="1C6DB8E0" w14:textId="50F044CC" w:rsidR="00B13EDC" w:rsidRPr="00E55367" w:rsidRDefault="00797BF0">
      <w:pPr>
        <w:pStyle w:val="TreA"/>
        <w:jc w:val="both"/>
        <w:rPr>
          <w:rFonts w:ascii="Verdana" w:hAnsi="Verdana"/>
          <w:sz w:val="20"/>
          <w:szCs w:val="20"/>
        </w:rPr>
      </w:pPr>
      <w:r w:rsidRPr="00E55367">
        <w:rPr>
          <w:rFonts w:ascii="Verdana" w:hAnsi="Verdana"/>
          <w:sz w:val="20"/>
          <w:szCs w:val="20"/>
        </w:rPr>
        <w:t xml:space="preserve">Sprawa dotyczyła kontroli przeprowadzonych w </w:t>
      </w:r>
      <w:r w:rsidR="0045155A" w:rsidRPr="00E55367">
        <w:rPr>
          <w:rFonts w:ascii="Verdana" w:hAnsi="Verdana"/>
          <w:sz w:val="20"/>
          <w:szCs w:val="20"/>
        </w:rPr>
        <w:t xml:space="preserve">pomieszczeniach </w:t>
      </w:r>
      <w:r w:rsidRPr="00E55367">
        <w:rPr>
          <w:rFonts w:ascii="Verdana" w:hAnsi="Verdana"/>
          <w:sz w:val="20"/>
          <w:szCs w:val="20"/>
        </w:rPr>
        <w:t>gazet „L’Equipe” i „Le Point” oraz w domach dziennikarzy oskarżonych o naruszenie tajemnicy postępowania sądowego. Władze chciały zidentyfikować źródło przecieków</w:t>
      </w:r>
      <w:r w:rsidR="0045155A" w:rsidRPr="00E55367">
        <w:rPr>
          <w:rFonts w:ascii="Verdana" w:hAnsi="Verdana"/>
          <w:sz w:val="20"/>
          <w:szCs w:val="20"/>
        </w:rPr>
        <w:t xml:space="preserve"> ze śledztwa</w:t>
      </w:r>
      <w:r w:rsidRPr="00E55367">
        <w:rPr>
          <w:rFonts w:ascii="Verdana" w:hAnsi="Verdana"/>
          <w:sz w:val="20"/>
          <w:szCs w:val="20"/>
        </w:rPr>
        <w:t xml:space="preserve"> w sprawie </w:t>
      </w:r>
      <w:r w:rsidR="0045155A" w:rsidRPr="00E55367">
        <w:rPr>
          <w:rFonts w:ascii="Verdana" w:hAnsi="Verdana"/>
          <w:sz w:val="20"/>
          <w:szCs w:val="20"/>
        </w:rPr>
        <w:t xml:space="preserve">możliwego </w:t>
      </w:r>
      <w:r w:rsidRPr="00E55367">
        <w:rPr>
          <w:rFonts w:ascii="Verdana" w:hAnsi="Verdana"/>
          <w:sz w:val="20"/>
          <w:szCs w:val="20"/>
        </w:rPr>
        <w:t xml:space="preserve">dopingu w </w:t>
      </w:r>
      <w:r w:rsidR="0045155A" w:rsidRPr="00E55367">
        <w:rPr>
          <w:rFonts w:ascii="Verdana" w:hAnsi="Verdana"/>
          <w:sz w:val="20"/>
          <w:szCs w:val="20"/>
        </w:rPr>
        <w:t>wyścigu kolarskim</w:t>
      </w:r>
      <w:r w:rsidRPr="00E55367">
        <w:rPr>
          <w:rFonts w:ascii="Verdana" w:hAnsi="Verdana"/>
          <w:sz w:val="20"/>
          <w:szCs w:val="20"/>
        </w:rPr>
        <w:t>.</w:t>
      </w:r>
    </w:p>
    <w:p w14:paraId="789AC21B" w14:textId="030ECF52" w:rsidR="00E55367" w:rsidRPr="00951051" w:rsidRDefault="00797BF0" w:rsidP="00951051">
      <w:pPr>
        <w:pStyle w:val="TreA"/>
        <w:jc w:val="both"/>
        <w:rPr>
          <w:rFonts w:ascii="Verdana" w:hAnsi="Verdana"/>
          <w:color w:val="0076BA"/>
          <w:sz w:val="20"/>
          <w:szCs w:val="20"/>
          <w:u w:color="0076BA"/>
        </w:rPr>
      </w:pPr>
      <w:r w:rsidRPr="00E55367">
        <w:rPr>
          <w:rFonts w:ascii="Verdana" w:hAnsi="Verdana"/>
          <w:color w:val="0076BA"/>
          <w:sz w:val="20"/>
          <w:szCs w:val="20"/>
          <w:u w:color="0076BA"/>
        </w:rPr>
        <w:t xml:space="preserve">Trybunał uznał, że doszło do </w:t>
      </w:r>
      <w:r w:rsidRPr="00E55367">
        <w:rPr>
          <w:rFonts w:ascii="Verdana" w:hAnsi="Verdana"/>
          <w:b/>
          <w:bCs/>
          <w:color w:val="0076BA"/>
          <w:sz w:val="20"/>
          <w:szCs w:val="20"/>
          <w:u w:color="0076BA"/>
        </w:rPr>
        <w:t>naruszenia art. 10</w:t>
      </w:r>
      <w:r w:rsidRPr="00E55367">
        <w:rPr>
          <w:rFonts w:ascii="Verdana" w:hAnsi="Verdana"/>
          <w:color w:val="0076BA"/>
          <w:sz w:val="20"/>
          <w:szCs w:val="20"/>
          <w:u w:color="0076BA"/>
        </w:rPr>
        <w:t xml:space="preserve"> Konwencji. Stwierdził w szczególności, że rząd francuski nie wykazał, aby zachowano właściwą równowagę pomiędzy poszczególnymi </w:t>
      </w:r>
      <w:r w:rsidR="00292EAE" w:rsidRPr="00E55367">
        <w:rPr>
          <w:rFonts w:ascii="Verdana" w:hAnsi="Verdana"/>
          <w:color w:val="0076BA"/>
          <w:sz w:val="20"/>
          <w:szCs w:val="20"/>
          <w:u w:color="0076BA"/>
        </w:rPr>
        <w:t xml:space="preserve">konkurującymi </w:t>
      </w:r>
      <w:r w:rsidRPr="00E55367">
        <w:rPr>
          <w:rFonts w:ascii="Verdana" w:hAnsi="Verdana"/>
          <w:color w:val="0076BA"/>
          <w:sz w:val="20"/>
          <w:szCs w:val="20"/>
          <w:u w:color="0076BA"/>
        </w:rPr>
        <w:t xml:space="preserve">interesami. Zastosowane środki nie były odpowiednio proporcjonalne do </w:t>
      </w:r>
      <w:r w:rsidRPr="00E55367">
        <w:rPr>
          <w:rFonts w:ascii="Verdana" w:hAnsi="Verdana"/>
          <w:color w:val="0076BA"/>
          <w:sz w:val="20"/>
          <w:szCs w:val="20"/>
          <w:u w:color="0076BA"/>
        </w:rPr>
        <w:lastRenderedPageBreak/>
        <w:t>uprawnionego realizowanego celu, któremu miały służyć, biorąc pod uwagę interes demokratycznego społeczeństwa w zagwarantowaniu i utrzymaniu wolności prasy.</w:t>
      </w:r>
    </w:p>
    <w:p w14:paraId="6496630D" w14:textId="0FC600AE" w:rsidR="00B13EDC" w:rsidRPr="00951051" w:rsidRDefault="00797BF0" w:rsidP="00E55367">
      <w:pPr>
        <w:pStyle w:val="TreA"/>
        <w:spacing w:before="120"/>
        <w:rPr>
          <w:rFonts w:ascii="Verdana" w:hAnsi="Verdana"/>
          <w:b/>
          <w:bCs/>
          <w:color w:val="0070C0"/>
          <w:sz w:val="20"/>
          <w:szCs w:val="20"/>
          <w:u w:val="single" w:color="0076BA"/>
        </w:rPr>
      </w:pPr>
      <w:hyperlink r:id="rId26" w:history="1">
        <w:r w:rsidRPr="00951051">
          <w:rPr>
            <w:rStyle w:val="Hipercze"/>
            <w:rFonts w:ascii="Verdana" w:hAnsi="Verdana"/>
            <w:b/>
            <w:bCs/>
            <w:color w:val="0070C0"/>
            <w:sz w:val="20"/>
            <w:szCs w:val="20"/>
          </w:rPr>
          <w:t>Saint-Paul Luxembourg S.A. przeciwko Luksemburgowi</w:t>
        </w:r>
      </w:hyperlink>
    </w:p>
    <w:p w14:paraId="7862D099" w14:textId="77777777" w:rsidR="00B13EDC" w:rsidRPr="00951051" w:rsidRDefault="00797BF0">
      <w:pPr>
        <w:pStyle w:val="TreA"/>
        <w:rPr>
          <w:rFonts w:ascii="Verdana" w:hAnsi="Verdana"/>
          <w:color w:val="929292"/>
          <w:sz w:val="18"/>
          <w:szCs w:val="18"/>
          <w:u w:color="929292"/>
        </w:rPr>
      </w:pPr>
      <w:r w:rsidRPr="00951051">
        <w:rPr>
          <w:rFonts w:ascii="Verdana" w:hAnsi="Verdana"/>
          <w:color w:val="929292"/>
          <w:sz w:val="18"/>
          <w:szCs w:val="18"/>
          <w:u w:color="929292"/>
        </w:rPr>
        <w:t>18 kwietnia 2013 r.</w:t>
      </w:r>
    </w:p>
    <w:p w14:paraId="01E9667C" w14:textId="11661E88" w:rsidR="00B13EDC" w:rsidRPr="00E55367" w:rsidRDefault="00797BF0">
      <w:pPr>
        <w:pStyle w:val="TreA"/>
        <w:jc w:val="both"/>
        <w:rPr>
          <w:rFonts w:ascii="Verdana" w:hAnsi="Verdana"/>
          <w:sz w:val="20"/>
          <w:szCs w:val="20"/>
        </w:rPr>
      </w:pPr>
      <w:r w:rsidRPr="00E55367">
        <w:rPr>
          <w:rFonts w:ascii="Verdana" w:hAnsi="Verdana"/>
          <w:sz w:val="20"/>
          <w:szCs w:val="20"/>
        </w:rPr>
        <w:t xml:space="preserve">Sprawa dotyczyła nakazu przeszukania i zatrzymania rzeczy wydanego przez sędziego </w:t>
      </w:r>
      <w:r w:rsidR="00121AB2" w:rsidRPr="00E55367">
        <w:rPr>
          <w:rFonts w:ascii="Verdana" w:hAnsi="Verdana"/>
          <w:sz w:val="20"/>
          <w:szCs w:val="20"/>
        </w:rPr>
        <w:t>śledczego</w:t>
      </w:r>
      <w:r w:rsidRPr="00E55367">
        <w:rPr>
          <w:rFonts w:ascii="Verdana" w:hAnsi="Verdana"/>
          <w:sz w:val="20"/>
          <w:szCs w:val="20"/>
        </w:rPr>
        <w:t xml:space="preserve"> wobec gazety po opublikowaniu artykułu, który był przedmiotem skargi wniesionej do organów sądowych przez osobę wymienioną w tym artykule i jej pracodawcę.</w:t>
      </w:r>
    </w:p>
    <w:p w14:paraId="720D61E9" w14:textId="7A80E9D5" w:rsidR="00B13EDC" w:rsidRPr="00E55367" w:rsidRDefault="00797BF0">
      <w:pPr>
        <w:pStyle w:val="TreA"/>
        <w:jc w:val="both"/>
        <w:rPr>
          <w:rFonts w:ascii="Verdana" w:hAnsi="Verdana"/>
          <w:color w:val="0076BA"/>
          <w:sz w:val="20"/>
          <w:szCs w:val="20"/>
          <w:u w:color="0076BA"/>
        </w:rPr>
      </w:pPr>
      <w:r w:rsidRPr="00E55367">
        <w:rPr>
          <w:rFonts w:ascii="Verdana" w:hAnsi="Verdana"/>
          <w:color w:val="0076BA"/>
          <w:sz w:val="20"/>
          <w:szCs w:val="20"/>
          <w:u w:color="0076BA"/>
        </w:rPr>
        <w:t xml:space="preserve">Trybunał uznał, że doszło do </w:t>
      </w:r>
      <w:r w:rsidRPr="00E55367">
        <w:rPr>
          <w:rFonts w:ascii="Verdana" w:hAnsi="Verdana"/>
          <w:b/>
          <w:bCs/>
          <w:color w:val="0076BA"/>
          <w:sz w:val="20"/>
          <w:szCs w:val="20"/>
          <w:u w:color="0076BA"/>
        </w:rPr>
        <w:t>naruszenia</w:t>
      </w:r>
      <w:r w:rsidRPr="00E55367">
        <w:rPr>
          <w:rFonts w:ascii="Verdana" w:hAnsi="Verdana"/>
          <w:color w:val="0076BA"/>
          <w:sz w:val="20"/>
          <w:szCs w:val="20"/>
          <w:u w:color="0076BA"/>
        </w:rPr>
        <w:t xml:space="preserve"> </w:t>
      </w:r>
      <w:r w:rsidRPr="00E55367">
        <w:rPr>
          <w:rFonts w:ascii="Verdana" w:hAnsi="Verdana"/>
          <w:b/>
          <w:bCs/>
          <w:color w:val="0076BA"/>
          <w:sz w:val="20"/>
          <w:szCs w:val="20"/>
          <w:u w:color="0076BA"/>
        </w:rPr>
        <w:t xml:space="preserve">art. 8 </w:t>
      </w:r>
      <w:r w:rsidRPr="00E55367">
        <w:rPr>
          <w:rFonts w:ascii="Verdana" w:hAnsi="Verdana"/>
          <w:color w:val="0076BA"/>
          <w:sz w:val="20"/>
          <w:szCs w:val="20"/>
          <w:u w:color="0076BA"/>
        </w:rPr>
        <w:t xml:space="preserve">(prawo do poszanowania życia prywatnego) oraz do </w:t>
      </w:r>
      <w:r w:rsidRPr="00E55367">
        <w:rPr>
          <w:rFonts w:ascii="Verdana" w:hAnsi="Verdana"/>
          <w:b/>
          <w:bCs/>
          <w:color w:val="0076BA"/>
          <w:sz w:val="20"/>
          <w:szCs w:val="20"/>
          <w:u w:color="0076BA"/>
        </w:rPr>
        <w:t>naruszenia art. 10</w:t>
      </w:r>
      <w:r w:rsidRPr="00E55367">
        <w:rPr>
          <w:rFonts w:ascii="Verdana" w:hAnsi="Verdana"/>
          <w:color w:val="0076BA"/>
          <w:sz w:val="20"/>
          <w:szCs w:val="20"/>
          <w:u w:color="0076BA"/>
        </w:rPr>
        <w:t xml:space="preserve"> Konwencji. Stwierdził w szczególności, że nakaz przeszukania i zatrzymania rzeczy nie był odpowiednio proporcjonalny do uprawnionego realizowanego celu, a mianowicie weryfikacji tożsamości dziennikarza, który napisał artykuł oraz że jego zakres nie był wystarczająco ograniczony, aby zapobiec możliwemu nadużyciu </w:t>
      </w:r>
      <w:r w:rsidR="00E519FF" w:rsidRPr="00E55367">
        <w:rPr>
          <w:rFonts w:ascii="Verdana" w:hAnsi="Verdana"/>
          <w:color w:val="0076BA"/>
          <w:sz w:val="20"/>
          <w:szCs w:val="20"/>
          <w:u w:color="0076BA"/>
        </w:rPr>
        <w:t xml:space="preserve">uprawnień </w:t>
      </w:r>
      <w:r w:rsidRPr="00E55367">
        <w:rPr>
          <w:rFonts w:ascii="Verdana" w:hAnsi="Verdana"/>
          <w:color w:val="0076BA"/>
          <w:sz w:val="20"/>
          <w:szCs w:val="20"/>
          <w:u w:color="0076BA"/>
        </w:rPr>
        <w:t>przez funkcjonariuszy organu ścigania,</w:t>
      </w:r>
      <w:r w:rsidR="00121AB2" w:rsidRPr="00E55367">
        <w:rPr>
          <w:rFonts w:ascii="Verdana" w:hAnsi="Verdana"/>
          <w:color w:val="0076BA"/>
          <w:sz w:val="20"/>
          <w:szCs w:val="20"/>
          <w:u w:color="0076BA"/>
        </w:rPr>
        <w:t xml:space="preserve"> na przykład</w:t>
      </w:r>
      <w:r w:rsidRPr="00E55367">
        <w:rPr>
          <w:rFonts w:ascii="Verdana" w:hAnsi="Verdana"/>
          <w:color w:val="0076BA"/>
          <w:sz w:val="20"/>
          <w:szCs w:val="20"/>
          <w:u w:color="0076BA"/>
        </w:rPr>
        <w:t xml:space="preserve"> w </w:t>
      </w:r>
      <w:r w:rsidR="00F40C63" w:rsidRPr="00E55367">
        <w:rPr>
          <w:rFonts w:ascii="Verdana" w:hAnsi="Verdana"/>
          <w:color w:val="0076BA"/>
          <w:sz w:val="20"/>
          <w:szCs w:val="20"/>
          <w:u w:color="0076BA"/>
        </w:rPr>
        <w:t>postaci usiłowania</w:t>
      </w:r>
      <w:r w:rsidRPr="00E55367">
        <w:rPr>
          <w:rFonts w:ascii="Verdana" w:hAnsi="Verdana"/>
          <w:color w:val="0076BA"/>
          <w:sz w:val="20"/>
          <w:szCs w:val="20"/>
          <w:u w:color="0076BA"/>
        </w:rPr>
        <w:t xml:space="preserve"> zidentyfikowania dziennikarskich źródeł informacji.</w:t>
      </w:r>
    </w:p>
    <w:bookmarkStart w:id="1" w:name="_Hlk187416636"/>
    <w:p w14:paraId="60F7608B" w14:textId="53B99A19" w:rsidR="00B13EDC" w:rsidRPr="00951051" w:rsidRDefault="00951051" w:rsidP="00E55367">
      <w:pPr>
        <w:pStyle w:val="TreA"/>
        <w:spacing w:before="120"/>
        <w:rPr>
          <w:rFonts w:ascii="Verdana" w:hAnsi="Verdana"/>
          <w:b/>
          <w:bCs/>
          <w:color w:val="0070C0"/>
          <w:sz w:val="20"/>
          <w:szCs w:val="20"/>
          <w:u w:val="single" w:color="0076BA"/>
        </w:rPr>
      </w:pPr>
      <w:r w:rsidRPr="00951051">
        <w:rPr>
          <w:rFonts w:ascii="Verdana" w:hAnsi="Verdana"/>
          <w:b/>
          <w:bCs/>
          <w:color w:val="0070C0"/>
          <w:sz w:val="20"/>
          <w:szCs w:val="20"/>
          <w:u w:val="single" w:color="0076BA"/>
        </w:rPr>
        <w:fldChar w:fldCharType="begin"/>
      </w:r>
      <w:r w:rsidRPr="00951051">
        <w:rPr>
          <w:rFonts w:ascii="Verdana" w:hAnsi="Verdana"/>
          <w:b/>
          <w:bCs/>
          <w:color w:val="0070C0"/>
          <w:sz w:val="20"/>
          <w:szCs w:val="20"/>
          <w:u w:val="single" w:color="0076BA"/>
        </w:rPr>
        <w:instrText>HYPERLINK "https://hudoc.echr.coe.int/eng-press?i=003-4167297-4926068"</w:instrText>
      </w:r>
      <w:r w:rsidRPr="00951051">
        <w:rPr>
          <w:rFonts w:ascii="Verdana" w:hAnsi="Verdana"/>
          <w:b/>
          <w:bCs/>
          <w:color w:val="0070C0"/>
          <w:sz w:val="20"/>
          <w:szCs w:val="20"/>
          <w:u w:val="single" w:color="0076BA"/>
        </w:rPr>
      </w:r>
      <w:r w:rsidRPr="00951051">
        <w:rPr>
          <w:rFonts w:ascii="Verdana" w:hAnsi="Verdana"/>
          <w:b/>
          <w:bCs/>
          <w:color w:val="0070C0"/>
          <w:sz w:val="20"/>
          <w:szCs w:val="20"/>
          <w:u w:val="single" w:color="0076BA"/>
        </w:rPr>
        <w:fldChar w:fldCharType="separate"/>
      </w:r>
      <w:r w:rsidR="00797BF0" w:rsidRPr="00951051">
        <w:rPr>
          <w:rStyle w:val="Hipercze"/>
          <w:rFonts w:ascii="Verdana" w:hAnsi="Verdana"/>
          <w:b/>
          <w:bCs/>
          <w:color w:val="0070C0"/>
          <w:sz w:val="20"/>
          <w:szCs w:val="20"/>
        </w:rPr>
        <w:t>Nagla przeciwko Łotwie</w:t>
      </w:r>
      <w:r w:rsidRPr="00951051">
        <w:rPr>
          <w:rFonts w:ascii="Verdana" w:hAnsi="Verdana"/>
          <w:b/>
          <w:bCs/>
          <w:color w:val="0070C0"/>
          <w:sz w:val="20"/>
          <w:szCs w:val="20"/>
          <w:u w:val="single" w:color="0076BA"/>
        </w:rPr>
        <w:fldChar w:fldCharType="end"/>
      </w:r>
    </w:p>
    <w:p w14:paraId="0D3F9335" w14:textId="77777777" w:rsidR="00B13EDC" w:rsidRPr="00951051" w:rsidRDefault="00797BF0">
      <w:pPr>
        <w:pStyle w:val="TreA"/>
        <w:rPr>
          <w:rFonts w:ascii="Verdana" w:hAnsi="Verdana"/>
          <w:color w:val="929292"/>
          <w:sz w:val="18"/>
          <w:szCs w:val="18"/>
          <w:u w:color="929292"/>
        </w:rPr>
      </w:pPr>
      <w:r w:rsidRPr="00951051">
        <w:rPr>
          <w:rFonts w:ascii="Verdana" w:hAnsi="Verdana"/>
          <w:color w:val="929292"/>
          <w:sz w:val="18"/>
          <w:szCs w:val="18"/>
          <w:u w:color="929292"/>
        </w:rPr>
        <w:t>16 lipca 2013 r.</w:t>
      </w:r>
    </w:p>
    <w:p w14:paraId="5AFF2282" w14:textId="15CBFD3B" w:rsidR="00B13EDC" w:rsidRPr="00E55367" w:rsidRDefault="00797BF0">
      <w:pPr>
        <w:pStyle w:val="TreA"/>
        <w:jc w:val="both"/>
        <w:rPr>
          <w:rFonts w:ascii="Verdana" w:hAnsi="Verdana"/>
          <w:sz w:val="20"/>
          <w:szCs w:val="20"/>
        </w:rPr>
      </w:pPr>
      <w:r w:rsidRPr="00E55367">
        <w:rPr>
          <w:rFonts w:ascii="Verdana" w:hAnsi="Verdana"/>
          <w:sz w:val="20"/>
          <w:szCs w:val="20"/>
        </w:rPr>
        <w:t xml:space="preserve">Sprawa dotyczyła przeszukania domu znanej dziennikarki telewizyjnej oraz zatrzymania </w:t>
      </w:r>
      <w:r w:rsidR="00A20859" w:rsidRPr="00E55367">
        <w:rPr>
          <w:rFonts w:ascii="Verdana" w:hAnsi="Verdana"/>
          <w:sz w:val="20"/>
          <w:szCs w:val="20"/>
        </w:rPr>
        <w:t>przez policję</w:t>
      </w:r>
      <w:r w:rsidR="00A20859" w:rsidRPr="00E55367" w:rsidDel="00A20859">
        <w:rPr>
          <w:rFonts w:ascii="Verdana" w:hAnsi="Verdana"/>
          <w:sz w:val="20"/>
          <w:szCs w:val="20"/>
        </w:rPr>
        <w:t xml:space="preserve"> </w:t>
      </w:r>
      <w:r w:rsidR="00A20859" w:rsidRPr="00E55367">
        <w:rPr>
          <w:rFonts w:ascii="Verdana" w:hAnsi="Verdana"/>
          <w:sz w:val="20"/>
          <w:szCs w:val="20"/>
        </w:rPr>
        <w:t>nośników</w:t>
      </w:r>
      <w:r w:rsidRPr="00E55367">
        <w:rPr>
          <w:rFonts w:ascii="Verdana" w:hAnsi="Verdana"/>
          <w:sz w:val="20"/>
          <w:szCs w:val="20"/>
        </w:rPr>
        <w:t xml:space="preserve"> danych. Dom skarżącej przeszukano po audycji, którą </w:t>
      </w:r>
      <w:r w:rsidR="00A20859" w:rsidRPr="00E55367">
        <w:rPr>
          <w:rFonts w:ascii="Verdana" w:hAnsi="Verdana"/>
          <w:sz w:val="20"/>
          <w:szCs w:val="20"/>
        </w:rPr>
        <w:t xml:space="preserve">wyemitowała </w:t>
      </w:r>
      <w:r w:rsidRPr="00E55367">
        <w:rPr>
          <w:rFonts w:ascii="Verdana" w:hAnsi="Verdana"/>
          <w:sz w:val="20"/>
          <w:szCs w:val="20"/>
        </w:rPr>
        <w:t>w lutym 2010 r., informując opinię publiczną o wycieku informacji z bazy danych „State Revenue Service”.</w:t>
      </w:r>
    </w:p>
    <w:p w14:paraId="08DBAF4B" w14:textId="7F1CA5E4" w:rsidR="00B13EDC" w:rsidRPr="00E55367" w:rsidRDefault="00797BF0">
      <w:pPr>
        <w:pStyle w:val="TreA"/>
        <w:jc w:val="both"/>
        <w:rPr>
          <w:rFonts w:ascii="Verdana" w:hAnsi="Verdana"/>
          <w:color w:val="0076BA"/>
          <w:sz w:val="20"/>
          <w:szCs w:val="20"/>
          <w:u w:color="0076BA"/>
        </w:rPr>
      </w:pPr>
      <w:r w:rsidRPr="00E55367">
        <w:rPr>
          <w:rFonts w:ascii="Verdana" w:hAnsi="Verdana"/>
          <w:color w:val="0076BA"/>
          <w:sz w:val="20"/>
          <w:szCs w:val="20"/>
          <w:u w:color="0076BA"/>
        </w:rPr>
        <w:t xml:space="preserve">Trybunał uznał, że doszło do </w:t>
      </w:r>
      <w:r w:rsidRPr="00E55367">
        <w:rPr>
          <w:rFonts w:ascii="Verdana" w:hAnsi="Verdana"/>
          <w:b/>
          <w:bCs/>
          <w:color w:val="0076BA"/>
          <w:sz w:val="20"/>
          <w:szCs w:val="20"/>
          <w:u w:color="0076BA"/>
        </w:rPr>
        <w:t xml:space="preserve">naruszenia art. 10 </w:t>
      </w:r>
      <w:r w:rsidRPr="00E55367">
        <w:rPr>
          <w:rFonts w:ascii="Verdana" w:hAnsi="Verdana"/>
          <w:color w:val="0076BA"/>
          <w:sz w:val="20"/>
          <w:szCs w:val="20"/>
          <w:u w:color="0076BA"/>
        </w:rPr>
        <w:t>Konwencji. Podkreślił, że praw</w:t>
      </w:r>
      <w:r w:rsidR="000F627C" w:rsidRPr="00E55367">
        <w:rPr>
          <w:rFonts w:ascii="Verdana" w:hAnsi="Verdana"/>
          <w:color w:val="0076BA"/>
          <w:sz w:val="20"/>
          <w:szCs w:val="20"/>
          <w:u w:color="0076BA"/>
        </w:rPr>
        <w:t>o</w:t>
      </w:r>
      <w:r w:rsidRPr="00E55367">
        <w:rPr>
          <w:rFonts w:ascii="Verdana" w:hAnsi="Verdana"/>
          <w:color w:val="0076BA"/>
          <w:sz w:val="20"/>
          <w:szCs w:val="20"/>
          <w:u w:color="0076BA"/>
        </w:rPr>
        <w:t xml:space="preserve"> dziennikarza do nieujawniania swoich źródeł nie moż</w:t>
      </w:r>
      <w:r w:rsidR="000F627C" w:rsidRPr="00E55367">
        <w:rPr>
          <w:rFonts w:ascii="Verdana" w:hAnsi="Verdana"/>
          <w:color w:val="0076BA"/>
          <w:sz w:val="20"/>
          <w:szCs w:val="20"/>
          <w:u w:color="0076BA"/>
        </w:rPr>
        <w:t xml:space="preserve">e być </w:t>
      </w:r>
      <w:r w:rsidRPr="00E55367">
        <w:rPr>
          <w:rFonts w:ascii="Verdana" w:hAnsi="Verdana"/>
          <w:color w:val="0076BA"/>
          <w:sz w:val="20"/>
          <w:szCs w:val="20"/>
          <w:u w:color="0076BA"/>
        </w:rPr>
        <w:t>uznawa</w:t>
      </w:r>
      <w:r w:rsidR="000F627C" w:rsidRPr="00E55367">
        <w:rPr>
          <w:rFonts w:ascii="Verdana" w:hAnsi="Verdana"/>
          <w:color w:val="0076BA"/>
          <w:sz w:val="20"/>
          <w:szCs w:val="20"/>
          <w:u w:color="0076BA"/>
        </w:rPr>
        <w:t>ne</w:t>
      </w:r>
      <w:r w:rsidRPr="00E55367">
        <w:rPr>
          <w:rFonts w:ascii="Verdana" w:hAnsi="Verdana"/>
          <w:color w:val="0076BA"/>
          <w:sz w:val="20"/>
          <w:szCs w:val="20"/>
          <w:u w:color="0076BA"/>
        </w:rPr>
        <w:t xml:space="preserve"> za przywilej, który jest uzależniony od ich legalności bądź nielegalności, </w:t>
      </w:r>
      <w:r w:rsidR="000F627C" w:rsidRPr="00E55367">
        <w:rPr>
          <w:rFonts w:ascii="Verdana" w:hAnsi="Verdana"/>
          <w:color w:val="0076BA"/>
          <w:sz w:val="20"/>
          <w:szCs w:val="20"/>
          <w:u w:color="0076BA"/>
        </w:rPr>
        <w:t xml:space="preserve">ale raczej </w:t>
      </w:r>
      <w:r w:rsidRPr="00E55367">
        <w:rPr>
          <w:rFonts w:ascii="Verdana" w:hAnsi="Verdana"/>
          <w:color w:val="0076BA"/>
          <w:sz w:val="20"/>
          <w:szCs w:val="20"/>
          <w:u w:color="0076BA"/>
        </w:rPr>
        <w:t xml:space="preserve">za integralną część prawa do informacji, które należy traktować z najwyższą ostrożnością. W </w:t>
      </w:r>
      <w:r w:rsidR="000F627C" w:rsidRPr="00E55367">
        <w:rPr>
          <w:rFonts w:ascii="Verdana" w:hAnsi="Verdana"/>
          <w:color w:val="0076BA"/>
          <w:sz w:val="20"/>
          <w:szCs w:val="20"/>
          <w:u w:color="0076BA"/>
        </w:rPr>
        <w:t>niniejszej sprawie organy śledcze nie zachowały właściwej</w:t>
      </w:r>
      <w:r w:rsidRPr="00E55367">
        <w:rPr>
          <w:rFonts w:ascii="Verdana" w:hAnsi="Verdana"/>
          <w:color w:val="0076BA"/>
          <w:sz w:val="20"/>
          <w:szCs w:val="20"/>
          <w:u w:color="0076BA"/>
        </w:rPr>
        <w:t xml:space="preserve"> równowagi </w:t>
      </w:r>
      <w:r w:rsidR="000F627C" w:rsidRPr="00E55367">
        <w:rPr>
          <w:rFonts w:ascii="Verdana" w:hAnsi="Verdana"/>
          <w:color w:val="0076BA"/>
          <w:sz w:val="20"/>
          <w:szCs w:val="20"/>
          <w:u w:color="0076BA"/>
        </w:rPr>
        <w:t>po</w:t>
      </w:r>
      <w:r w:rsidRPr="00E55367">
        <w:rPr>
          <w:rFonts w:ascii="Verdana" w:hAnsi="Verdana"/>
          <w:color w:val="0076BA"/>
          <w:sz w:val="20"/>
          <w:szCs w:val="20"/>
          <w:u w:color="0076BA"/>
        </w:rPr>
        <w:t xml:space="preserve">między interesem postępowania przygotowawczego w zabezpieczeniu dowodów </w:t>
      </w:r>
      <w:r w:rsidR="00E519FF" w:rsidRPr="00E55367">
        <w:rPr>
          <w:rFonts w:ascii="Verdana" w:hAnsi="Verdana"/>
          <w:color w:val="0076BA"/>
          <w:sz w:val="20"/>
          <w:szCs w:val="20"/>
          <w:u w:color="0076BA"/>
        </w:rPr>
        <w:t>a</w:t>
      </w:r>
      <w:r w:rsidRPr="00E55367">
        <w:rPr>
          <w:rFonts w:ascii="Verdana" w:hAnsi="Verdana"/>
          <w:color w:val="0076BA"/>
          <w:sz w:val="20"/>
          <w:szCs w:val="20"/>
          <w:u w:color="0076BA"/>
        </w:rPr>
        <w:t xml:space="preserve"> interesem publicznym w zapewnieniu ochrony </w:t>
      </w:r>
      <w:r w:rsidR="000F627C" w:rsidRPr="00E55367">
        <w:rPr>
          <w:rFonts w:ascii="Verdana" w:hAnsi="Verdana"/>
          <w:color w:val="0076BA"/>
          <w:sz w:val="20"/>
          <w:szCs w:val="20"/>
          <w:u w:color="0076BA"/>
        </w:rPr>
        <w:t xml:space="preserve">dziennikarskiej </w:t>
      </w:r>
      <w:r w:rsidRPr="00E55367">
        <w:rPr>
          <w:rFonts w:ascii="Verdana" w:hAnsi="Verdana"/>
          <w:color w:val="0076BA"/>
          <w:sz w:val="20"/>
          <w:szCs w:val="20"/>
          <w:u w:color="0076BA"/>
        </w:rPr>
        <w:t>wolności wyrażania opinii.</w:t>
      </w:r>
    </w:p>
    <w:bookmarkEnd w:id="1"/>
    <w:p w14:paraId="3812CBE5" w14:textId="3958BDFD" w:rsidR="00B13EDC" w:rsidRPr="00951051" w:rsidRDefault="00951051" w:rsidP="00E55367">
      <w:pPr>
        <w:pStyle w:val="TreA"/>
        <w:spacing w:before="120"/>
        <w:rPr>
          <w:rFonts w:ascii="Verdana" w:hAnsi="Verdana"/>
          <w:b/>
          <w:bCs/>
          <w:color w:val="0070C0"/>
          <w:sz w:val="20"/>
          <w:szCs w:val="20"/>
          <w:u w:val="single" w:color="0076BA"/>
        </w:rPr>
      </w:pPr>
      <w:r w:rsidRPr="00951051">
        <w:rPr>
          <w:rFonts w:ascii="Verdana" w:hAnsi="Verdana"/>
          <w:b/>
          <w:bCs/>
          <w:color w:val="0070C0"/>
          <w:sz w:val="20"/>
          <w:szCs w:val="20"/>
          <w:u w:val="single" w:color="0076BA"/>
        </w:rPr>
        <w:fldChar w:fldCharType="begin"/>
      </w:r>
      <w:r w:rsidRPr="00951051">
        <w:rPr>
          <w:rFonts w:ascii="Verdana" w:hAnsi="Verdana"/>
          <w:b/>
          <w:bCs/>
          <w:color w:val="0070C0"/>
          <w:sz w:val="20"/>
          <w:szCs w:val="20"/>
          <w:u w:val="single" w:color="0076BA"/>
        </w:rPr>
        <w:instrText>HYPERLINK "https://hudoc.echr.coe.int/eng-press?i=003-4798231-5844953"</w:instrText>
      </w:r>
      <w:r w:rsidRPr="00951051">
        <w:rPr>
          <w:rFonts w:ascii="Verdana" w:hAnsi="Verdana"/>
          <w:b/>
          <w:bCs/>
          <w:color w:val="0070C0"/>
          <w:sz w:val="20"/>
          <w:szCs w:val="20"/>
          <w:u w:val="single" w:color="0076BA"/>
        </w:rPr>
      </w:r>
      <w:r w:rsidRPr="00951051">
        <w:rPr>
          <w:rFonts w:ascii="Verdana" w:hAnsi="Verdana"/>
          <w:b/>
          <w:bCs/>
          <w:color w:val="0070C0"/>
          <w:sz w:val="20"/>
          <w:szCs w:val="20"/>
          <w:u w:val="single" w:color="0076BA"/>
        </w:rPr>
        <w:fldChar w:fldCharType="separate"/>
      </w:r>
      <w:r w:rsidR="00797BF0" w:rsidRPr="00951051">
        <w:rPr>
          <w:rStyle w:val="Hipercze"/>
          <w:rFonts w:ascii="Verdana" w:hAnsi="Verdana"/>
          <w:b/>
          <w:bCs/>
          <w:color w:val="0070C0"/>
          <w:sz w:val="20"/>
          <w:szCs w:val="20"/>
        </w:rPr>
        <w:t>Stichting Ostade Blade przeciwko Holandii</w:t>
      </w:r>
      <w:r w:rsidRPr="00951051">
        <w:rPr>
          <w:rFonts w:ascii="Verdana" w:hAnsi="Verdana"/>
          <w:b/>
          <w:bCs/>
          <w:color w:val="0070C0"/>
          <w:sz w:val="20"/>
          <w:szCs w:val="20"/>
          <w:u w:val="single" w:color="0076BA"/>
        </w:rPr>
        <w:fldChar w:fldCharType="end"/>
      </w:r>
    </w:p>
    <w:p w14:paraId="4424DF8A" w14:textId="42BFB0B3" w:rsidR="00B13EDC" w:rsidRPr="00951051" w:rsidRDefault="00797BF0">
      <w:pPr>
        <w:pStyle w:val="TreA"/>
        <w:rPr>
          <w:rFonts w:ascii="Verdana" w:hAnsi="Verdana"/>
          <w:color w:val="929292"/>
          <w:sz w:val="18"/>
          <w:szCs w:val="18"/>
          <w:u w:color="929292"/>
        </w:rPr>
      </w:pPr>
      <w:r w:rsidRPr="00951051">
        <w:rPr>
          <w:rFonts w:ascii="Verdana" w:hAnsi="Verdana"/>
          <w:color w:val="929292"/>
          <w:sz w:val="18"/>
          <w:szCs w:val="18"/>
          <w:u w:color="929292"/>
        </w:rPr>
        <w:t xml:space="preserve">27 maja 2014 r. (decyzja </w:t>
      </w:r>
      <w:r w:rsidR="000F627C" w:rsidRPr="00951051">
        <w:rPr>
          <w:rFonts w:ascii="Verdana" w:hAnsi="Verdana"/>
          <w:color w:val="929292"/>
          <w:sz w:val="18"/>
          <w:szCs w:val="18"/>
          <w:u w:color="929292"/>
        </w:rPr>
        <w:t>w przedmiocie</w:t>
      </w:r>
      <w:r w:rsidRPr="00951051">
        <w:rPr>
          <w:rFonts w:ascii="Verdana" w:hAnsi="Verdana"/>
          <w:color w:val="929292"/>
          <w:sz w:val="18"/>
          <w:szCs w:val="18"/>
          <w:u w:color="929292"/>
        </w:rPr>
        <w:t xml:space="preserve"> dopuszczalności)</w:t>
      </w:r>
    </w:p>
    <w:p w14:paraId="55A098AF" w14:textId="1485CABE" w:rsidR="00B13EDC" w:rsidRPr="00E55367" w:rsidRDefault="00797BF0">
      <w:pPr>
        <w:pStyle w:val="TreA"/>
        <w:jc w:val="both"/>
        <w:rPr>
          <w:rFonts w:ascii="Verdana" w:hAnsi="Verdana"/>
          <w:sz w:val="20"/>
          <w:szCs w:val="20"/>
        </w:rPr>
      </w:pPr>
      <w:r w:rsidRPr="00E55367">
        <w:rPr>
          <w:rFonts w:ascii="Verdana" w:hAnsi="Verdana"/>
          <w:sz w:val="20"/>
          <w:szCs w:val="20"/>
        </w:rPr>
        <w:t>Sprawa</w:t>
      </w:r>
      <w:r w:rsidR="00E519FF" w:rsidRPr="00E55367">
        <w:rPr>
          <w:rFonts w:ascii="Verdana" w:hAnsi="Verdana"/>
          <w:sz w:val="20"/>
          <w:szCs w:val="20"/>
        </w:rPr>
        <w:t xml:space="preserve"> </w:t>
      </w:r>
      <w:r w:rsidRPr="00E55367">
        <w:rPr>
          <w:rFonts w:ascii="Verdana" w:hAnsi="Verdana"/>
          <w:sz w:val="20"/>
          <w:szCs w:val="20"/>
        </w:rPr>
        <w:t xml:space="preserve">dotyczyła przeszukania pomieszczeń czasopisma po opublikowaniu komunikatu prasowego </w:t>
      </w:r>
      <w:r w:rsidR="00832AC3" w:rsidRPr="00E55367">
        <w:rPr>
          <w:rFonts w:ascii="Verdana" w:hAnsi="Verdana"/>
          <w:sz w:val="20"/>
          <w:szCs w:val="20"/>
        </w:rPr>
        <w:t>powiadamiającego</w:t>
      </w:r>
      <w:r w:rsidRPr="00E55367">
        <w:rPr>
          <w:rFonts w:ascii="Verdana" w:hAnsi="Verdana"/>
          <w:sz w:val="20"/>
          <w:szCs w:val="20"/>
        </w:rPr>
        <w:t xml:space="preserve"> o otrzymaniu pisma od organizacji, która twierdziła, że jest odpowiedzialna za serię zamachów bombowych w Arnhem. Wydawca czasopisma </w:t>
      </w:r>
      <w:r w:rsidR="00832AC3" w:rsidRPr="00E55367">
        <w:rPr>
          <w:rFonts w:ascii="Verdana" w:hAnsi="Verdana"/>
          <w:sz w:val="20"/>
          <w:szCs w:val="20"/>
        </w:rPr>
        <w:t>zarzucił w szczególności</w:t>
      </w:r>
      <w:r w:rsidRPr="00E55367">
        <w:rPr>
          <w:rFonts w:ascii="Verdana" w:hAnsi="Verdana"/>
          <w:sz w:val="20"/>
          <w:szCs w:val="20"/>
        </w:rPr>
        <w:t>, ż</w:t>
      </w:r>
      <w:r w:rsidR="00832AC3" w:rsidRPr="00E55367">
        <w:rPr>
          <w:rFonts w:ascii="Verdana" w:hAnsi="Verdana"/>
          <w:sz w:val="20"/>
          <w:szCs w:val="20"/>
        </w:rPr>
        <w:t>e</w:t>
      </w:r>
      <w:r w:rsidRPr="00E55367">
        <w:rPr>
          <w:rFonts w:ascii="Verdana" w:hAnsi="Verdana"/>
          <w:sz w:val="20"/>
          <w:szCs w:val="20"/>
        </w:rPr>
        <w:t xml:space="preserve"> przeszukanie stanowiło naruszenie jego prawa do ochrony dziennikarskich źródeł informacji.</w:t>
      </w:r>
    </w:p>
    <w:p w14:paraId="0D0E4C77" w14:textId="16324B5F" w:rsidR="00B13EDC" w:rsidRPr="00E55367" w:rsidRDefault="00797BF0">
      <w:pPr>
        <w:pStyle w:val="TreA"/>
        <w:jc w:val="both"/>
        <w:rPr>
          <w:rFonts w:ascii="Verdana" w:hAnsi="Verdana"/>
          <w:color w:val="0076BA"/>
          <w:sz w:val="20"/>
          <w:szCs w:val="20"/>
          <w:u w:color="0076BA"/>
        </w:rPr>
      </w:pPr>
      <w:r w:rsidRPr="00E55367">
        <w:rPr>
          <w:rFonts w:ascii="Verdana" w:hAnsi="Verdana"/>
          <w:color w:val="0076BA"/>
          <w:sz w:val="20"/>
          <w:szCs w:val="20"/>
          <w:u w:color="0076BA"/>
        </w:rPr>
        <w:t xml:space="preserve">Trybunał uznał skargę za </w:t>
      </w:r>
      <w:r w:rsidRPr="00E55367">
        <w:rPr>
          <w:rFonts w:ascii="Verdana" w:hAnsi="Verdana"/>
          <w:b/>
          <w:bCs/>
          <w:color w:val="0076BA"/>
          <w:sz w:val="20"/>
          <w:szCs w:val="20"/>
          <w:u w:color="0076BA"/>
        </w:rPr>
        <w:t xml:space="preserve">niedopuszczalną </w:t>
      </w:r>
      <w:r w:rsidRPr="00E55367">
        <w:rPr>
          <w:rFonts w:ascii="Verdana" w:hAnsi="Verdana"/>
          <w:color w:val="0076BA"/>
          <w:sz w:val="20"/>
          <w:szCs w:val="20"/>
          <w:u w:color="0076BA"/>
        </w:rPr>
        <w:t xml:space="preserve">jako </w:t>
      </w:r>
      <w:r w:rsidR="00832AC3" w:rsidRPr="00E55367">
        <w:rPr>
          <w:rFonts w:ascii="Verdana" w:hAnsi="Verdana"/>
          <w:color w:val="0076BA"/>
          <w:sz w:val="20"/>
          <w:szCs w:val="20"/>
          <w:u w:color="0076BA"/>
        </w:rPr>
        <w:t>oczywiście bezzasadną</w:t>
      </w:r>
      <w:r w:rsidRPr="00E55367">
        <w:rPr>
          <w:rFonts w:ascii="Verdana" w:hAnsi="Verdana"/>
          <w:color w:val="0076BA"/>
          <w:sz w:val="20"/>
          <w:szCs w:val="20"/>
          <w:u w:color="0076BA"/>
        </w:rPr>
        <w:t xml:space="preserve">. </w:t>
      </w:r>
      <w:r w:rsidR="00832AC3" w:rsidRPr="00E55367">
        <w:rPr>
          <w:rFonts w:ascii="Verdana" w:hAnsi="Verdana"/>
          <w:color w:val="0076BA"/>
          <w:sz w:val="20"/>
          <w:szCs w:val="20"/>
          <w:u w:color="0076BA"/>
        </w:rPr>
        <w:t>S</w:t>
      </w:r>
      <w:r w:rsidRPr="00E55367">
        <w:rPr>
          <w:rFonts w:ascii="Verdana" w:hAnsi="Verdana"/>
          <w:color w:val="0076BA"/>
          <w:sz w:val="20"/>
          <w:szCs w:val="20"/>
          <w:u w:color="0076BA"/>
        </w:rPr>
        <w:t xml:space="preserve">twierdził, że w </w:t>
      </w:r>
      <w:r w:rsidR="00832AC3" w:rsidRPr="00E55367">
        <w:rPr>
          <w:rFonts w:ascii="Verdana" w:hAnsi="Verdana"/>
          <w:color w:val="0076BA"/>
          <w:sz w:val="20"/>
          <w:szCs w:val="20"/>
          <w:u w:color="0076BA"/>
        </w:rPr>
        <w:t xml:space="preserve">niniejszej </w:t>
      </w:r>
      <w:r w:rsidRPr="00E55367">
        <w:rPr>
          <w:rFonts w:ascii="Verdana" w:hAnsi="Verdana"/>
          <w:color w:val="0076BA"/>
          <w:sz w:val="20"/>
          <w:szCs w:val="20"/>
          <w:u w:color="0076BA"/>
        </w:rPr>
        <w:t xml:space="preserve">sprawie „ochrona źródła” nie </w:t>
      </w:r>
      <w:r w:rsidR="00960F06" w:rsidRPr="00E55367">
        <w:rPr>
          <w:rFonts w:ascii="Verdana" w:hAnsi="Verdana"/>
          <w:color w:val="0076BA"/>
          <w:sz w:val="20"/>
          <w:szCs w:val="20"/>
          <w:u w:color="0076BA"/>
        </w:rPr>
        <w:t>była przedmiotem sporu</w:t>
      </w:r>
      <w:r w:rsidRPr="00E55367">
        <w:rPr>
          <w:rFonts w:ascii="Verdana" w:hAnsi="Verdana"/>
          <w:color w:val="0076BA"/>
          <w:sz w:val="20"/>
          <w:szCs w:val="20"/>
          <w:u w:color="0076BA"/>
        </w:rPr>
        <w:t xml:space="preserve">, ponieważ informator czasopisma, który </w:t>
      </w:r>
      <w:r w:rsidR="00960F06" w:rsidRPr="00E55367">
        <w:rPr>
          <w:rFonts w:ascii="Verdana" w:hAnsi="Verdana"/>
          <w:color w:val="0076BA"/>
          <w:sz w:val="20"/>
          <w:szCs w:val="20"/>
          <w:u w:color="0076BA"/>
        </w:rPr>
        <w:t>dążył do nagłośnienia</w:t>
      </w:r>
      <w:r w:rsidRPr="00E55367">
        <w:rPr>
          <w:rFonts w:ascii="Verdana" w:hAnsi="Verdana"/>
          <w:color w:val="0076BA"/>
          <w:sz w:val="20"/>
          <w:szCs w:val="20"/>
          <w:u w:color="0076BA"/>
        </w:rPr>
        <w:t xml:space="preserve"> ataków bombowych pod przykrywką prasy, nie był uprawniony do takiej samej ochrony, jaką zwykle </w:t>
      </w:r>
      <w:r w:rsidR="00960F06" w:rsidRPr="00E55367">
        <w:rPr>
          <w:rFonts w:ascii="Verdana" w:hAnsi="Verdana"/>
          <w:color w:val="0076BA"/>
          <w:sz w:val="20"/>
          <w:szCs w:val="20"/>
          <w:u w:color="0076BA"/>
        </w:rPr>
        <w:t>przynależy</w:t>
      </w:r>
      <w:r w:rsidRPr="00E55367">
        <w:rPr>
          <w:rFonts w:ascii="Verdana" w:hAnsi="Verdana"/>
          <w:color w:val="0076BA"/>
          <w:sz w:val="20"/>
          <w:szCs w:val="20"/>
          <w:u w:color="0076BA"/>
        </w:rPr>
        <w:t xml:space="preserve"> „źródłom”. Przeszukani</w:t>
      </w:r>
      <w:r w:rsidR="00960F06" w:rsidRPr="00E55367">
        <w:rPr>
          <w:rFonts w:ascii="Verdana" w:hAnsi="Verdana"/>
          <w:color w:val="0076BA"/>
          <w:sz w:val="20"/>
          <w:szCs w:val="20"/>
          <w:u w:color="0076BA"/>
        </w:rPr>
        <w:t>e, które zostało przeprowadzone</w:t>
      </w:r>
      <w:r w:rsidRPr="00E55367">
        <w:rPr>
          <w:rFonts w:ascii="Verdana" w:hAnsi="Verdana"/>
          <w:color w:val="0076BA"/>
          <w:sz w:val="20"/>
          <w:szCs w:val="20"/>
          <w:u w:color="0076BA"/>
        </w:rPr>
        <w:t xml:space="preserve"> w celu </w:t>
      </w:r>
      <w:r w:rsidR="009B3877" w:rsidRPr="00E55367">
        <w:rPr>
          <w:rFonts w:ascii="Verdana" w:hAnsi="Verdana"/>
          <w:color w:val="0076BA"/>
          <w:sz w:val="20"/>
          <w:szCs w:val="20"/>
          <w:u w:color="0076BA"/>
        </w:rPr>
        <w:t>zbadania</w:t>
      </w:r>
      <w:r w:rsidRPr="00E55367">
        <w:rPr>
          <w:rFonts w:ascii="Verdana" w:hAnsi="Verdana"/>
          <w:color w:val="0076BA"/>
          <w:sz w:val="20"/>
          <w:szCs w:val="20"/>
          <w:u w:color="0076BA"/>
        </w:rPr>
        <w:t xml:space="preserve"> poważnego przestępstwa i</w:t>
      </w:r>
      <w:r w:rsidR="00283B94" w:rsidRPr="00E55367">
        <w:rPr>
          <w:rFonts w:ascii="Verdana" w:hAnsi="Verdana"/>
          <w:color w:val="0076BA"/>
          <w:sz w:val="20"/>
          <w:szCs w:val="20"/>
          <w:u w:color="0076BA"/>
        </w:rPr>
        <w:t> </w:t>
      </w:r>
      <w:r w:rsidRPr="00E55367">
        <w:rPr>
          <w:rFonts w:ascii="Verdana" w:hAnsi="Verdana"/>
          <w:color w:val="0076BA"/>
          <w:sz w:val="20"/>
          <w:szCs w:val="20"/>
          <w:u w:color="0076BA"/>
        </w:rPr>
        <w:t>zapobieżenia dalszym atakom, był</w:t>
      </w:r>
      <w:r w:rsidR="009B3877" w:rsidRPr="00E55367">
        <w:rPr>
          <w:rFonts w:ascii="Verdana" w:hAnsi="Verdana"/>
          <w:color w:val="0076BA"/>
          <w:sz w:val="20"/>
          <w:szCs w:val="20"/>
          <w:u w:color="0076BA"/>
        </w:rPr>
        <w:t>o</w:t>
      </w:r>
      <w:r w:rsidRPr="00E55367">
        <w:rPr>
          <w:rFonts w:ascii="Verdana" w:hAnsi="Verdana"/>
          <w:color w:val="0076BA"/>
          <w:sz w:val="20"/>
          <w:szCs w:val="20"/>
          <w:u w:color="0076BA"/>
        </w:rPr>
        <w:t xml:space="preserve"> zatem zgodne z wymogami określonymi w art. 10 Konwencji, a w szczególności był</w:t>
      </w:r>
      <w:r w:rsidR="00A029AE" w:rsidRPr="00E55367">
        <w:rPr>
          <w:rFonts w:ascii="Verdana" w:hAnsi="Verdana"/>
          <w:color w:val="0076BA"/>
          <w:sz w:val="20"/>
          <w:szCs w:val="20"/>
          <w:u w:color="0076BA"/>
        </w:rPr>
        <w:t>o</w:t>
      </w:r>
      <w:r w:rsidRPr="00E55367">
        <w:rPr>
          <w:rFonts w:ascii="Verdana" w:hAnsi="Verdana"/>
          <w:color w:val="0076BA"/>
          <w:sz w:val="20"/>
          <w:szCs w:val="20"/>
          <w:u w:color="0076BA"/>
        </w:rPr>
        <w:t xml:space="preserve"> niezbędne w społeczeństwie demokratycznym d</w:t>
      </w:r>
      <w:r w:rsidR="00A029AE" w:rsidRPr="00E55367">
        <w:rPr>
          <w:rFonts w:ascii="Verdana" w:hAnsi="Verdana"/>
          <w:color w:val="0076BA"/>
          <w:sz w:val="20"/>
          <w:szCs w:val="20"/>
          <w:u w:color="0076BA"/>
        </w:rPr>
        <w:t>la</w:t>
      </w:r>
      <w:r w:rsidRPr="00E55367">
        <w:rPr>
          <w:rFonts w:ascii="Verdana" w:hAnsi="Verdana"/>
          <w:color w:val="0076BA"/>
          <w:sz w:val="20"/>
          <w:szCs w:val="20"/>
          <w:u w:color="0076BA"/>
        </w:rPr>
        <w:t xml:space="preserve"> zapobiegania przestępczości.</w:t>
      </w:r>
    </w:p>
    <w:p w14:paraId="01AACF93" w14:textId="38547791" w:rsidR="00B13EDC" w:rsidRPr="00951051" w:rsidRDefault="00797BF0" w:rsidP="00E55367">
      <w:pPr>
        <w:pStyle w:val="TreA"/>
        <w:spacing w:before="120"/>
        <w:rPr>
          <w:rFonts w:ascii="Verdana" w:hAnsi="Verdana"/>
          <w:b/>
          <w:bCs/>
          <w:color w:val="0070C0"/>
          <w:sz w:val="20"/>
          <w:szCs w:val="20"/>
          <w:u w:val="single" w:color="004D80"/>
        </w:rPr>
      </w:pPr>
      <w:hyperlink r:id="rId27" w:history="1">
        <w:r w:rsidRPr="00951051">
          <w:rPr>
            <w:rStyle w:val="Hipercze"/>
            <w:rFonts w:ascii="Verdana" w:hAnsi="Verdana"/>
            <w:b/>
            <w:bCs/>
            <w:color w:val="0070C0"/>
            <w:sz w:val="20"/>
            <w:szCs w:val="20"/>
          </w:rPr>
          <w:t>Görmüş i Inni przeciwko Turcji</w:t>
        </w:r>
      </w:hyperlink>
    </w:p>
    <w:p w14:paraId="10E9E796" w14:textId="77777777" w:rsidR="00B13EDC" w:rsidRPr="00951051" w:rsidRDefault="00797BF0">
      <w:pPr>
        <w:pStyle w:val="TreA"/>
        <w:rPr>
          <w:rFonts w:ascii="Verdana" w:hAnsi="Verdana"/>
          <w:color w:val="929292"/>
          <w:sz w:val="18"/>
          <w:szCs w:val="18"/>
          <w:u w:color="929292"/>
        </w:rPr>
      </w:pPr>
      <w:r w:rsidRPr="00951051">
        <w:rPr>
          <w:rFonts w:ascii="Verdana" w:hAnsi="Verdana"/>
          <w:color w:val="929292"/>
          <w:sz w:val="18"/>
          <w:szCs w:val="18"/>
          <w:u w:color="929292"/>
        </w:rPr>
        <w:t>19 stycznia 2016 r.</w:t>
      </w:r>
    </w:p>
    <w:p w14:paraId="78662D46" w14:textId="20C51C6E" w:rsidR="00B13EDC" w:rsidRPr="00E55367" w:rsidRDefault="00797BF0">
      <w:pPr>
        <w:pStyle w:val="TreA"/>
        <w:jc w:val="both"/>
        <w:rPr>
          <w:rFonts w:ascii="Verdana" w:hAnsi="Verdana"/>
          <w:sz w:val="20"/>
          <w:szCs w:val="20"/>
        </w:rPr>
      </w:pPr>
      <w:r w:rsidRPr="00E55367">
        <w:rPr>
          <w:rFonts w:ascii="Verdana" w:hAnsi="Verdana"/>
          <w:sz w:val="20"/>
          <w:szCs w:val="20"/>
        </w:rPr>
        <w:t xml:space="preserve">W kwietniu 2007r. tygodnik „Nokta” opublikował artykuł, </w:t>
      </w:r>
      <w:r w:rsidR="00C16725" w:rsidRPr="00E55367">
        <w:rPr>
          <w:rFonts w:ascii="Verdana" w:hAnsi="Verdana"/>
          <w:sz w:val="20"/>
          <w:szCs w:val="20"/>
        </w:rPr>
        <w:t xml:space="preserve">który był oparty na </w:t>
      </w:r>
      <w:r w:rsidR="00E519FF" w:rsidRPr="00E55367">
        <w:rPr>
          <w:rFonts w:ascii="Verdana" w:hAnsi="Verdana"/>
          <w:sz w:val="20"/>
          <w:szCs w:val="20"/>
        </w:rPr>
        <w:t>dokumentach</w:t>
      </w:r>
      <w:r w:rsidR="00C16725" w:rsidRPr="00E55367">
        <w:rPr>
          <w:rFonts w:ascii="Verdana" w:hAnsi="Verdana"/>
          <w:sz w:val="20"/>
          <w:szCs w:val="20"/>
        </w:rPr>
        <w:t xml:space="preserve"> zaklasyfikowanych przez</w:t>
      </w:r>
      <w:r w:rsidRPr="00E55367">
        <w:rPr>
          <w:rFonts w:ascii="Verdana" w:hAnsi="Verdana"/>
          <w:sz w:val="20"/>
          <w:szCs w:val="20"/>
        </w:rPr>
        <w:t xml:space="preserve"> szef sztabu sił zbrojnych </w:t>
      </w:r>
      <w:r w:rsidR="00C16725" w:rsidRPr="00E55367">
        <w:rPr>
          <w:rFonts w:ascii="Verdana" w:hAnsi="Verdana"/>
          <w:sz w:val="20"/>
          <w:szCs w:val="20"/>
        </w:rPr>
        <w:t>jako</w:t>
      </w:r>
      <w:r w:rsidRPr="00E55367">
        <w:rPr>
          <w:rFonts w:ascii="Verdana" w:hAnsi="Verdana"/>
          <w:sz w:val="20"/>
          <w:szCs w:val="20"/>
        </w:rPr>
        <w:t xml:space="preserve"> „</w:t>
      </w:r>
      <w:r w:rsidR="00C16725" w:rsidRPr="00E55367">
        <w:rPr>
          <w:rFonts w:ascii="Verdana" w:hAnsi="Verdana"/>
          <w:sz w:val="20"/>
          <w:szCs w:val="20"/>
        </w:rPr>
        <w:t>poufne</w:t>
      </w:r>
      <w:r w:rsidRPr="00E55367">
        <w:rPr>
          <w:rFonts w:ascii="Verdana" w:hAnsi="Verdana"/>
          <w:sz w:val="20"/>
          <w:szCs w:val="20"/>
        </w:rPr>
        <w:t>”. Skarżący, którzy w danym czasie pełnili funkcj</w:t>
      </w:r>
      <w:r w:rsidR="00E519FF" w:rsidRPr="00E55367">
        <w:rPr>
          <w:rFonts w:ascii="Verdana" w:hAnsi="Verdana"/>
          <w:sz w:val="20"/>
          <w:szCs w:val="20"/>
        </w:rPr>
        <w:t>e</w:t>
      </w:r>
      <w:r w:rsidRPr="00E55367">
        <w:rPr>
          <w:rFonts w:ascii="Verdana" w:hAnsi="Verdana"/>
          <w:sz w:val="20"/>
          <w:szCs w:val="20"/>
        </w:rPr>
        <w:t xml:space="preserve"> odpowiednio dyrektora wydawniczego i redaktorów naczelnych tygodnika, a także dziennikarze śledczy, którzy pracowali przy publikacji podnieśli, że </w:t>
      </w:r>
      <w:r w:rsidR="00C16725" w:rsidRPr="00E55367">
        <w:rPr>
          <w:rFonts w:ascii="Verdana" w:hAnsi="Verdana"/>
          <w:sz w:val="20"/>
          <w:szCs w:val="20"/>
        </w:rPr>
        <w:t xml:space="preserve">środki </w:t>
      </w:r>
      <w:r w:rsidR="00E519FF" w:rsidRPr="00E55367">
        <w:rPr>
          <w:rFonts w:ascii="Verdana" w:hAnsi="Verdana"/>
          <w:sz w:val="20"/>
          <w:szCs w:val="20"/>
        </w:rPr>
        <w:t>zastosowane</w:t>
      </w:r>
      <w:r w:rsidRPr="00E55367">
        <w:rPr>
          <w:rFonts w:ascii="Verdana" w:hAnsi="Verdana"/>
          <w:sz w:val="20"/>
          <w:szCs w:val="20"/>
        </w:rPr>
        <w:t xml:space="preserve"> przez właściwe organy, </w:t>
      </w:r>
      <w:r w:rsidR="00C16725" w:rsidRPr="00E55367">
        <w:rPr>
          <w:rFonts w:ascii="Verdana" w:hAnsi="Verdana"/>
          <w:sz w:val="20"/>
          <w:szCs w:val="20"/>
        </w:rPr>
        <w:t>mianowicie</w:t>
      </w:r>
      <w:r w:rsidRPr="00E55367">
        <w:rPr>
          <w:rFonts w:ascii="Verdana" w:hAnsi="Verdana"/>
          <w:sz w:val="20"/>
          <w:szCs w:val="20"/>
        </w:rPr>
        <w:t xml:space="preserve"> przeszukanie ich pomieszczeń służbowych i zatrzymanie dokumentów, miały na celu identyfikację </w:t>
      </w:r>
      <w:r w:rsidR="00FC5DA0" w:rsidRPr="00E55367">
        <w:rPr>
          <w:rFonts w:ascii="Verdana" w:hAnsi="Verdana"/>
          <w:sz w:val="20"/>
          <w:szCs w:val="20"/>
        </w:rPr>
        <w:t xml:space="preserve">ich </w:t>
      </w:r>
      <w:r w:rsidRPr="00E55367">
        <w:rPr>
          <w:rFonts w:ascii="Verdana" w:hAnsi="Verdana"/>
          <w:sz w:val="20"/>
          <w:szCs w:val="20"/>
        </w:rPr>
        <w:t>źródeł informacji</w:t>
      </w:r>
      <w:r w:rsidR="00FC5DA0" w:rsidRPr="00E55367">
        <w:rPr>
          <w:rFonts w:ascii="Verdana" w:hAnsi="Verdana"/>
          <w:sz w:val="20"/>
          <w:szCs w:val="20"/>
        </w:rPr>
        <w:t xml:space="preserve"> i</w:t>
      </w:r>
      <w:r w:rsidRPr="00E55367">
        <w:rPr>
          <w:rFonts w:ascii="Verdana" w:hAnsi="Verdana"/>
          <w:sz w:val="20"/>
          <w:szCs w:val="20"/>
        </w:rPr>
        <w:t xml:space="preserve"> skutkowały naruszeniem prawa skarżących do wolności wyrażania opinii, </w:t>
      </w:r>
      <w:r w:rsidR="00FC5DA0" w:rsidRPr="00E55367">
        <w:rPr>
          <w:rFonts w:ascii="Verdana" w:hAnsi="Verdana"/>
          <w:sz w:val="20"/>
          <w:szCs w:val="20"/>
        </w:rPr>
        <w:t>zwłaszcza</w:t>
      </w:r>
      <w:r w:rsidRPr="00E55367">
        <w:rPr>
          <w:rFonts w:ascii="Verdana" w:hAnsi="Verdana"/>
          <w:sz w:val="20"/>
          <w:szCs w:val="20"/>
        </w:rPr>
        <w:t xml:space="preserve"> ich prawa do </w:t>
      </w:r>
      <w:r w:rsidR="00FC5DA0" w:rsidRPr="00E55367">
        <w:rPr>
          <w:rFonts w:ascii="Verdana" w:hAnsi="Verdana"/>
          <w:sz w:val="20"/>
          <w:szCs w:val="20"/>
        </w:rPr>
        <w:t xml:space="preserve">otrzymywania i </w:t>
      </w:r>
      <w:r w:rsidRPr="00E55367">
        <w:rPr>
          <w:rFonts w:ascii="Verdana" w:hAnsi="Verdana"/>
          <w:sz w:val="20"/>
          <w:szCs w:val="20"/>
        </w:rPr>
        <w:t>przekazywania informacji.</w:t>
      </w:r>
    </w:p>
    <w:p w14:paraId="77731105" w14:textId="2AA7459B" w:rsidR="00951051" w:rsidRDefault="00797BF0">
      <w:pPr>
        <w:pStyle w:val="TreA"/>
        <w:jc w:val="both"/>
        <w:rPr>
          <w:rFonts w:ascii="Verdana" w:hAnsi="Verdana"/>
          <w:color w:val="0070C0"/>
          <w:sz w:val="20"/>
          <w:szCs w:val="20"/>
          <w:u w:color="004D80"/>
        </w:rPr>
      </w:pPr>
      <w:r w:rsidRPr="00E55367">
        <w:rPr>
          <w:rFonts w:ascii="Verdana" w:hAnsi="Verdana"/>
          <w:color w:val="0070C0"/>
          <w:sz w:val="20"/>
          <w:szCs w:val="20"/>
          <w:u w:color="004D80"/>
        </w:rPr>
        <w:t xml:space="preserve">Trybunał uznał, że doszło do </w:t>
      </w:r>
      <w:r w:rsidRPr="00E55367">
        <w:rPr>
          <w:rFonts w:ascii="Verdana" w:hAnsi="Verdana"/>
          <w:b/>
          <w:bCs/>
          <w:color w:val="0070C0"/>
          <w:sz w:val="20"/>
          <w:szCs w:val="20"/>
          <w:u w:color="004D80"/>
        </w:rPr>
        <w:t>naruszenia art. 10</w:t>
      </w:r>
      <w:r w:rsidRPr="00E55367">
        <w:rPr>
          <w:rFonts w:ascii="Verdana" w:hAnsi="Verdana"/>
          <w:color w:val="0070C0"/>
          <w:sz w:val="20"/>
          <w:szCs w:val="20"/>
          <w:u w:color="004D80"/>
        </w:rPr>
        <w:t xml:space="preserve"> Konwencji. Stwierdził w szczególności, że artykuł opublikowany przez tygodnik „Nokta” na podstawie „poufnych” dokumentów wojskowych</w:t>
      </w:r>
      <w:r w:rsidR="00FC5DA0" w:rsidRPr="00E55367">
        <w:rPr>
          <w:rFonts w:ascii="Verdana" w:hAnsi="Verdana"/>
          <w:color w:val="0070C0"/>
          <w:sz w:val="20"/>
          <w:szCs w:val="20"/>
          <w:u w:color="004D80"/>
        </w:rPr>
        <w:t>,</w:t>
      </w:r>
      <w:r w:rsidRPr="00E55367">
        <w:rPr>
          <w:rFonts w:ascii="Verdana" w:hAnsi="Verdana"/>
          <w:color w:val="0070C0"/>
          <w:sz w:val="20"/>
          <w:szCs w:val="20"/>
          <w:u w:color="004D80"/>
        </w:rPr>
        <w:t xml:space="preserve"> dotyczący systemu klasyfikacji mediów </w:t>
      </w:r>
      <w:r w:rsidR="00FC5DA0" w:rsidRPr="00E55367">
        <w:rPr>
          <w:rFonts w:ascii="Verdana" w:hAnsi="Verdana"/>
          <w:color w:val="0070C0"/>
          <w:sz w:val="20"/>
          <w:szCs w:val="20"/>
          <w:u w:color="004D80"/>
        </w:rPr>
        <w:t>na podstawie</w:t>
      </w:r>
      <w:r w:rsidRPr="00E55367">
        <w:rPr>
          <w:rFonts w:ascii="Verdana" w:hAnsi="Verdana"/>
          <w:color w:val="0070C0"/>
          <w:sz w:val="20"/>
          <w:szCs w:val="20"/>
          <w:u w:color="004D80"/>
        </w:rPr>
        <w:t xml:space="preserve"> tego, czy są one „korzystne”, czy „niekorzystne” dla sił zbrojnych, mógł wnieść wkład do debaty publicznej. Podkreślając znaczenie wolności wyrażania opinii w odniesieniu do </w:t>
      </w:r>
      <w:r w:rsidR="00FC5DA0" w:rsidRPr="00E55367">
        <w:rPr>
          <w:rFonts w:ascii="Verdana" w:hAnsi="Verdana"/>
          <w:color w:val="0070C0"/>
          <w:sz w:val="20"/>
          <w:szCs w:val="20"/>
          <w:u w:color="004D80"/>
        </w:rPr>
        <w:t xml:space="preserve">kwestii będących w zainteresowaniu </w:t>
      </w:r>
      <w:r w:rsidR="00FC5DA0" w:rsidRPr="00E55367">
        <w:rPr>
          <w:rFonts w:ascii="Verdana" w:hAnsi="Verdana"/>
          <w:color w:val="0070C0"/>
          <w:sz w:val="20"/>
          <w:szCs w:val="20"/>
          <w:u w:color="004D80"/>
        </w:rPr>
        <w:lastRenderedPageBreak/>
        <w:t>publicznym</w:t>
      </w:r>
      <w:r w:rsidR="001118E9" w:rsidRPr="00E55367">
        <w:rPr>
          <w:rFonts w:ascii="Verdana" w:hAnsi="Verdana"/>
          <w:color w:val="0070C0"/>
          <w:sz w:val="20"/>
          <w:szCs w:val="20"/>
          <w:u w:color="004D80"/>
        </w:rPr>
        <w:t xml:space="preserve"> </w:t>
      </w:r>
      <w:r w:rsidRPr="00E55367">
        <w:rPr>
          <w:rFonts w:ascii="Verdana" w:hAnsi="Verdana"/>
          <w:color w:val="0070C0"/>
          <w:sz w:val="20"/>
          <w:szCs w:val="20"/>
          <w:u w:color="004D80"/>
        </w:rPr>
        <w:t xml:space="preserve">oraz potrzebę ochrony dziennikarskich źródeł informacji – </w:t>
      </w:r>
      <w:r w:rsidR="00B536BC" w:rsidRPr="00E55367">
        <w:rPr>
          <w:rFonts w:ascii="Verdana" w:hAnsi="Verdana"/>
          <w:color w:val="0070C0"/>
          <w:sz w:val="20"/>
          <w:szCs w:val="20"/>
          <w:u w:color="004D80"/>
        </w:rPr>
        <w:t>również wówczas,</w:t>
      </w:r>
      <w:r w:rsidRPr="00E55367">
        <w:rPr>
          <w:rFonts w:ascii="Verdana" w:hAnsi="Verdana"/>
          <w:color w:val="0070C0"/>
          <w:sz w:val="20"/>
          <w:szCs w:val="20"/>
          <w:u w:color="004D80"/>
        </w:rPr>
        <w:t xml:space="preserve"> gdy źródła stanowili funkcjonariusze publiczni </w:t>
      </w:r>
      <w:r w:rsidR="001118E9" w:rsidRPr="00E55367">
        <w:rPr>
          <w:rFonts w:ascii="Verdana" w:hAnsi="Verdana"/>
          <w:color w:val="0070C0"/>
          <w:sz w:val="20"/>
          <w:szCs w:val="20"/>
          <w:u w:color="004D80"/>
        </w:rPr>
        <w:t xml:space="preserve">zwracający uwagę </w:t>
      </w:r>
      <w:r w:rsidRPr="00E55367">
        <w:rPr>
          <w:rFonts w:ascii="Verdana" w:hAnsi="Verdana"/>
          <w:color w:val="0070C0"/>
          <w:sz w:val="20"/>
          <w:szCs w:val="20"/>
          <w:u w:color="004D80"/>
        </w:rPr>
        <w:t xml:space="preserve">na niezadowalające praktyki w ich miejscu pracy – Trybunał orzekł, że ingerencja w prawo skarżących do wolności wyrażania opinii, </w:t>
      </w:r>
      <w:r w:rsidR="001118E9" w:rsidRPr="00E55367">
        <w:rPr>
          <w:rFonts w:ascii="Verdana" w:hAnsi="Verdana"/>
          <w:color w:val="0070C0"/>
          <w:sz w:val="20"/>
          <w:szCs w:val="20"/>
          <w:u w:color="004D80"/>
        </w:rPr>
        <w:t>zwłaszcza</w:t>
      </w:r>
      <w:r w:rsidRPr="00E55367">
        <w:rPr>
          <w:rFonts w:ascii="Verdana" w:hAnsi="Verdana"/>
          <w:color w:val="0070C0"/>
          <w:sz w:val="20"/>
          <w:szCs w:val="20"/>
          <w:u w:color="004D80"/>
        </w:rPr>
        <w:t xml:space="preserve"> ich prawo do przekazywania informacji, nie był</w:t>
      </w:r>
      <w:r w:rsidR="001118E9" w:rsidRPr="00E55367">
        <w:rPr>
          <w:rFonts w:ascii="Verdana" w:hAnsi="Verdana"/>
          <w:color w:val="0070C0"/>
          <w:sz w:val="20"/>
          <w:szCs w:val="20"/>
          <w:u w:color="004D80"/>
        </w:rPr>
        <w:t>a</w:t>
      </w:r>
      <w:r w:rsidRPr="00E55367">
        <w:rPr>
          <w:rFonts w:ascii="Verdana" w:hAnsi="Verdana"/>
          <w:color w:val="0070C0"/>
          <w:sz w:val="20"/>
          <w:szCs w:val="20"/>
          <w:u w:color="004D80"/>
        </w:rPr>
        <w:t xml:space="preserve"> proporcjonaln</w:t>
      </w:r>
      <w:r w:rsidR="001118E9" w:rsidRPr="00E55367">
        <w:rPr>
          <w:rFonts w:ascii="Verdana" w:hAnsi="Verdana"/>
          <w:color w:val="0070C0"/>
          <w:sz w:val="20"/>
          <w:szCs w:val="20"/>
          <w:u w:color="004D80"/>
        </w:rPr>
        <w:t>a</w:t>
      </w:r>
      <w:r w:rsidRPr="00E55367">
        <w:rPr>
          <w:rFonts w:ascii="Verdana" w:hAnsi="Verdana"/>
          <w:color w:val="0070C0"/>
          <w:sz w:val="20"/>
          <w:szCs w:val="20"/>
          <w:u w:color="004D80"/>
        </w:rPr>
        <w:t xml:space="preserve"> do uprawnionego realizowanego celu</w:t>
      </w:r>
      <w:r w:rsidR="001118E9" w:rsidRPr="00E55367">
        <w:rPr>
          <w:rFonts w:ascii="Verdana" w:hAnsi="Verdana"/>
          <w:color w:val="0070C0"/>
          <w:sz w:val="20"/>
          <w:szCs w:val="20"/>
          <w:u w:color="004D80"/>
        </w:rPr>
        <w:t xml:space="preserve">, </w:t>
      </w:r>
      <w:r w:rsidRPr="00E55367">
        <w:rPr>
          <w:rFonts w:ascii="Verdana" w:hAnsi="Verdana"/>
          <w:color w:val="0070C0"/>
          <w:sz w:val="20"/>
          <w:szCs w:val="20"/>
          <w:u w:color="004D80"/>
        </w:rPr>
        <w:t xml:space="preserve">nie </w:t>
      </w:r>
      <w:r w:rsidR="001118E9" w:rsidRPr="00E55367">
        <w:rPr>
          <w:rFonts w:ascii="Verdana" w:hAnsi="Verdana"/>
          <w:color w:val="0070C0"/>
          <w:sz w:val="20"/>
          <w:szCs w:val="20"/>
          <w:u w:color="004D80"/>
        </w:rPr>
        <w:t xml:space="preserve">zaspokajała </w:t>
      </w:r>
      <w:r w:rsidRPr="00E55367">
        <w:rPr>
          <w:rFonts w:ascii="Verdana" w:hAnsi="Verdana"/>
          <w:color w:val="0070C0"/>
          <w:sz w:val="20"/>
          <w:szCs w:val="20"/>
          <w:u w:color="004D80"/>
        </w:rPr>
        <w:t xml:space="preserve">pilnej potrzeby społecznej, nie była </w:t>
      </w:r>
      <w:r w:rsidR="001118E9" w:rsidRPr="00E55367">
        <w:rPr>
          <w:rFonts w:ascii="Verdana" w:hAnsi="Verdana"/>
          <w:color w:val="0070C0"/>
          <w:sz w:val="20"/>
          <w:szCs w:val="20"/>
          <w:u w:color="004D80"/>
        </w:rPr>
        <w:t xml:space="preserve">zatem </w:t>
      </w:r>
      <w:r w:rsidRPr="00E55367">
        <w:rPr>
          <w:rFonts w:ascii="Verdana" w:hAnsi="Verdana"/>
          <w:color w:val="0070C0"/>
          <w:sz w:val="20"/>
          <w:szCs w:val="20"/>
          <w:u w:color="004D80"/>
        </w:rPr>
        <w:t xml:space="preserve">niezbędna w społeczeństwie demokratycznym; ingerencja polegała na zatrzymaniu, </w:t>
      </w:r>
      <w:r w:rsidR="00AD1EE6" w:rsidRPr="00E55367">
        <w:rPr>
          <w:rFonts w:ascii="Verdana" w:hAnsi="Verdana"/>
          <w:color w:val="0070C0"/>
          <w:sz w:val="20"/>
          <w:szCs w:val="20"/>
          <w:u w:color="004D80"/>
        </w:rPr>
        <w:t xml:space="preserve">wyszukaniu </w:t>
      </w:r>
      <w:r w:rsidRPr="00E55367">
        <w:rPr>
          <w:rFonts w:ascii="Verdana" w:hAnsi="Verdana"/>
          <w:color w:val="0070C0"/>
          <w:sz w:val="20"/>
          <w:szCs w:val="20"/>
          <w:u w:color="004D80"/>
        </w:rPr>
        <w:t>i przechowywaniu przez władze wszystkich danych komputerowych wydawnictwa, nawet tych, które nie były związane z artykułem, w celu zidentyfikowania informatorów z sektora publicznego. Wreszcie Trybunał uznał, że środek ten może zniechęcić potencjalne źródła</w:t>
      </w:r>
      <w:r w:rsidR="00AD1EE6" w:rsidRPr="00E55367">
        <w:rPr>
          <w:rFonts w:ascii="Verdana" w:hAnsi="Verdana"/>
          <w:color w:val="0070C0"/>
          <w:sz w:val="20"/>
          <w:szCs w:val="20"/>
          <w:u w:color="004D80"/>
        </w:rPr>
        <w:t xml:space="preserve"> informacji</w:t>
      </w:r>
      <w:r w:rsidRPr="00E55367">
        <w:rPr>
          <w:rFonts w:ascii="Verdana" w:hAnsi="Verdana"/>
          <w:color w:val="0070C0"/>
          <w:sz w:val="20"/>
          <w:szCs w:val="20"/>
          <w:u w:color="004D80"/>
        </w:rPr>
        <w:t xml:space="preserve"> do udzielania prasie pomocy w informowaniu opinii publicznej w</w:t>
      </w:r>
      <w:r w:rsidR="00283B94" w:rsidRPr="00E55367">
        <w:rPr>
          <w:rFonts w:ascii="Verdana" w:hAnsi="Verdana"/>
          <w:color w:val="0070C0"/>
          <w:sz w:val="20"/>
          <w:szCs w:val="20"/>
          <w:u w:color="004D80"/>
        </w:rPr>
        <w:t> </w:t>
      </w:r>
      <w:r w:rsidRPr="00E55367">
        <w:rPr>
          <w:rFonts w:ascii="Verdana" w:hAnsi="Verdana"/>
          <w:color w:val="0070C0"/>
          <w:sz w:val="20"/>
          <w:szCs w:val="20"/>
          <w:u w:color="004D80"/>
        </w:rPr>
        <w:t xml:space="preserve">kwestiach </w:t>
      </w:r>
      <w:r w:rsidR="00AD1EE6" w:rsidRPr="00E55367">
        <w:rPr>
          <w:rFonts w:ascii="Verdana" w:hAnsi="Verdana"/>
          <w:color w:val="0070C0"/>
          <w:sz w:val="20"/>
          <w:szCs w:val="20"/>
          <w:u w:color="004D80"/>
        </w:rPr>
        <w:t>pozostających w ogólnym zainteresowaniu</w:t>
      </w:r>
      <w:r w:rsidRPr="00E55367">
        <w:rPr>
          <w:rFonts w:ascii="Verdana" w:hAnsi="Verdana"/>
          <w:color w:val="0070C0"/>
          <w:sz w:val="20"/>
          <w:szCs w:val="20"/>
          <w:u w:color="004D80"/>
        </w:rPr>
        <w:t xml:space="preserve">, </w:t>
      </w:r>
      <w:r w:rsidR="00B536BC" w:rsidRPr="00E55367">
        <w:rPr>
          <w:rFonts w:ascii="Verdana" w:hAnsi="Verdana"/>
          <w:color w:val="0070C0"/>
          <w:sz w:val="20"/>
          <w:szCs w:val="20"/>
          <w:u w:color="004D80"/>
        </w:rPr>
        <w:t>również wówczas,</w:t>
      </w:r>
      <w:r w:rsidRPr="00E55367">
        <w:rPr>
          <w:rFonts w:ascii="Verdana" w:hAnsi="Verdana"/>
          <w:color w:val="0070C0"/>
          <w:sz w:val="20"/>
          <w:szCs w:val="20"/>
          <w:u w:color="004D80"/>
        </w:rPr>
        <w:t xml:space="preserve"> gdy dotyczą one sił zbrojnych.</w:t>
      </w:r>
    </w:p>
    <w:p w14:paraId="51038EB1" w14:textId="5BDDFE4B" w:rsidR="00951051" w:rsidRPr="00951051" w:rsidRDefault="00951051" w:rsidP="00951051">
      <w:pPr>
        <w:pStyle w:val="TreA"/>
        <w:spacing w:before="120"/>
        <w:rPr>
          <w:rStyle w:val="Hipercze"/>
          <w:rFonts w:ascii="Verdana" w:hAnsi="Verdana"/>
          <w:b/>
          <w:bCs/>
          <w:color w:val="0070C0"/>
          <w:sz w:val="20"/>
          <w:szCs w:val="20"/>
        </w:rPr>
      </w:pPr>
      <w:r w:rsidRPr="00951051">
        <w:rPr>
          <w:rFonts w:ascii="Verdana" w:hAnsi="Verdana"/>
          <w:b/>
          <w:bCs/>
          <w:color w:val="0070C0"/>
          <w:sz w:val="20"/>
          <w:szCs w:val="20"/>
          <w:u w:val="single"/>
        </w:rPr>
        <w:fldChar w:fldCharType="begin"/>
      </w:r>
      <w:r w:rsidRPr="00951051">
        <w:rPr>
          <w:rFonts w:ascii="Verdana" w:hAnsi="Verdana"/>
          <w:b/>
          <w:bCs/>
          <w:color w:val="0070C0"/>
          <w:sz w:val="20"/>
          <w:szCs w:val="20"/>
          <w:u w:val="single"/>
        </w:rPr>
        <w:instrText>HYPERLINK "https://hudoc.echr.coe.int/fre?i=001-208882"</w:instrText>
      </w:r>
      <w:r w:rsidRPr="00951051">
        <w:rPr>
          <w:rFonts w:ascii="Verdana" w:hAnsi="Verdana"/>
          <w:b/>
          <w:bCs/>
          <w:color w:val="0070C0"/>
          <w:sz w:val="20"/>
          <w:szCs w:val="20"/>
          <w:u w:val="single"/>
        </w:rPr>
      </w:r>
      <w:r w:rsidRPr="00951051">
        <w:rPr>
          <w:rFonts w:ascii="Verdana" w:hAnsi="Verdana"/>
          <w:b/>
          <w:bCs/>
          <w:color w:val="0070C0"/>
          <w:sz w:val="20"/>
          <w:szCs w:val="20"/>
          <w:u w:val="single"/>
        </w:rPr>
        <w:fldChar w:fldCharType="separate"/>
      </w:r>
      <w:r w:rsidRPr="00951051">
        <w:rPr>
          <w:rStyle w:val="Hipercze"/>
          <w:rFonts w:ascii="Verdana" w:hAnsi="Verdana"/>
          <w:b/>
          <w:bCs/>
          <w:color w:val="0070C0"/>
          <w:sz w:val="20"/>
          <w:szCs w:val="20"/>
        </w:rPr>
        <w:t>Sedletska przeciwko Ukrainie</w:t>
      </w:r>
    </w:p>
    <w:p w14:paraId="1085F671" w14:textId="14E3DF6E" w:rsidR="00951051" w:rsidRPr="00951051" w:rsidRDefault="00951051" w:rsidP="00951051">
      <w:pPr>
        <w:pStyle w:val="TreA"/>
        <w:rPr>
          <w:rFonts w:ascii="Verdana" w:hAnsi="Verdana"/>
          <w:color w:val="929292"/>
          <w:sz w:val="18"/>
          <w:szCs w:val="18"/>
          <w:u w:color="929292"/>
        </w:rPr>
      </w:pPr>
      <w:r w:rsidRPr="00951051">
        <w:rPr>
          <w:rFonts w:ascii="Verdana" w:hAnsi="Verdana"/>
          <w:b/>
          <w:bCs/>
          <w:color w:val="0070C0"/>
          <w:sz w:val="20"/>
          <w:szCs w:val="20"/>
          <w:u w:val="single"/>
        </w:rPr>
        <w:fldChar w:fldCharType="end"/>
      </w:r>
      <w:r w:rsidRPr="00951051">
        <w:rPr>
          <w:rFonts w:ascii="Verdana" w:hAnsi="Verdana"/>
          <w:color w:val="929292"/>
          <w:sz w:val="18"/>
          <w:szCs w:val="18"/>
          <w:u w:color="929292"/>
        </w:rPr>
        <w:t>1</w:t>
      </w:r>
      <w:r>
        <w:rPr>
          <w:rFonts w:ascii="Verdana" w:hAnsi="Verdana"/>
          <w:color w:val="929292"/>
          <w:sz w:val="18"/>
          <w:szCs w:val="18"/>
          <w:u w:color="929292"/>
        </w:rPr>
        <w:t xml:space="preserve"> kwietnia</w:t>
      </w:r>
      <w:r w:rsidRPr="00951051">
        <w:rPr>
          <w:rFonts w:ascii="Verdana" w:hAnsi="Verdana"/>
          <w:color w:val="929292"/>
          <w:sz w:val="18"/>
          <w:szCs w:val="18"/>
          <w:u w:color="929292"/>
        </w:rPr>
        <w:t xml:space="preserve"> 20</w:t>
      </w:r>
      <w:r>
        <w:rPr>
          <w:rFonts w:ascii="Verdana" w:hAnsi="Verdana"/>
          <w:color w:val="929292"/>
          <w:sz w:val="18"/>
          <w:szCs w:val="18"/>
          <w:u w:color="929292"/>
        </w:rPr>
        <w:t>21</w:t>
      </w:r>
      <w:r w:rsidRPr="00951051">
        <w:rPr>
          <w:rFonts w:ascii="Verdana" w:hAnsi="Verdana"/>
          <w:color w:val="929292"/>
          <w:sz w:val="18"/>
          <w:szCs w:val="18"/>
          <w:u w:color="929292"/>
        </w:rPr>
        <w:t xml:space="preserve"> r.</w:t>
      </w:r>
    </w:p>
    <w:p w14:paraId="7E4C143B" w14:textId="02C29FE9" w:rsidR="00951051" w:rsidRPr="00E55367" w:rsidRDefault="00951051" w:rsidP="00951051">
      <w:pPr>
        <w:pStyle w:val="TreA"/>
        <w:jc w:val="both"/>
        <w:rPr>
          <w:rFonts w:ascii="Verdana" w:hAnsi="Verdana"/>
          <w:sz w:val="20"/>
          <w:szCs w:val="20"/>
        </w:rPr>
      </w:pPr>
      <w:r w:rsidRPr="00951051">
        <w:rPr>
          <w:rFonts w:ascii="Verdana" w:hAnsi="Verdana"/>
          <w:sz w:val="20"/>
          <w:szCs w:val="20"/>
        </w:rPr>
        <w:t>Sprawa ta dotyczyła sądowego zezwolenia na dostęp do danych telefonicznych skarżącej, dziennikarki Radia Wolna Europa/Radia Liberty, przez organy śledcze, które zagroziły ochronie jej źródeł dziennikarskich. Skarżąca zarzuciła nieuzasadnioną ingerencję w prawo do ochrony źródeł dziennikarskich</w:t>
      </w:r>
      <w:r>
        <w:rPr>
          <w:rFonts w:ascii="Verdana" w:hAnsi="Verdana"/>
          <w:sz w:val="20"/>
          <w:szCs w:val="20"/>
        </w:rPr>
        <w:t>.</w:t>
      </w:r>
    </w:p>
    <w:p w14:paraId="6360C25B" w14:textId="5074C49B" w:rsidR="00951051" w:rsidRPr="00951051" w:rsidRDefault="00951051">
      <w:pPr>
        <w:pStyle w:val="TreA"/>
        <w:jc w:val="both"/>
        <w:rPr>
          <w:rFonts w:ascii="Verdana" w:hAnsi="Verdana"/>
          <w:color w:val="0076BA"/>
          <w:sz w:val="20"/>
          <w:szCs w:val="20"/>
          <w:u w:color="0076BA"/>
        </w:rPr>
      </w:pPr>
      <w:r w:rsidRPr="00951051">
        <w:rPr>
          <w:rFonts w:ascii="Verdana" w:hAnsi="Verdana"/>
          <w:color w:val="0076BA"/>
          <w:sz w:val="20"/>
          <w:szCs w:val="20"/>
          <w:u w:color="0076BA"/>
        </w:rPr>
        <w:t xml:space="preserve">Trybunał orzekł, że doszło do </w:t>
      </w:r>
      <w:r w:rsidRPr="00951051">
        <w:rPr>
          <w:rFonts w:ascii="Verdana" w:hAnsi="Verdana"/>
          <w:b/>
          <w:bCs/>
          <w:color w:val="0076BA"/>
          <w:sz w:val="20"/>
          <w:szCs w:val="20"/>
          <w:u w:color="0076BA"/>
        </w:rPr>
        <w:t>naruszenia</w:t>
      </w:r>
      <w:r>
        <w:rPr>
          <w:rFonts w:ascii="Verdana" w:hAnsi="Verdana"/>
          <w:b/>
          <w:bCs/>
          <w:color w:val="0076BA"/>
          <w:sz w:val="20"/>
          <w:szCs w:val="20"/>
          <w:u w:color="0076BA"/>
        </w:rPr>
        <w:t xml:space="preserve"> art.</w:t>
      </w:r>
      <w:r w:rsidRPr="00951051">
        <w:rPr>
          <w:rFonts w:ascii="Verdana" w:hAnsi="Verdana"/>
          <w:b/>
          <w:bCs/>
          <w:color w:val="0076BA"/>
          <w:sz w:val="20"/>
          <w:szCs w:val="20"/>
          <w:u w:color="0076BA"/>
        </w:rPr>
        <w:t xml:space="preserve"> 10</w:t>
      </w:r>
      <w:r w:rsidRPr="00951051">
        <w:rPr>
          <w:rFonts w:ascii="Verdana" w:hAnsi="Verdana"/>
          <w:color w:val="0076BA"/>
          <w:sz w:val="20"/>
          <w:szCs w:val="20"/>
          <w:u w:color="0076BA"/>
        </w:rPr>
        <w:t xml:space="preserve"> Konwencji w odniesieniu do skarżącej. W świetle swoich ustaleń w sprawie nie był przekonany, że zezwolenie na dostęp do danych wydane przez sądy krajowe było uzasadnione „nadrzędnym wymogiem interesu publicznego”, a zatem było konieczne w społeczeństwie demokratycznym</w:t>
      </w:r>
      <w:r w:rsidRPr="00E55367">
        <w:rPr>
          <w:rFonts w:ascii="Verdana" w:hAnsi="Verdana"/>
          <w:color w:val="0076BA"/>
          <w:sz w:val="20"/>
          <w:szCs w:val="20"/>
          <w:u w:color="0076BA"/>
        </w:rPr>
        <w:t>.</w:t>
      </w:r>
    </w:p>
    <w:p w14:paraId="14C2056C" w14:textId="574441D8" w:rsidR="00951051" w:rsidRPr="00F22773" w:rsidRDefault="00F22773" w:rsidP="00951051">
      <w:pPr>
        <w:pStyle w:val="TreA"/>
        <w:spacing w:before="120"/>
        <w:rPr>
          <w:rStyle w:val="Hipercze"/>
          <w:rFonts w:ascii="Verdana" w:hAnsi="Verdana"/>
          <w:b/>
          <w:bCs/>
          <w:color w:val="0070C0"/>
          <w:sz w:val="20"/>
          <w:szCs w:val="20"/>
        </w:rPr>
      </w:pPr>
      <w:r w:rsidRPr="00F22773">
        <w:rPr>
          <w:rFonts w:ascii="Verdana" w:hAnsi="Verdana"/>
          <w:b/>
          <w:bCs/>
          <w:color w:val="0070C0"/>
          <w:sz w:val="20"/>
          <w:szCs w:val="20"/>
          <w:u w:val="single"/>
        </w:rPr>
        <w:fldChar w:fldCharType="begin"/>
      </w:r>
      <w:r w:rsidRPr="00F22773">
        <w:rPr>
          <w:rFonts w:ascii="Verdana" w:hAnsi="Verdana"/>
          <w:b/>
          <w:bCs/>
          <w:color w:val="0070C0"/>
          <w:sz w:val="20"/>
          <w:szCs w:val="20"/>
          <w:u w:val="single"/>
        </w:rPr>
        <w:instrText>HYPERLINK "https://hudoc.echr.coe.int/fre?i=002-13759"</w:instrText>
      </w:r>
      <w:r w:rsidRPr="00F22773">
        <w:rPr>
          <w:rFonts w:ascii="Verdana" w:hAnsi="Verdana"/>
          <w:b/>
          <w:bCs/>
          <w:color w:val="0070C0"/>
          <w:sz w:val="20"/>
          <w:szCs w:val="20"/>
          <w:u w:val="single"/>
        </w:rPr>
      </w:r>
      <w:r w:rsidRPr="00F22773">
        <w:rPr>
          <w:rFonts w:ascii="Verdana" w:hAnsi="Verdana"/>
          <w:b/>
          <w:bCs/>
          <w:color w:val="0070C0"/>
          <w:sz w:val="20"/>
          <w:szCs w:val="20"/>
          <w:u w:val="single"/>
        </w:rPr>
        <w:fldChar w:fldCharType="separate"/>
      </w:r>
      <w:r w:rsidR="00951051" w:rsidRPr="00F22773">
        <w:rPr>
          <w:rStyle w:val="Hipercze"/>
          <w:rFonts w:ascii="Verdana" w:hAnsi="Verdana"/>
          <w:b/>
          <w:bCs/>
          <w:color w:val="0070C0"/>
          <w:sz w:val="20"/>
          <w:szCs w:val="20"/>
        </w:rPr>
        <w:t>Sergey Sorokin przeciwko Rosji</w:t>
      </w:r>
      <w:r w:rsidR="00951051" w:rsidRPr="00F22773">
        <w:rPr>
          <w:rStyle w:val="Hipercze"/>
          <w:rFonts w:ascii="Verdana" w:hAnsi="Verdana"/>
          <w:b/>
          <w:bCs/>
          <w:color w:val="0070C0"/>
          <w:sz w:val="20"/>
          <w:szCs w:val="20"/>
          <w:vertAlign w:val="superscript"/>
        </w:rPr>
        <w:footnoteReference w:id="2"/>
      </w:r>
    </w:p>
    <w:p w14:paraId="7256CB29" w14:textId="780718CF" w:rsidR="00951051" w:rsidRPr="00951051" w:rsidRDefault="00F22773" w:rsidP="00951051">
      <w:pPr>
        <w:pStyle w:val="TreA"/>
        <w:rPr>
          <w:rFonts w:ascii="Verdana" w:hAnsi="Verdana"/>
          <w:color w:val="929292"/>
          <w:sz w:val="18"/>
          <w:szCs w:val="18"/>
          <w:u w:color="929292"/>
        </w:rPr>
      </w:pPr>
      <w:r w:rsidRPr="00F22773">
        <w:rPr>
          <w:rFonts w:ascii="Verdana" w:hAnsi="Verdana"/>
          <w:b/>
          <w:bCs/>
          <w:color w:val="0070C0"/>
          <w:sz w:val="20"/>
          <w:szCs w:val="20"/>
          <w:u w:val="single"/>
        </w:rPr>
        <w:fldChar w:fldCharType="end"/>
      </w:r>
      <w:r w:rsidR="00951051">
        <w:rPr>
          <w:rFonts w:ascii="Verdana" w:hAnsi="Verdana"/>
          <w:color w:val="929292"/>
          <w:sz w:val="18"/>
          <w:szCs w:val="18"/>
          <w:u w:color="929292"/>
        </w:rPr>
        <w:t>30 sierpnia 2022</w:t>
      </w:r>
      <w:r w:rsidR="00951051" w:rsidRPr="00951051">
        <w:rPr>
          <w:rFonts w:ascii="Verdana" w:hAnsi="Verdana"/>
          <w:color w:val="929292"/>
          <w:sz w:val="18"/>
          <w:szCs w:val="18"/>
          <w:u w:color="929292"/>
        </w:rPr>
        <w:t xml:space="preserve"> r.</w:t>
      </w:r>
    </w:p>
    <w:p w14:paraId="66A0ABD7" w14:textId="77777777" w:rsidR="00F22773" w:rsidRDefault="00F22773" w:rsidP="00951051">
      <w:pPr>
        <w:pStyle w:val="TreA"/>
        <w:jc w:val="both"/>
        <w:rPr>
          <w:rFonts w:ascii="Verdana" w:hAnsi="Verdana"/>
          <w:sz w:val="20"/>
          <w:szCs w:val="20"/>
        </w:rPr>
      </w:pPr>
      <w:r w:rsidRPr="00F22773">
        <w:rPr>
          <w:rFonts w:ascii="Verdana" w:hAnsi="Verdana"/>
          <w:sz w:val="20"/>
          <w:szCs w:val="20"/>
        </w:rPr>
        <w:t>Skarżący, dziennikarz i działacz społeczny, opublikował na stronie internetowej swojego tygodnika wywiad z wysokim rangą funkcjonariuszem policji dotyczący skandalu związanego z nadużyciem władzy. Przeciwko funkcjonariuszowi policji wszczęto następnie postępowanie karne za ujawnienie tajemnicy państwowej. Skarżący skarżył się na przeszukanie jego mieszkania i zajęcie jego komputera, dysków twardych i kasety audio w tym kontekście. Zarzucił również, że późniejsza kontrola sądowa środków przeciwko niemu nie wyważyła ochrony źródeł dziennikarskich z potrzebami dochodzenia karnego.</w:t>
      </w:r>
    </w:p>
    <w:p w14:paraId="54C0FB6F" w14:textId="40F51B34" w:rsidR="00951051" w:rsidRDefault="00F22773">
      <w:pPr>
        <w:pStyle w:val="TreA"/>
        <w:jc w:val="both"/>
        <w:rPr>
          <w:rFonts w:ascii="Verdana" w:hAnsi="Verdana"/>
          <w:color w:val="0076BA"/>
          <w:sz w:val="20"/>
          <w:szCs w:val="20"/>
          <w:u w:color="0076BA"/>
        </w:rPr>
      </w:pPr>
      <w:r w:rsidRPr="00F22773">
        <w:rPr>
          <w:rFonts w:ascii="Verdana" w:hAnsi="Verdana"/>
          <w:color w:val="0076BA"/>
          <w:sz w:val="20"/>
          <w:szCs w:val="20"/>
          <w:u w:color="0076BA"/>
        </w:rPr>
        <w:t>Trybunał orzekł, że doszło do naruszenia art. 10 Konwencji, stwierdzając, że kwestionowane przeszukanie zostało przeprowadzone przy braku proceduralnych zabezpieczeń przed ingerencją w poufność źródeł dziennikarskich skarżącego, a zatem nie było „konieczne w demokratycznym społeczeństwie” do osiągnięcia uzasadnionego celu, a mianowicie zapobiegania przestępczości.</w:t>
      </w:r>
    </w:p>
    <w:p w14:paraId="1D8111AD" w14:textId="77777777" w:rsidR="00F22773" w:rsidRDefault="00F22773">
      <w:pPr>
        <w:pStyle w:val="TreA"/>
        <w:jc w:val="both"/>
        <w:rPr>
          <w:rFonts w:ascii="Verdana" w:hAnsi="Verdana"/>
          <w:color w:val="0076BA"/>
          <w:sz w:val="20"/>
          <w:szCs w:val="20"/>
          <w:u w:color="0076BA"/>
        </w:rPr>
      </w:pPr>
    </w:p>
    <w:p w14:paraId="67689BF4" w14:textId="44811144" w:rsidR="00F22773" w:rsidRDefault="00F22773">
      <w:pPr>
        <w:pStyle w:val="TreA"/>
        <w:jc w:val="both"/>
        <w:rPr>
          <w:rFonts w:ascii="Verdana" w:hAnsi="Verdana"/>
          <w:color w:val="auto"/>
          <w:sz w:val="20"/>
          <w:szCs w:val="20"/>
          <w:u w:color="004D80"/>
        </w:rPr>
      </w:pPr>
      <w:r w:rsidRPr="00F22773">
        <w:rPr>
          <w:rFonts w:ascii="Verdana" w:hAnsi="Verdana"/>
          <w:i/>
          <w:iCs/>
          <w:color w:val="auto"/>
          <w:sz w:val="20"/>
          <w:szCs w:val="20"/>
          <w:u w:color="004D80"/>
        </w:rPr>
        <w:t>Zobacz również</w:t>
      </w:r>
      <w:r w:rsidRPr="00F22773">
        <w:rPr>
          <w:rFonts w:ascii="Verdana" w:hAnsi="Verdana"/>
          <w:color w:val="auto"/>
          <w:sz w:val="20"/>
          <w:szCs w:val="20"/>
          <w:u w:color="004D80"/>
        </w:rPr>
        <w:t>, ostatnio:</w:t>
      </w:r>
    </w:p>
    <w:p w14:paraId="099368F5" w14:textId="7FB716BD" w:rsidR="00F22773" w:rsidRPr="00951051" w:rsidRDefault="00F22773" w:rsidP="00F22773">
      <w:pPr>
        <w:pStyle w:val="TreA"/>
        <w:spacing w:before="120"/>
        <w:rPr>
          <w:rStyle w:val="Hipercze"/>
          <w:rFonts w:ascii="Verdana" w:hAnsi="Verdana"/>
          <w:b/>
          <w:bCs/>
          <w:color w:val="0070C0"/>
          <w:sz w:val="20"/>
          <w:szCs w:val="20"/>
        </w:rPr>
      </w:pPr>
      <w:r w:rsidRPr="00951051">
        <w:rPr>
          <w:rFonts w:ascii="Verdana" w:hAnsi="Verdana"/>
          <w:b/>
          <w:bCs/>
          <w:color w:val="0070C0"/>
          <w:sz w:val="20"/>
          <w:szCs w:val="20"/>
          <w:u w:val="single"/>
        </w:rPr>
        <w:fldChar w:fldCharType="begin"/>
      </w:r>
      <w:r>
        <w:rPr>
          <w:rFonts w:ascii="Verdana" w:hAnsi="Verdana"/>
          <w:b/>
          <w:bCs/>
          <w:color w:val="0070C0"/>
          <w:sz w:val="20"/>
          <w:szCs w:val="20"/>
          <w:u w:val="single"/>
        </w:rPr>
        <w:instrText>HYPERLINK "https://hudoc.echr.coe.int/eng?i=001-209346"</w:instrText>
      </w:r>
      <w:r w:rsidRPr="00951051">
        <w:rPr>
          <w:rFonts w:ascii="Verdana" w:hAnsi="Verdana"/>
          <w:b/>
          <w:bCs/>
          <w:color w:val="0070C0"/>
          <w:sz w:val="20"/>
          <w:szCs w:val="20"/>
          <w:u w:val="single"/>
        </w:rPr>
      </w:r>
      <w:r w:rsidRPr="00951051">
        <w:rPr>
          <w:rFonts w:ascii="Verdana" w:hAnsi="Verdana"/>
          <w:b/>
          <w:bCs/>
          <w:color w:val="0070C0"/>
          <w:sz w:val="20"/>
          <w:szCs w:val="20"/>
          <w:u w:val="single"/>
        </w:rPr>
        <w:fldChar w:fldCharType="separate"/>
      </w:r>
      <w:r>
        <w:rPr>
          <w:rStyle w:val="Hipercze"/>
          <w:rFonts w:ascii="Verdana" w:hAnsi="Verdana"/>
          <w:b/>
          <w:bCs/>
          <w:color w:val="0070C0"/>
          <w:sz w:val="20"/>
          <w:szCs w:val="20"/>
        </w:rPr>
        <w:t>Avaz Zeynalov</w:t>
      </w:r>
      <w:r w:rsidRPr="00951051">
        <w:rPr>
          <w:rStyle w:val="Hipercze"/>
          <w:rFonts w:ascii="Verdana" w:hAnsi="Verdana"/>
          <w:b/>
          <w:bCs/>
          <w:color w:val="0070C0"/>
          <w:sz w:val="20"/>
          <w:szCs w:val="20"/>
        </w:rPr>
        <w:t xml:space="preserve"> przeciwko </w:t>
      </w:r>
      <w:r>
        <w:rPr>
          <w:rStyle w:val="Hipercze"/>
          <w:rFonts w:ascii="Verdana" w:hAnsi="Verdana"/>
          <w:b/>
          <w:bCs/>
          <w:color w:val="0070C0"/>
          <w:sz w:val="20"/>
          <w:szCs w:val="20"/>
        </w:rPr>
        <w:t>Azerbejdżanowi</w:t>
      </w:r>
    </w:p>
    <w:p w14:paraId="772E4103" w14:textId="45DE6E84" w:rsidR="00F22773" w:rsidRPr="00951051" w:rsidRDefault="00F22773" w:rsidP="00F22773">
      <w:pPr>
        <w:pStyle w:val="TreA"/>
        <w:rPr>
          <w:rFonts w:ascii="Verdana" w:hAnsi="Verdana"/>
          <w:color w:val="929292"/>
          <w:sz w:val="18"/>
          <w:szCs w:val="18"/>
          <w:u w:color="929292"/>
        </w:rPr>
      </w:pPr>
      <w:r w:rsidRPr="00951051">
        <w:rPr>
          <w:rFonts w:ascii="Verdana" w:hAnsi="Verdana"/>
          <w:b/>
          <w:bCs/>
          <w:color w:val="0070C0"/>
          <w:sz w:val="20"/>
          <w:szCs w:val="20"/>
          <w:u w:val="single"/>
        </w:rPr>
        <w:fldChar w:fldCharType="end"/>
      </w:r>
      <w:r>
        <w:rPr>
          <w:rFonts w:ascii="Verdana" w:hAnsi="Verdana"/>
          <w:color w:val="929292"/>
          <w:sz w:val="18"/>
          <w:szCs w:val="18"/>
          <w:u w:color="929292"/>
        </w:rPr>
        <w:t>22 kwietnia</w:t>
      </w:r>
      <w:r w:rsidRPr="00951051">
        <w:rPr>
          <w:rFonts w:ascii="Verdana" w:hAnsi="Verdana"/>
          <w:color w:val="929292"/>
          <w:sz w:val="18"/>
          <w:szCs w:val="18"/>
          <w:u w:color="929292"/>
        </w:rPr>
        <w:t xml:space="preserve"> 20</w:t>
      </w:r>
      <w:r>
        <w:rPr>
          <w:rFonts w:ascii="Verdana" w:hAnsi="Verdana"/>
          <w:color w:val="929292"/>
          <w:sz w:val="18"/>
          <w:szCs w:val="18"/>
          <w:u w:color="929292"/>
        </w:rPr>
        <w:t>21</w:t>
      </w:r>
      <w:r w:rsidRPr="00951051">
        <w:rPr>
          <w:rFonts w:ascii="Verdana" w:hAnsi="Verdana"/>
          <w:color w:val="929292"/>
          <w:sz w:val="18"/>
          <w:szCs w:val="18"/>
          <w:u w:color="929292"/>
        </w:rPr>
        <w:t xml:space="preserve"> r.</w:t>
      </w:r>
    </w:p>
    <w:p w14:paraId="657311EB" w14:textId="77777777" w:rsidR="00F22773" w:rsidRPr="00F22773" w:rsidRDefault="00F22773">
      <w:pPr>
        <w:pStyle w:val="TreA"/>
        <w:jc w:val="both"/>
        <w:rPr>
          <w:rFonts w:ascii="Verdana" w:hAnsi="Verdana"/>
          <w:color w:val="auto"/>
          <w:sz w:val="20"/>
          <w:szCs w:val="20"/>
          <w:u w:color="004D80"/>
        </w:rPr>
      </w:pPr>
    </w:p>
    <w:p w14:paraId="731804B1" w14:textId="1635A90E" w:rsidR="00F22773" w:rsidRPr="00F22773" w:rsidRDefault="00F22773">
      <w:pPr>
        <w:pStyle w:val="TreA"/>
        <w:jc w:val="both"/>
        <w:rPr>
          <w:rFonts w:ascii="Verdana" w:hAnsi="Verdana"/>
          <w:color w:val="0070C0"/>
          <w:sz w:val="28"/>
          <w:szCs w:val="26"/>
          <w:u w:color="004D80"/>
        </w:rPr>
      </w:pPr>
      <w:r w:rsidRPr="00F22773">
        <w:rPr>
          <w:rFonts w:ascii="Verdana" w:hAnsi="Verdana"/>
          <w:color w:val="0070C0"/>
          <w:sz w:val="28"/>
          <w:szCs w:val="26"/>
          <w:u w:color="004D80"/>
        </w:rPr>
        <w:t>Teksty i dokumenty</w:t>
      </w:r>
    </w:p>
    <w:p w14:paraId="48052059" w14:textId="7340B68B" w:rsidR="00094866" w:rsidRDefault="00094866">
      <w:pPr>
        <w:pStyle w:val="TreA"/>
        <w:jc w:val="both"/>
        <w:rPr>
          <w:rFonts w:ascii="Verdana" w:hAnsi="Verdana"/>
          <w:color w:val="004D80"/>
          <w:u w:color="004D80"/>
        </w:rPr>
      </w:pPr>
      <w:r w:rsidRPr="00CF707B">
        <w:rPr>
          <w:noProof/>
        </w:rPr>
        <mc:AlternateContent>
          <mc:Choice Requires="wps">
            <w:drawing>
              <wp:anchor distT="0" distB="0" distL="114300" distR="114300" simplePos="0" relativeHeight="251665408" behindDoc="1" locked="0" layoutInCell="1" allowOverlap="1" wp14:anchorId="14A7FA32" wp14:editId="0B3601D8">
                <wp:simplePos x="0" y="0"/>
                <wp:positionH relativeFrom="page">
                  <wp:posOffset>720090</wp:posOffset>
                </wp:positionH>
                <wp:positionV relativeFrom="paragraph">
                  <wp:posOffset>0</wp:posOffset>
                </wp:positionV>
                <wp:extent cx="5769610" cy="0"/>
                <wp:effectExtent l="0" t="0" r="0" b="0"/>
                <wp:wrapNone/>
                <wp:docPr id="174684888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19050">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202AB"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0" to="5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" strokecolor="#999" strokeweight="1.5pt">
                <w10:wrap anchorx="page"/>
              </v:line>
            </w:pict>
          </mc:Fallback>
        </mc:AlternateContent>
      </w:r>
    </w:p>
    <w:p w14:paraId="0E7D2D54" w14:textId="72366EC9" w:rsidR="00094866" w:rsidRPr="00F22773" w:rsidRDefault="00F22773">
      <w:pPr>
        <w:pStyle w:val="TreA"/>
        <w:jc w:val="both"/>
        <w:rPr>
          <w:rFonts w:ascii="Verdana" w:hAnsi="Verdana"/>
          <w:color w:val="auto"/>
          <w:u w:color="004D80"/>
        </w:rPr>
      </w:pPr>
      <w:r w:rsidRPr="00F22773">
        <w:rPr>
          <w:rFonts w:ascii="Verdana" w:hAnsi="Verdana"/>
          <w:color w:val="auto"/>
          <w:u w:color="004D80"/>
        </w:rPr>
        <w:t>Zob. w szczególności:</w:t>
      </w:r>
    </w:p>
    <w:p w14:paraId="4B57FF64" w14:textId="69559BDC" w:rsidR="00F22773" w:rsidRPr="00F22773" w:rsidRDefault="00F22773">
      <w:pPr>
        <w:pStyle w:val="TreA"/>
        <w:jc w:val="both"/>
        <w:rPr>
          <w:rFonts w:ascii="Verdana" w:hAnsi="Verdana"/>
          <w:color w:val="auto"/>
          <w:u w:color="004D80"/>
        </w:rPr>
      </w:pPr>
      <w:r w:rsidRPr="00F22773">
        <w:rPr>
          <w:rFonts w:ascii="Verdana" w:hAnsi="Verdana"/>
          <w:color w:val="auto"/>
          <w:u w:color="004D80"/>
        </w:rPr>
        <w:t>- Platforma wymiany wiedzy o EKPC (ECHR-KS),</w:t>
      </w:r>
      <w:r w:rsidRPr="00F22773">
        <w:rPr>
          <w:rFonts w:ascii="Verdana" w:hAnsi="Verdana"/>
          <w:color w:val="0070C0"/>
          <w:u w:color="004D80"/>
        </w:rPr>
        <w:t xml:space="preserve"> </w:t>
      </w:r>
      <w:hyperlink r:id="rId28" w:history="1">
        <w:r w:rsidRPr="00F22773">
          <w:rPr>
            <w:rStyle w:val="Hipercze"/>
            <w:rFonts w:ascii="Verdana" w:hAnsi="Verdana"/>
            <w:color w:val="0070C0"/>
          </w:rPr>
          <w:t>Artykuł 10 - Wolność wypowiedzi</w:t>
        </w:r>
      </w:hyperlink>
    </w:p>
    <w:p w14:paraId="0E11BA7E" w14:textId="77777777" w:rsidR="00094866" w:rsidRDefault="00094866">
      <w:pPr>
        <w:pStyle w:val="TreA"/>
        <w:jc w:val="both"/>
        <w:rPr>
          <w:rFonts w:ascii="Verdana" w:hAnsi="Verdana"/>
          <w:color w:val="004D80"/>
          <w:u w:color="004D80"/>
        </w:rPr>
      </w:pPr>
    </w:p>
    <w:p w14:paraId="51DB0023" w14:textId="59A117CE" w:rsidR="00094866" w:rsidRPr="002A2574" w:rsidRDefault="00094866">
      <w:pPr>
        <w:pStyle w:val="TreA"/>
        <w:jc w:val="both"/>
        <w:rPr>
          <w:rFonts w:ascii="Verdana" w:hAnsi="Verdana"/>
          <w:color w:val="004D80"/>
          <w:u w:color="004D80"/>
        </w:rPr>
      </w:pPr>
      <w:r w:rsidRPr="00CF707B">
        <w:rPr>
          <w:noProof/>
        </w:rPr>
        <mc:AlternateContent>
          <mc:Choice Requires="wps">
            <w:drawing>
              <wp:anchor distT="0" distB="0" distL="114300" distR="114300" simplePos="0" relativeHeight="251663360" behindDoc="1" locked="0" layoutInCell="1" allowOverlap="1" wp14:anchorId="141B128E" wp14:editId="6DA38775">
                <wp:simplePos x="0" y="0"/>
                <wp:positionH relativeFrom="page">
                  <wp:posOffset>720090</wp:posOffset>
                </wp:positionH>
                <wp:positionV relativeFrom="paragraph">
                  <wp:posOffset>0</wp:posOffset>
                </wp:positionV>
                <wp:extent cx="5769610" cy="0"/>
                <wp:effectExtent l="0" t="0" r="0" b="0"/>
                <wp:wrapNone/>
                <wp:docPr id="18269409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19050">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AB32B" id="Line 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0" to="5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" strokecolor="#999" strokeweight="1.5pt">
                <w10:wrap anchorx="page"/>
              </v:line>
            </w:pict>
          </mc:Fallback>
        </mc:AlternateContent>
      </w:r>
    </w:p>
    <w:p w14:paraId="5382BB7E" w14:textId="5FF4BF28" w:rsidR="00B13EDC" w:rsidRPr="00094866" w:rsidRDefault="00797BF0" w:rsidP="00B536BC">
      <w:pPr>
        <w:pStyle w:val="TreA"/>
        <w:jc w:val="center"/>
        <w:rPr>
          <w:rFonts w:ascii="Verdana" w:hAnsi="Verdana"/>
          <w:b/>
          <w:bCs/>
          <w:color w:val="808080" w:themeColor="background1" w:themeShade="80"/>
          <w:sz w:val="20"/>
          <w:szCs w:val="20"/>
          <w:u w:color="004D80"/>
        </w:rPr>
      </w:pPr>
      <w:r w:rsidRPr="00094866">
        <w:rPr>
          <w:rFonts w:ascii="Verdana" w:hAnsi="Verdana"/>
          <w:b/>
          <w:bCs/>
          <w:color w:val="808080" w:themeColor="background1" w:themeShade="80"/>
          <w:sz w:val="20"/>
          <w:szCs w:val="20"/>
          <w:u w:color="004D80"/>
        </w:rPr>
        <w:t>Kontakt</w:t>
      </w:r>
      <w:r w:rsidR="00B536BC" w:rsidRPr="00094866">
        <w:rPr>
          <w:rFonts w:ascii="Verdana" w:hAnsi="Verdana"/>
          <w:b/>
          <w:bCs/>
          <w:color w:val="808080" w:themeColor="background1" w:themeShade="80"/>
          <w:sz w:val="20"/>
          <w:szCs w:val="20"/>
          <w:u w:color="004D80"/>
        </w:rPr>
        <w:t xml:space="preserve"> z mediami:</w:t>
      </w:r>
    </w:p>
    <w:p w14:paraId="595FA4B1" w14:textId="77777777" w:rsidR="00B13EDC" w:rsidRPr="00094866" w:rsidRDefault="00797BF0">
      <w:pPr>
        <w:pStyle w:val="TreA"/>
        <w:jc w:val="center"/>
        <w:rPr>
          <w:rFonts w:ascii="Verdana" w:hAnsi="Verdana"/>
          <w:color w:val="808080" w:themeColor="background1" w:themeShade="80"/>
          <w:sz w:val="20"/>
          <w:szCs w:val="20"/>
        </w:rPr>
      </w:pPr>
      <w:r w:rsidRPr="00094866">
        <w:rPr>
          <w:rFonts w:ascii="Verdana" w:hAnsi="Verdana"/>
          <w:color w:val="808080" w:themeColor="background1" w:themeShade="80"/>
          <w:sz w:val="20"/>
          <w:szCs w:val="20"/>
          <w:u w:color="004D80"/>
        </w:rPr>
        <w:t>Tel.: +33 (0)3 90 21 42 08</w:t>
      </w:r>
    </w:p>
    <w:sectPr w:rsidR="00B13EDC" w:rsidRPr="00094866" w:rsidSect="002A2574">
      <w:headerReference w:type="default" r:id="rId29"/>
      <w:footerReference w:type="default" r:id="rId30"/>
      <w:headerReference w:type="first" r:id="rId31"/>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5A732" w14:textId="77777777" w:rsidR="00103F28" w:rsidRDefault="00103F28">
      <w:r>
        <w:separator/>
      </w:r>
    </w:p>
  </w:endnote>
  <w:endnote w:type="continuationSeparator" w:id="0">
    <w:p w14:paraId="313DEBBF" w14:textId="77777777" w:rsidR="00103F28" w:rsidRDefault="0010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altName w:val="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ADEDA" w14:textId="77777777" w:rsidR="00B13EDC" w:rsidRDefault="00797BF0">
    <w:pPr>
      <w:pStyle w:val="NagwekistopkaA"/>
      <w:tabs>
        <w:tab w:val="clear" w:pos="9020"/>
        <w:tab w:val="center" w:pos="4819"/>
        <w:tab w:val="right" w:pos="9612"/>
      </w:tabs>
      <w:rPr>
        <w:rFonts w:hint="eastAsia"/>
      </w:rPr>
    </w:pPr>
    <w:r>
      <w:tab/>
    </w:r>
    <w:r>
      <w:fldChar w:fldCharType="begin"/>
    </w:r>
    <w:r>
      <w:instrText xml:space="preserve"> PAGE </w:instrText>
    </w:r>
    <w:r>
      <w:fldChar w:fldCharType="separate"/>
    </w:r>
    <w:r w:rsidR="00E55367">
      <w:rPr>
        <w:rFonts w:hint="eastAsia"/>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54705" w14:textId="77777777" w:rsidR="00103F28" w:rsidRDefault="00103F28">
      <w:r>
        <w:separator/>
      </w:r>
    </w:p>
  </w:footnote>
  <w:footnote w:type="continuationSeparator" w:id="0">
    <w:p w14:paraId="593F02D0" w14:textId="77777777" w:rsidR="00103F28" w:rsidRDefault="00103F28">
      <w:r>
        <w:continuationSeparator/>
      </w:r>
    </w:p>
  </w:footnote>
  <w:footnote w:id="1">
    <w:p w14:paraId="7ACACBDA" w14:textId="0D6B3C6D" w:rsidR="00F402BC" w:rsidRPr="00F402BC" w:rsidRDefault="00F402BC">
      <w:pPr>
        <w:pStyle w:val="Tekstprzypisudolnego"/>
        <w:rPr>
          <w:lang w:val="pl-PL"/>
        </w:rPr>
      </w:pPr>
      <w:r>
        <w:rPr>
          <w:rStyle w:val="Odwoanieprzypisudolnego"/>
        </w:rPr>
        <w:footnoteRef/>
      </w:r>
      <w:r>
        <w:t xml:space="preserve"> </w:t>
      </w:r>
      <w:r w:rsidRPr="00F402BC">
        <w:rPr>
          <w:rFonts w:ascii="Verdana" w:hAnsi="Verdana"/>
          <w:sz w:val="16"/>
          <w:szCs w:val="16"/>
        </w:rPr>
        <w:t>W odpowiednim czasie system masowego przechwytywania i uzyskiwania danych komunikacyjnych od dostawców usług komunikacyjnych miał podstawę ustawową w ustawie Regulation of Investigatory Powers Act 2000. Od tego czasu została ona zastąpiona ustawą o uprawnieniach śledczych z 2016 roku. Ustalenia Wielkiej Izby odnoszą się wyłącznie do przepisów ustawy z 2000 r., która stanowiła ramy prawne obowiązujące w czasie, gdy miały miejsce zdarzenia będące przedmiotem skargi.</w:t>
      </w:r>
    </w:p>
  </w:footnote>
  <w:footnote w:id="2">
    <w:p w14:paraId="65D9C260" w14:textId="3C58EFA5" w:rsidR="00951051" w:rsidRPr="00951051" w:rsidRDefault="00951051">
      <w:pPr>
        <w:pStyle w:val="Tekstprzypisudolnego"/>
        <w:rPr>
          <w:lang w:val="pl-PL"/>
        </w:rPr>
      </w:pPr>
      <w:r>
        <w:rPr>
          <w:rStyle w:val="Odwoanieprzypisudolnego"/>
        </w:rPr>
        <w:footnoteRef/>
      </w:r>
      <w:r>
        <w:t xml:space="preserve"> </w:t>
      </w:r>
      <w:r w:rsidR="00F22773" w:rsidRPr="00F22773">
        <w:rPr>
          <w:rFonts w:ascii="Verdana" w:hAnsi="Verdana"/>
          <w:sz w:val="16"/>
          <w:szCs w:val="16"/>
        </w:rPr>
        <w:t>W dniu 16 września 2022 r. Federacja Rosyjska przestała być stroną Europejskiej konwencji praw człowieka („Konwencja”).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55AB4" w14:textId="6FEECB28" w:rsidR="002A2574" w:rsidRPr="00B536BC" w:rsidRDefault="00780781" w:rsidP="002A2574">
    <w:pPr>
      <w:pStyle w:val="TreA"/>
      <w:jc w:val="right"/>
      <w:rPr>
        <w:rFonts w:hint="eastAsia"/>
        <w:sz w:val="18"/>
        <w:szCs w:val="18"/>
      </w:rPr>
    </w:pPr>
    <w:r>
      <w:rPr>
        <w:noProof/>
      </w:rPr>
      <mc:AlternateContent>
        <mc:Choice Requires="wps">
          <w:drawing>
            <wp:anchor distT="0" distB="0" distL="114300" distR="114300" simplePos="0" relativeHeight="251661312" behindDoc="0" locked="0" layoutInCell="1" allowOverlap="1" wp14:anchorId="71C99663" wp14:editId="4B1D849F">
              <wp:simplePos x="0" y="0"/>
              <wp:positionH relativeFrom="column">
                <wp:posOffset>-304800</wp:posOffset>
              </wp:positionH>
              <wp:positionV relativeFrom="paragraph">
                <wp:posOffset>7620</wp:posOffset>
              </wp:positionV>
              <wp:extent cx="1828800" cy="1828800"/>
              <wp:effectExtent l="0" t="0" r="0" b="0"/>
              <wp:wrapSquare wrapText="bothSides"/>
              <wp:docPr id="5" name="Pole tekstow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5D8A73" w14:textId="77777777" w:rsidR="002A2574" w:rsidRDefault="002A2574" w:rsidP="00DF0BAA">
                          <w:pPr>
                            <w:pStyle w:val="TreA"/>
                            <w:jc w:val="right"/>
                            <w:rPr>
                              <w:rFonts w:hint="eastAsia"/>
                              <w:sz w:val="18"/>
                              <w:szCs w:val="18"/>
                            </w:rPr>
                          </w:pPr>
                        </w:p>
                        <w:p w14:paraId="765C2A7D" w14:textId="48D6E6D6" w:rsidR="00780781" w:rsidRPr="00780781" w:rsidRDefault="002A2574" w:rsidP="00780781">
                          <w:pPr>
                            <w:pStyle w:val="TreA"/>
                            <w:jc w:val="right"/>
                            <w:rPr>
                              <w:rFonts w:hint="eastAsia"/>
                              <w:noProof/>
                            </w:rPr>
                          </w:pPr>
                          <w:r w:rsidRPr="00B536BC">
                            <w:rPr>
                              <w:sz w:val="18"/>
                              <w:szCs w:val="18"/>
                            </w:rPr>
                            <w:t>Zestawienie – Ochrona dziennikarskich źródeł informacji</w:t>
                          </w:r>
                          <w:r w:rsidRPr="002A2574">
                            <w:rPr>
                              <w:noProof/>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C99663" id="_x0000_t202" coordsize="21600,21600" o:spt="202" path="m,l,21600r21600,l21600,xe">
              <v:stroke joinstyle="miter"/>
              <v:path gradientshapeok="t" o:connecttype="rect"/>
            </v:shapetype>
            <v:shape id="Pole tekstowe 5" o:spid="_x0000_s1028" type="#_x0000_t202" style="position:absolute;left:0;text-align:left;margin-left:-24pt;margin-top:.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" filled="f" stroked="f" strokeweight=".5pt">
              <v:textbox style="mso-fit-shape-to-text:t">
                <w:txbxContent>
                  <w:p w14:paraId="395D8A73" w14:textId="77777777" w:rsidR="002A2574" w:rsidRDefault="002A2574" w:rsidP="00DF0BAA">
                    <w:pPr>
                      <w:pStyle w:val="TreA"/>
                      <w:jc w:val="right"/>
                      <w:rPr>
                        <w:rFonts w:hint="eastAsia"/>
                        <w:sz w:val="18"/>
                        <w:szCs w:val="18"/>
                      </w:rPr>
                    </w:pPr>
                  </w:p>
                  <w:p w14:paraId="765C2A7D" w14:textId="48D6E6D6" w:rsidR="00780781" w:rsidRPr="00780781" w:rsidRDefault="002A2574" w:rsidP="00780781">
                    <w:pPr>
                      <w:pStyle w:val="TreA"/>
                      <w:jc w:val="right"/>
                      <w:rPr>
                        <w:rFonts w:hint="eastAsia"/>
                        <w:noProof/>
                      </w:rPr>
                    </w:pPr>
                    <w:r w:rsidRPr="00B536BC">
                      <w:rPr>
                        <w:sz w:val="18"/>
                        <w:szCs w:val="18"/>
                      </w:rPr>
                      <w:t>Zestawienie – Ochrona dziennikarskich źródeł informacji</w:t>
                    </w:r>
                    <w:r w:rsidRPr="002A2574">
                      <w:rPr>
                        <w:noProof/>
                      </w:rPr>
                      <w:t xml:space="preserve"> </w:t>
                    </w:r>
                  </w:p>
                </w:txbxContent>
              </v:textbox>
              <w10:wrap type="square"/>
            </v:shape>
          </w:pict>
        </mc:Fallback>
      </mc:AlternateContent>
    </w:r>
    <w:r w:rsidRPr="00CF707B">
      <w:rPr>
        <w:noProof/>
      </w:rPr>
      <mc:AlternateContent>
        <mc:Choice Requires="wpg">
          <w:drawing>
            <wp:anchor distT="0" distB="0" distL="0" distR="0" simplePos="0" relativeHeight="251663360" behindDoc="1" locked="0" layoutInCell="1" allowOverlap="1" wp14:anchorId="7655D6A4" wp14:editId="2B8720A1">
              <wp:simplePos x="0" y="0"/>
              <wp:positionH relativeFrom="margin">
                <wp:posOffset>-213360</wp:posOffset>
              </wp:positionH>
              <wp:positionV relativeFrom="paragraph">
                <wp:posOffset>390525</wp:posOffset>
              </wp:positionV>
              <wp:extent cx="6493510" cy="12700"/>
              <wp:effectExtent l="0" t="0" r="0" b="0"/>
              <wp:wrapTopAndBottom/>
              <wp:docPr id="199581591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12700"/>
                        <a:chOff x="853" y="273"/>
                        <a:chExt cx="10226" cy="20"/>
                      </a:xfrm>
                    </wpg:grpSpPr>
                    <wps:wsp>
                      <wps:cNvPr id="1619177023" name="Line 27"/>
                      <wps:cNvCnPr>
                        <a:cxnSpLocks noChangeShapeType="1"/>
                      </wps:cNvCnPr>
                      <wps:spPr bwMode="auto">
                        <a:xfrm>
                          <a:off x="853" y="282"/>
                          <a:ext cx="4439" cy="0"/>
                        </a:xfrm>
                        <a:prstGeom prst="line">
                          <a:avLst/>
                        </a:prstGeom>
                        <a:noFill/>
                        <a:ln w="12191">
                          <a:solidFill>
                            <a:srgbClr val="7F7F7F"/>
                          </a:solidFill>
                          <a:round/>
                          <a:headEnd/>
                          <a:tailEnd/>
                        </a:ln>
                        <a:extLst>
                          <a:ext uri="{909E8E84-426E-40DD-AFC4-6F175D3DCCD1}">
                            <a14:hiddenFill xmlns:a14="http://schemas.microsoft.com/office/drawing/2010/main">
                              <a:noFill/>
                            </a14:hiddenFill>
                          </a:ext>
                        </a:extLst>
                      </wps:spPr>
                      <wps:bodyPr/>
                    </wps:wsp>
                    <wps:wsp>
                      <wps:cNvPr id="201524119" name="Line 26"/>
                      <wps:cNvCnPr>
                        <a:cxnSpLocks noChangeShapeType="1"/>
                      </wps:cNvCnPr>
                      <wps:spPr bwMode="auto">
                        <a:xfrm>
                          <a:off x="5292" y="282"/>
                          <a:ext cx="5767" cy="0"/>
                        </a:xfrm>
                        <a:prstGeom prst="line">
                          <a:avLst/>
                        </a:prstGeom>
                        <a:noFill/>
                        <a:ln w="12191">
                          <a:solidFill>
                            <a:srgbClr val="7F7F7F"/>
                          </a:solidFill>
                          <a:round/>
                          <a:headEnd/>
                          <a:tailEnd/>
                        </a:ln>
                        <a:extLst>
                          <a:ext uri="{909E8E84-426E-40DD-AFC4-6F175D3DCCD1}">
                            <a14:hiddenFill xmlns:a14="http://schemas.microsoft.com/office/drawing/2010/main">
                              <a:noFill/>
                            </a14:hiddenFill>
                          </a:ext>
                        </a:extLst>
                      </wps:spPr>
                      <wps:bodyPr/>
                    </wps:wsp>
                    <wps:wsp>
                      <wps:cNvPr id="842989453" name="Rectangle 25"/>
                      <wps:cNvSpPr>
                        <a:spLocks noChangeArrowheads="1"/>
                      </wps:cNvSpPr>
                      <wps:spPr bwMode="auto">
                        <a:xfrm>
                          <a:off x="11059" y="272"/>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2F480" id="Group 24" o:spid="_x0000_s1026" style="position:absolute;margin-left:-16.8pt;margin-top:30.75pt;width:511.3pt;height:1pt;z-index:-251653120;mso-wrap-distance-left:0;mso-wrap-distance-right:0;mso-position-horizontal-relative:margin" coordorigin="853,273" coordsize="102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">
              <v:line id="Line 27" o:spid="_x0000_s1027" style="position:absolute;visibility:visible;mso-wrap-style:square" from="853,282" to="529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" strokecolor="#7f7f7f" strokeweight=".33864mm"/>
              <v:line id="Line 26" o:spid="_x0000_s1028" style="position:absolute;visibility:visible;mso-wrap-style:square" from="5292,282" to="11059,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" strokecolor="#7f7f7f" strokeweight=".33864mm"/>
              <v:rect id="Rectangle 25" o:spid="_x0000_s1029" style="position:absolute;left:11059;top:27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" fillcolor="#7f7f7f" stroked="f"/>
              <w10:wrap type="topAndBottom" anchorx="margin"/>
            </v:group>
          </w:pict>
        </mc:Fallback>
      </mc:AlternateContent>
    </w:r>
    <w:r w:rsidR="002A2574">
      <w:rPr>
        <w:noProof/>
      </w:rPr>
      <w:drawing>
        <wp:inline distT="0" distB="0" distL="0" distR="0" wp14:anchorId="057998A7" wp14:editId="24E1F8BD">
          <wp:extent cx="1410335" cy="36830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17" name="image1.png"/>
                  <pic:cNvPicPr/>
                </pic:nvPicPr>
                <pic:blipFill>
                  <a:blip r:embed="rId1" cstate="print"/>
                  <a:stretch>
                    <a:fillRect/>
                  </a:stretch>
                </pic:blipFill>
                <pic:spPr>
                  <a:xfrm>
                    <a:off x="0" y="0"/>
                    <a:ext cx="1410335" cy="368300"/>
                  </a:xfrm>
                  <a:prstGeom prst="rect">
                    <a:avLst/>
                  </a:prstGeom>
                </pic:spPr>
              </pic:pic>
            </a:graphicData>
          </a:graphic>
        </wp:inline>
      </w:drawing>
    </w:r>
  </w:p>
  <w:p w14:paraId="4DC81399" w14:textId="5C24E9C6" w:rsidR="00B13EDC" w:rsidRDefault="00B13EDC">
    <w:pPr>
      <w:pStyle w:val="Nagwekistopka"/>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B3245" w14:textId="77777777" w:rsidR="002A2574" w:rsidRDefault="002A2574">
    <w:pPr>
      <w:pStyle w:val="Nagwek"/>
    </w:pPr>
  </w:p>
  <w:p w14:paraId="5D5435BD" w14:textId="77777777" w:rsidR="002A2574" w:rsidRDefault="002A2574">
    <w:pPr>
      <w:pStyle w:val="Nagwek"/>
    </w:pPr>
  </w:p>
  <w:p w14:paraId="029E881A" w14:textId="77777777" w:rsidR="002A2574" w:rsidRDefault="002A2574">
    <w:pPr>
      <w:pStyle w:val="Nagwek"/>
    </w:pPr>
  </w:p>
  <w:p w14:paraId="16D80B44" w14:textId="77777777" w:rsidR="002A2574" w:rsidRDefault="002A2574">
    <w:pPr>
      <w:pStyle w:val="Nagwek"/>
    </w:pPr>
  </w:p>
  <w:p w14:paraId="2E0F843C" w14:textId="60F9B925" w:rsidR="002A2574" w:rsidRDefault="002A2574" w:rsidP="002A2574">
    <w:pPr>
      <w:pStyle w:val="Nagwek"/>
      <w:jc w:val="right"/>
    </w:pPr>
    <w:r w:rsidRPr="000D6E43">
      <w:rPr>
        <w:noProof/>
        <w:lang w:val="pl-PL" w:eastAsia="pl-PL"/>
      </w:rPr>
      <w:drawing>
        <wp:inline distT="0" distB="0" distL="0" distR="0" wp14:anchorId="6740ADFC" wp14:editId="375F8BD1">
          <wp:extent cx="1412916" cy="3688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12916" cy="368807"/>
                  </a:xfrm>
                  <a:prstGeom prst="rect">
                    <a:avLst/>
                  </a:prstGeom>
                </pic:spPr>
              </pic:pic>
            </a:graphicData>
          </a:graphic>
        </wp:inline>
      </w:drawing>
    </w:r>
    <w:r w:rsidRPr="000D6E43">
      <w:rPr>
        <w:noProof/>
        <w:lang w:val="pl-PL" w:eastAsia="pl-PL"/>
      </w:rPr>
      <w:drawing>
        <wp:anchor distT="0" distB="0" distL="0" distR="0" simplePos="0" relativeHeight="251659264" behindDoc="0" locked="0" layoutInCell="1" allowOverlap="1" wp14:anchorId="206A999E" wp14:editId="7C747C22">
          <wp:simplePos x="0" y="0"/>
          <wp:positionH relativeFrom="page">
            <wp:posOffset>503555</wp:posOffset>
          </wp:positionH>
          <wp:positionV relativeFrom="paragraph">
            <wp:posOffset>-426085</wp:posOffset>
          </wp:positionV>
          <wp:extent cx="2391410" cy="885190"/>
          <wp:effectExtent l="0" t="0" r="889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391410" cy="885190"/>
                  </a:xfrm>
                  <a:prstGeom prst="rect">
                    <a:avLst/>
                  </a:prstGeom>
                </pic:spPr>
              </pic:pic>
            </a:graphicData>
          </a:graphic>
        </wp:anchor>
      </w:drawing>
    </w:r>
  </w:p>
  <w:p w14:paraId="2450BADB" w14:textId="77777777" w:rsidR="002A2574" w:rsidRDefault="002A257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DC"/>
    <w:rsid w:val="00031228"/>
    <w:rsid w:val="00094866"/>
    <w:rsid w:val="00097522"/>
    <w:rsid w:val="000F39F8"/>
    <w:rsid w:val="000F627C"/>
    <w:rsid w:val="00103F28"/>
    <w:rsid w:val="00106DCB"/>
    <w:rsid w:val="001118E9"/>
    <w:rsid w:val="00121AB2"/>
    <w:rsid w:val="00161237"/>
    <w:rsid w:val="001F1A13"/>
    <w:rsid w:val="00222D37"/>
    <w:rsid w:val="00233EE2"/>
    <w:rsid w:val="00235F2C"/>
    <w:rsid w:val="0024774C"/>
    <w:rsid w:val="00283B94"/>
    <w:rsid w:val="00292EAE"/>
    <w:rsid w:val="002A2574"/>
    <w:rsid w:val="002E7DBA"/>
    <w:rsid w:val="0032256F"/>
    <w:rsid w:val="00345C3B"/>
    <w:rsid w:val="00383AE3"/>
    <w:rsid w:val="003D7525"/>
    <w:rsid w:val="003E14D1"/>
    <w:rsid w:val="00435D70"/>
    <w:rsid w:val="0045155A"/>
    <w:rsid w:val="004863FC"/>
    <w:rsid w:val="004F5761"/>
    <w:rsid w:val="0053043A"/>
    <w:rsid w:val="00574233"/>
    <w:rsid w:val="005D0C31"/>
    <w:rsid w:val="005F0D71"/>
    <w:rsid w:val="006029D9"/>
    <w:rsid w:val="00604FE4"/>
    <w:rsid w:val="00623750"/>
    <w:rsid w:val="006647C4"/>
    <w:rsid w:val="00665334"/>
    <w:rsid w:val="00676F9D"/>
    <w:rsid w:val="00686C48"/>
    <w:rsid w:val="006A2B5D"/>
    <w:rsid w:val="006B79DD"/>
    <w:rsid w:val="006E1FB2"/>
    <w:rsid w:val="007006A4"/>
    <w:rsid w:val="00702120"/>
    <w:rsid w:val="0071056F"/>
    <w:rsid w:val="00780781"/>
    <w:rsid w:val="00796D83"/>
    <w:rsid w:val="00797BF0"/>
    <w:rsid w:val="007C2EEE"/>
    <w:rsid w:val="007D7531"/>
    <w:rsid w:val="007E094C"/>
    <w:rsid w:val="007E56F1"/>
    <w:rsid w:val="008109E5"/>
    <w:rsid w:val="00811DCC"/>
    <w:rsid w:val="0081603E"/>
    <w:rsid w:val="00832AC3"/>
    <w:rsid w:val="008409D2"/>
    <w:rsid w:val="008B4122"/>
    <w:rsid w:val="008B61EA"/>
    <w:rsid w:val="008C13D0"/>
    <w:rsid w:val="00906A4F"/>
    <w:rsid w:val="00906CCE"/>
    <w:rsid w:val="00946A73"/>
    <w:rsid w:val="00951051"/>
    <w:rsid w:val="00951ACF"/>
    <w:rsid w:val="00953D57"/>
    <w:rsid w:val="00960F06"/>
    <w:rsid w:val="009725EF"/>
    <w:rsid w:val="00981109"/>
    <w:rsid w:val="009A5BB9"/>
    <w:rsid w:val="009B150C"/>
    <w:rsid w:val="009B3877"/>
    <w:rsid w:val="009B42C7"/>
    <w:rsid w:val="009F5FC6"/>
    <w:rsid w:val="00A029AE"/>
    <w:rsid w:val="00A20859"/>
    <w:rsid w:val="00A71D72"/>
    <w:rsid w:val="00A955C2"/>
    <w:rsid w:val="00AC755B"/>
    <w:rsid w:val="00AD1EE6"/>
    <w:rsid w:val="00AD4B58"/>
    <w:rsid w:val="00AE70D3"/>
    <w:rsid w:val="00B11322"/>
    <w:rsid w:val="00B13EDC"/>
    <w:rsid w:val="00B4520F"/>
    <w:rsid w:val="00B536BC"/>
    <w:rsid w:val="00B92F37"/>
    <w:rsid w:val="00BC0961"/>
    <w:rsid w:val="00BF6AFF"/>
    <w:rsid w:val="00C16725"/>
    <w:rsid w:val="00C4024F"/>
    <w:rsid w:val="00C8000D"/>
    <w:rsid w:val="00CB3BDE"/>
    <w:rsid w:val="00CF2DFC"/>
    <w:rsid w:val="00D268D0"/>
    <w:rsid w:val="00D93968"/>
    <w:rsid w:val="00DB3678"/>
    <w:rsid w:val="00DB5C25"/>
    <w:rsid w:val="00DC725F"/>
    <w:rsid w:val="00E33043"/>
    <w:rsid w:val="00E40005"/>
    <w:rsid w:val="00E519FF"/>
    <w:rsid w:val="00E5375B"/>
    <w:rsid w:val="00E55367"/>
    <w:rsid w:val="00EC217C"/>
    <w:rsid w:val="00EC3D48"/>
    <w:rsid w:val="00EC6543"/>
    <w:rsid w:val="00EE3504"/>
    <w:rsid w:val="00EF744E"/>
    <w:rsid w:val="00F12207"/>
    <w:rsid w:val="00F15122"/>
    <w:rsid w:val="00F22773"/>
    <w:rsid w:val="00F402BC"/>
    <w:rsid w:val="00F40C63"/>
    <w:rsid w:val="00FA41B0"/>
    <w:rsid w:val="00FA7D9E"/>
    <w:rsid w:val="00FB411A"/>
    <w:rsid w:val="00FB4F34"/>
    <w:rsid w:val="00FC5DA0"/>
    <w:rsid w:val="00FF03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agwekistopkaA">
    <w:name w:val="Nagłówek i stopka 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TreA">
    <w:name w:val="Treść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lang w:val="en-US" w:eastAsia="en-US"/>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B536B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36BC"/>
    <w:rPr>
      <w:rFonts w:ascii="Segoe UI" w:hAnsi="Segoe UI" w:cs="Segoe UI"/>
      <w:sz w:val="18"/>
      <w:szCs w:val="18"/>
      <w:lang w:val="en-US" w:eastAsia="en-US"/>
    </w:rPr>
  </w:style>
  <w:style w:type="paragraph" w:styleId="Nagwek">
    <w:name w:val="header"/>
    <w:basedOn w:val="Normalny"/>
    <w:link w:val="NagwekZnak"/>
    <w:uiPriority w:val="99"/>
    <w:unhideWhenUsed/>
    <w:rsid w:val="002A2574"/>
    <w:pPr>
      <w:tabs>
        <w:tab w:val="center" w:pos="4536"/>
        <w:tab w:val="right" w:pos="9072"/>
      </w:tabs>
    </w:pPr>
  </w:style>
  <w:style w:type="character" w:customStyle="1" w:styleId="NagwekZnak">
    <w:name w:val="Nagłówek Znak"/>
    <w:basedOn w:val="Domylnaczcionkaakapitu"/>
    <w:link w:val="Nagwek"/>
    <w:uiPriority w:val="99"/>
    <w:rsid w:val="002A2574"/>
    <w:rPr>
      <w:sz w:val="24"/>
      <w:szCs w:val="24"/>
      <w:lang w:val="en-US" w:eastAsia="en-US"/>
    </w:rPr>
  </w:style>
  <w:style w:type="paragraph" w:styleId="Stopka">
    <w:name w:val="footer"/>
    <w:basedOn w:val="Normalny"/>
    <w:link w:val="StopkaZnak"/>
    <w:uiPriority w:val="99"/>
    <w:unhideWhenUsed/>
    <w:rsid w:val="002A2574"/>
    <w:pPr>
      <w:tabs>
        <w:tab w:val="center" w:pos="4536"/>
        <w:tab w:val="right" w:pos="9072"/>
      </w:tabs>
    </w:pPr>
  </w:style>
  <w:style w:type="character" w:customStyle="1" w:styleId="StopkaZnak">
    <w:name w:val="Stopka Znak"/>
    <w:basedOn w:val="Domylnaczcionkaakapitu"/>
    <w:link w:val="Stopka"/>
    <w:uiPriority w:val="99"/>
    <w:rsid w:val="002A2574"/>
    <w:rPr>
      <w:sz w:val="24"/>
      <w:szCs w:val="24"/>
      <w:lang w:val="en-US" w:eastAsia="en-US"/>
    </w:rPr>
  </w:style>
  <w:style w:type="paragraph" w:styleId="Bezodstpw">
    <w:name w:val="No Spacing"/>
    <w:uiPriority w:val="1"/>
    <w:qFormat/>
    <w:rsid w:val="00E55367"/>
    <w:rPr>
      <w:sz w:val="24"/>
      <w:szCs w:val="24"/>
      <w:lang w:val="en-US" w:eastAsia="en-US"/>
    </w:rPr>
  </w:style>
  <w:style w:type="character" w:styleId="Nierozpoznanawzmianka">
    <w:name w:val="Unresolved Mention"/>
    <w:basedOn w:val="Domylnaczcionkaakapitu"/>
    <w:uiPriority w:val="99"/>
    <w:semiHidden/>
    <w:unhideWhenUsed/>
    <w:rsid w:val="00094866"/>
    <w:rPr>
      <w:color w:val="605E5C"/>
      <w:shd w:val="clear" w:color="auto" w:fill="E1DFDD"/>
    </w:rPr>
  </w:style>
  <w:style w:type="paragraph" w:styleId="Tekstprzypisudolnego">
    <w:name w:val="footnote text"/>
    <w:basedOn w:val="Normalny"/>
    <w:link w:val="TekstprzypisudolnegoZnak"/>
    <w:uiPriority w:val="99"/>
    <w:semiHidden/>
    <w:unhideWhenUsed/>
    <w:rsid w:val="00F402BC"/>
    <w:rPr>
      <w:sz w:val="20"/>
      <w:szCs w:val="20"/>
    </w:rPr>
  </w:style>
  <w:style w:type="character" w:customStyle="1" w:styleId="TekstprzypisudolnegoZnak">
    <w:name w:val="Tekst przypisu dolnego Znak"/>
    <w:basedOn w:val="Domylnaczcionkaakapitu"/>
    <w:link w:val="Tekstprzypisudolnego"/>
    <w:uiPriority w:val="99"/>
    <w:semiHidden/>
    <w:rsid w:val="00F402BC"/>
    <w:rPr>
      <w:lang w:val="en-US" w:eastAsia="en-US"/>
    </w:rPr>
  </w:style>
  <w:style w:type="character" w:styleId="Odwoanieprzypisudolnego">
    <w:name w:val="footnote reference"/>
    <w:basedOn w:val="Domylnaczcionkaakapitu"/>
    <w:uiPriority w:val="99"/>
    <w:semiHidden/>
    <w:unhideWhenUsed/>
    <w:rsid w:val="00F402BC"/>
    <w:rPr>
      <w:vertAlign w:val="superscript"/>
    </w:rPr>
  </w:style>
  <w:style w:type="character" w:styleId="UyteHipercze">
    <w:name w:val="FollowedHyperlink"/>
    <w:basedOn w:val="Domylnaczcionkaakapitu"/>
    <w:uiPriority w:val="99"/>
    <w:semiHidden/>
    <w:unhideWhenUsed/>
    <w:rsid w:val="0098110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doc.echr.coe.int/eng-press?i=003-3257807-3631969" TargetMode="External"/><Relationship Id="rId18" Type="http://schemas.openxmlformats.org/officeDocument/2006/relationships/hyperlink" Target="https://hudoc.echr.coe.int/fre?i=001-175882" TargetMode="External"/><Relationship Id="rId26" Type="http://schemas.openxmlformats.org/officeDocument/2006/relationships/hyperlink" Target="https://hudoc.echr.coe.int/fre-press?i=003-4332446-5192635" TargetMode="External"/><Relationship Id="rId3" Type="http://schemas.openxmlformats.org/officeDocument/2006/relationships/settings" Target="settings.xml"/><Relationship Id="rId21" Type="http://schemas.openxmlformats.org/officeDocument/2006/relationships/hyperlink" Target="https://hudoc.echr.coe.int/eng-press?i=003-707011-716180" TargetMode="External"/><Relationship Id="rId7" Type="http://schemas.openxmlformats.org/officeDocument/2006/relationships/hyperlink" Target="https://www.echr.coe.int/documents/d/echr/Convention_POL" TargetMode="External"/><Relationship Id="rId12" Type="http://schemas.openxmlformats.org/officeDocument/2006/relationships/hyperlink" Target="https://hudoc.echr.coe.int/eng-press?i=003-2966972-3266774" TargetMode="External"/><Relationship Id="rId17" Type="http://schemas.openxmlformats.org/officeDocument/2006/relationships/hyperlink" Target="https://hudoc.echr.coe.int/eng-press?i=003-7203382-9786026" TargetMode="External"/><Relationship Id="rId25" Type="http://schemas.openxmlformats.org/officeDocument/2006/relationships/hyperlink" Target="https://hudoc.echr.coe.int/eng-press?i=003-4002892-466080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udoc.echr.coe.int/eng-press?i=003-7028496-9484349" TargetMode="External"/><Relationship Id="rId20" Type="http://schemas.openxmlformats.org/officeDocument/2006/relationships/hyperlink" Target="https://hudoc.echr.coe.int/eng-press?i=003-795697-81279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udoc.echr.coe.int/eng-press?i=003-2185312-2334715" TargetMode="External"/><Relationship Id="rId24" Type="http://schemas.openxmlformats.org/officeDocument/2006/relationships/hyperlink" Target="https://hudoc.echr.coe.int/eng-press?i=003-3911691-4517517"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udoc.echr.coe.int/eng-press?i=003-5861383-7473067" TargetMode="External"/><Relationship Id="rId23" Type="http://schemas.openxmlformats.org/officeDocument/2006/relationships/hyperlink" Target="https://hudoc.echr.coe.int/eng-press?i=003-2189531-2328879" TargetMode="External"/><Relationship Id="rId28" Type="http://schemas.openxmlformats.org/officeDocument/2006/relationships/hyperlink" Target="https://ks.echr.coe.int/web/echr-ks/article-10" TargetMode="External"/><Relationship Id="rId10" Type="http://schemas.openxmlformats.org/officeDocument/2006/relationships/hyperlink" Target="https://hudoc.echr.coe.int/eng?i=002-3582" TargetMode="External"/><Relationship Id="rId19" Type="http://schemas.openxmlformats.org/officeDocument/2006/relationships/hyperlink" Target="https://hudoc.echr.coe.int/eng-press?i=003-795697-812799"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hudoc.echr.coe.int/eng?i=001-57974" TargetMode="External"/><Relationship Id="rId14" Type="http://schemas.openxmlformats.org/officeDocument/2006/relationships/hyperlink" Target="https://hudoc.echr.coe.int/eng-press?i=003-4167297-4926068" TargetMode="External"/><Relationship Id="rId22" Type="http://schemas.openxmlformats.org/officeDocument/2006/relationships/hyperlink" Target="https://hudoc.echr.coe.int/eng-press?i=003-707011-716180" TargetMode="External"/><Relationship Id="rId27" Type="http://schemas.openxmlformats.org/officeDocument/2006/relationships/hyperlink" Target="https://hudoc.echr.coe.int/eng-press?i=003-5274716-6556486" TargetMode="External"/><Relationship Id="rId30" Type="http://schemas.openxmlformats.org/officeDocument/2006/relationships/footer" Target="footer1.xml"/><Relationship Id="rId8" Type="http://schemas.openxmlformats.org/officeDocument/2006/relationships/hyperlink" Target="https://hudoc.echr.coe.int/eng?i=001-57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EF866-A802-4F9B-A300-1E07C498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4177</Words>
  <Characters>25062</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2024-12-27T12:01:00Z</dcterms:created>
  <dcterms:modified xsi:type="dcterms:W3CDTF">2025-01-10T15:09:00Z</dcterms:modified>
</cp:coreProperties>
</file>