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p w:rsidR="00BE5FA7" w:rsidRDefault="00682B36" w:rsidP="00BE5F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Instrukcja do </w:t>
      </w:r>
      <w:r w:rsidR="00BE5FA7">
        <w:rPr>
          <w:b/>
          <w:sz w:val="40"/>
          <w:szCs w:val="40"/>
        </w:rPr>
        <w:t>Raport</w:t>
      </w:r>
      <w:r>
        <w:rPr>
          <w:b/>
          <w:sz w:val="40"/>
          <w:szCs w:val="40"/>
        </w:rPr>
        <w:t>u</w:t>
      </w:r>
      <w:r w:rsidR="00BE5FA7">
        <w:rPr>
          <w:b/>
          <w:sz w:val="40"/>
          <w:szCs w:val="40"/>
        </w:rPr>
        <w:t xml:space="preserve"> z monitorowania wielkości redukcji emisji CO</w:t>
      </w:r>
      <w:r w:rsidR="00BE5FA7">
        <w:rPr>
          <w:b/>
          <w:sz w:val="40"/>
          <w:szCs w:val="40"/>
          <w:vertAlign w:val="subscript"/>
        </w:rPr>
        <w:t>2</w:t>
      </w:r>
      <w:r w:rsidR="00BE5FA7">
        <w:rPr>
          <w:b/>
          <w:sz w:val="40"/>
          <w:szCs w:val="40"/>
        </w:rPr>
        <w:t xml:space="preserve"> osiągniętej w roku </w:t>
      </w:r>
      <w:r w:rsidR="00C50B02">
        <w:rPr>
          <w:b/>
          <w:sz w:val="40"/>
          <w:szCs w:val="40"/>
        </w:rPr>
        <w:t>20</w:t>
      </w:r>
      <w:r w:rsidR="00545337">
        <w:rPr>
          <w:b/>
          <w:sz w:val="40"/>
          <w:szCs w:val="40"/>
        </w:rPr>
        <w:t>2</w:t>
      </w:r>
      <w:r w:rsidR="000466BF">
        <w:rPr>
          <w:b/>
          <w:sz w:val="40"/>
          <w:szCs w:val="40"/>
        </w:rPr>
        <w:t>1</w:t>
      </w:r>
    </w:p>
    <w:p w:rsidR="00BE5FA7" w:rsidRDefault="00BE5FA7" w:rsidP="00BE5FA7">
      <w:pPr>
        <w:jc w:val="center"/>
        <w:rPr>
          <w:b/>
          <w:sz w:val="40"/>
          <w:szCs w:val="40"/>
        </w:rPr>
      </w:pPr>
    </w:p>
    <w:p w:rsidR="00BE5FA7" w:rsidRDefault="00BE5FA7" w:rsidP="00BE5FA7">
      <w:pPr>
        <w:jc w:val="center"/>
        <w:rPr>
          <w:b/>
          <w:sz w:val="40"/>
          <w:szCs w:val="40"/>
        </w:rPr>
      </w:pPr>
    </w:p>
    <w:p w:rsidR="00BE5FA7" w:rsidRDefault="00BE5FA7" w:rsidP="00BE5FA7">
      <w:pPr>
        <w:jc w:val="center"/>
        <w:rPr>
          <w:b/>
          <w:sz w:val="40"/>
          <w:szCs w:val="40"/>
        </w:rPr>
      </w:pPr>
    </w:p>
    <w:p w:rsidR="00BE5FA7" w:rsidRPr="008424B0" w:rsidRDefault="00BE5FA7" w:rsidP="00BE5FA7">
      <w:pPr>
        <w:jc w:val="center"/>
        <w:rPr>
          <w:b/>
          <w:i/>
          <w:sz w:val="36"/>
          <w:szCs w:val="36"/>
        </w:rPr>
      </w:pPr>
    </w:p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p w:rsidR="00BE5FA7" w:rsidRDefault="00BE5FA7" w:rsidP="00BE5F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724"/>
        <w:gridCol w:w="4669"/>
      </w:tblGrid>
      <w:tr w:rsidR="00BE5FA7" w:rsidRPr="00EE78A0" w:rsidTr="00B5788C">
        <w:tc>
          <w:tcPr>
            <w:tcW w:w="675" w:type="dxa"/>
            <w:shd w:val="pct12" w:color="auto" w:fill="auto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b/>
              </w:rPr>
            </w:pPr>
            <w:r w:rsidRPr="00EE78A0">
              <w:rPr>
                <w:b/>
              </w:rPr>
              <w:lastRenderedPageBreak/>
              <w:t>1.</w:t>
            </w:r>
          </w:p>
        </w:tc>
        <w:tc>
          <w:tcPr>
            <w:tcW w:w="8537" w:type="dxa"/>
            <w:gridSpan w:val="2"/>
            <w:shd w:val="pct12" w:color="auto" w:fill="auto"/>
          </w:tcPr>
          <w:p w:rsidR="00BE5FA7" w:rsidRPr="00EE78A0" w:rsidRDefault="00BE5FA7" w:rsidP="00BE5FA7">
            <w:pPr>
              <w:spacing w:after="0" w:line="240" w:lineRule="auto"/>
              <w:rPr>
                <w:b/>
              </w:rPr>
            </w:pPr>
            <w:r w:rsidRPr="00EE78A0">
              <w:rPr>
                <w:b/>
              </w:rPr>
              <w:t>Identyfikacja obiektu</w:t>
            </w:r>
          </w:p>
        </w:tc>
      </w:tr>
      <w:tr w:rsidR="00BE5FA7" w:rsidRPr="00EE78A0" w:rsidTr="00BE5FA7">
        <w:tc>
          <w:tcPr>
            <w:tcW w:w="675" w:type="dxa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t>1.1.</w:t>
            </w:r>
          </w:p>
        </w:tc>
        <w:tc>
          <w:tcPr>
            <w:tcW w:w="3828" w:type="dxa"/>
          </w:tcPr>
          <w:p w:rsidR="00BE5FA7" w:rsidRPr="00EE78A0" w:rsidRDefault="00BE5FA7" w:rsidP="00BE5FA7">
            <w:pPr>
              <w:spacing w:after="0" w:line="240" w:lineRule="auto"/>
              <w:rPr>
                <w:i/>
              </w:rPr>
            </w:pPr>
            <w:r w:rsidRPr="00EE78A0">
              <w:rPr>
                <w:i/>
              </w:rPr>
              <w:t>Nazwa właściciela obiektu</w:t>
            </w:r>
          </w:p>
        </w:tc>
        <w:tc>
          <w:tcPr>
            <w:tcW w:w="4709" w:type="dxa"/>
          </w:tcPr>
          <w:p w:rsidR="00BE5FA7" w:rsidRPr="00EE78A0" w:rsidRDefault="00BE5FA7" w:rsidP="00BE5FA7">
            <w:pPr>
              <w:spacing w:after="0" w:line="240" w:lineRule="auto"/>
            </w:pPr>
          </w:p>
        </w:tc>
      </w:tr>
      <w:tr w:rsidR="00BE5FA7" w:rsidRPr="00EE78A0" w:rsidTr="00BE5FA7">
        <w:tc>
          <w:tcPr>
            <w:tcW w:w="675" w:type="dxa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t>1.2.</w:t>
            </w:r>
          </w:p>
        </w:tc>
        <w:tc>
          <w:tcPr>
            <w:tcW w:w="3828" w:type="dxa"/>
          </w:tcPr>
          <w:p w:rsidR="00BE5FA7" w:rsidRPr="00EE78A0" w:rsidRDefault="00BE5FA7" w:rsidP="00BE5FA7">
            <w:pPr>
              <w:spacing w:after="0" w:line="240" w:lineRule="auto"/>
              <w:rPr>
                <w:i/>
              </w:rPr>
            </w:pPr>
            <w:r w:rsidRPr="00EE78A0">
              <w:rPr>
                <w:i/>
              </w:rPr>
              <w:t>Nazwa prowadzącego instalację</w:t>
            </w:r>
          </w:p>
        </w:tc>
        <w:tc>
          <w:tcPr>
            <w:tcW w:w="4709" w:type="dxa"/>
          </w:tcPr>
          <w:p w:rsidR="00BE5FA7" w:rsidRPr="00EE78A0" w:rsidRDefault="00BE5FA7" w:rsidP="00BE5FA7">
            <w:pPr>
              <w:spacing w:after="0" w:line="240" w:lineRule="auto"/>
            </w:pPr>
          </w:p>
        </w:tc>
      </w:tr>
      <w:tr w:rsidR="00BE5FA7" w:rsidRPr="00EE78A0" w:rsidTr="00BE5FA7">
        <w:tc>
          <w:tcPr>
            <w:tcW w:w="675" w:type="dxa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t>1.3.</w:t>
            </w:r>
          </w:p>
        </w:tc>
        <w:tc>
          <w:tcPr>
            <w:tcW w:w="3828" w:type="dxa"/>
          </w:tcPr>
          <w:p w:rsidR="00BE5FA7" w:rsidRPr="00EE78A0" w:rsidRDefault="00BE5FA7" w:rsidP="00BE5FA7">
            <w:pPr>
              <w:spacing w:after="0" w:line="240" w:lineRule="auto"/>
              <w:rPr>
                <w:i/>
              </w:rPr>
            </w:pPr>
            <w:r w:rsidRPr="00EE78A0">
              <w:rPr>
                <w:i/>
              </w:rPr>
              <w:t>Numer REGON</w:t>
            </w:r>
          </w:p>
        </w:tc>
        <w:tc>
          <w:tcPr>
            <w:tcW w:w="4709" w:type="dxa"/>
          </w:tcPr>
          <w:p w:rsidR="00BE5FA7" w:rsidRPr="00EE78A0" w:rsidRDefault="00BE5FA7" w:rsidP="00BE5FA7">
            <w:pPr>
              <w:spacing w:after="0" w:line="240" w:lineRule="auto"/>
            </w:pPr>
          </w:p>
        </w:tc>
      </w:tr>
      <w:tr w:rsidR="00BE5FA7" w:rsidRPr="00EE78A0" w:rsidTr="00BE5FA7">
        <w:tc>
          <w:tcPr>
            <w:tcW w:w="675" w:type="dxa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t>1.4.</w:t>
            </w:r>
          </w:p>
        </w:tc>
        <w:tc>
          <w:tcPr>
            <w:tcW w:w="3828" w:type="dxa"/>
          </w:tcPr>
          <w:p w:rsidR="00BE5FA7" w:rsidRPr="00EE78A0" w:rsidRDefault="00BE5FA7" w:rsidP="00BE5FA7">
            <w:pPr>
              <w:spacing w:after="0" w:line="240" w:lineRule="auto"/>
              <w:rPr>
                <w:i/>
              </w:rPr>
            </w:pPr>
            <w:r w:rsidRPr="00EE78A0">
              <w:rPr>
                <w:i/>
              </w:rPr>
              <w:t>Numer NIP</w:t>
            </w:r>
          </w:p>
        </w:tc>
        <w:tc>
          <w:tcPr>
            <w:tcW w:w="4709" w:type="dxa"/>
          </w:tcPr>
          <w:p w:rsidR="00BE5FA7" w:rsidRPr="00EE78A0" w:rsidRDefault="00BE5FA7" w:rsidP="00BE5FA7">
            <w:pPr>
              <w:spacing w:after="0" w:line="240" w:lineRule="auto"/>
            </w:pPr>
          </w:p>
        </w:tc>
      </w:tr>
      <w:tr w:rsidR="00BE5FA7" w:rsidRPr="00EE78A0" w:rsidTr="00BE5FA7">
        <w:tc>
          <w:tcPr>
            <w:tcW w:w="675" w:type="dxa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t>1.5.</w:t>
            </w:r>
          </w:p>
        </w:tc>
        <w:tc>
          <w:tcPr>
            <w:tcW w:w="3828" w:type="dxa"/>
          </w:tcPr>
          <w:p w:rsidR="00BE5FA7" w:rsidRPr="00EE78A0" w:rsidRDefault="00BE5FA7" w:rsidP="00BE5FA7">
            <w:pPr>
              <w:spacing w:after="0" w:line="240" w:lineRule="auto"/>
              <w:rPr>
                <w:i/>
              </w:rPr>
            </w:pPr>
            <w:r w:rsidRPr="00EE78A0">
              <w:rPr>
                <w:i/>
              </w:rPr>
              <w:t>Imię i nazwisko osoby do kontaktów</w:t>
            </w:r>
          </w:p>
        </w:tc>
        <w:tc>
          <w:tcPr>
            <w:tcW w:w="4709" w:type="dxa"/>
          </w:tcPr>
          <w:p w:rsidR="00BE5FA7" w:rsidRPr="00EE78A0" w:rsidRDefault="00BE5FA7" w:rsidP="00BE5FA7">
            <w:pPr>
              <w:spacing w:after="0" w:line="240" w:lineRule="auto"/>
            </w:pPr>
          </w:p>
        </w:tc>
      </w:tr>
      <w:tr w:rsidR="00BE5FA7" w:rsidRPr="00EE78A0" w:rsidTr="00BE5FA7">
        <w:tc>
          <w:tcPr>
            <w:tcW w:w="675" w:type="dxa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t>1.6.</w:t>
            </w:r>
          </w:p>
        </w:tc>
        <w:tc>
          <w:tcPr>
            <w:tcW w:w="3828" w:type="dxa"/>
          </w:tcPr>
          <w:p w:rsidR="00BE5FA7" w:rsidRPr="00EE78A0" w:rsidRDefault="00BE5FA7" w:rsidP="00BE5FA7">
            <w:pPr>
              <w:spacing w:after="0" w:line="240" w:lineRule="auto"/>
              <w:rPr>
                <w:i/>
              </w:rPr>
            </w:pPr>
            <w:r w:rsidRPr="00EE78A0">
              <w:rPr>
                <w:i/>
              </w:rPr>
              <w:t>Adres służbowy osoby do kontaktów</w:t>
            </w:r>
          </w:p>
        </w:tc>
        <w:tc>
          <w:tcPr>
            <w:tcW w:w="4709" w:type="dxa"/>
          </w:tcPr>
          <w:p w:rsidR="00BE5FA7" w:rsidRPr="00EE78A0" w:rsidRDefault="00BE5FA7" w:rsidP="00BE5FA7">
            <w:pPr>
              <w:spacing w:after="0" w:line="240" w:lineRule="auto"/>
            </w:pPr>
          </w:p>
        </w:tc>
      </w:tr>
      <w:tr w:rsidR="00BE5FA7" w:rsidRPr="00EE78A0" w:rsidTr="00BE5FA7">
        <w:tc>
          <w:tcPr>
            <w:tcW w:w="675" w:type="dxa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t>1.7.</w:t>
            </w:r>
          </w:p>
        </w:tc>
        <w:tc>
          <w:tcPr>
            <w:tcW w:w="3828" w:type="dxa"/>
          </w:tcPr>
          <w:p w:rsidR="00BE5FA7" w:rsidRPr="00EE78A0" w:rsidRDefault="00BE5FA7" w:rsidP="00BE5FA7">
            <w:pPr>
              <w:spacing w:after="0" w:line="240" w:lineRule="auto"/>
              <w:rPr>
                <w:i/>
              </w:rPr>
            </w:pPr>
            <w:r w:rsidRPr="00EE78A0">
              <w:rPr>
                <w:i/>
              </w:rPr>
              <w:t>Numer telefony i faxu służbowego osoby do kontaktów</w:t>
            </w:r>
          </w:p>
        </w:tc>
        <w:tc>
          <w:tcPr>
            <w:tcW w:w="4709" w:type="dxa"/>
          </w:tcPr>
          <w:p w:rsidR="00BE5FA7" w:rsidRPr="00EE78A0" w:rsidRDefault="00BE5FA7" w:rsidP="00BE5FA7">
            <w:pPr>
              <w:spacing w:after="0" w:line="240" w:lineRule="auto"/>
            </w:pPr>
          </w:p>
        </w:tc>
      </w:tr>
      <w:tr w:rsidR="00BE5FA7" w:rsidRPr="00EE78A0" w:rsidTr="00BE5FA7">
        <w:tc>
          <w:tcPr>
            <w:tcW w:w="675" w:type="dxa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t>1.8.</w:t>
            </w:r>
          </w:p>
        </w:tc>
        <w:tc>
          <w:tcPr>
            <w:tcW w:w="3828" w:type="dxa"/>
          </w:tcPr>
          <w:p w:rsidR="00BE5FA7" w:rsidRPr="00EE78A0" w:rsidRDefault="00BE5FA7" w:rsidP="00BE5FA7">
            <w:pPr>
              <w:spacing w:after="0" w:line="240" w:lineRule="auto"/>
              <w:rPr>
                <w:i/>
              </w:rPr>
            </w:pPr>
            <w:r w:rsidRPr="00EE78A0">
              <w:rPr>
                <w:i/>
              </w:rPr>
              <w:t>E-mail służbowy osoby do kontaktów</w:t>
            </w:r>
          </w:p>
        </w:tc>
        <w:tc>
          <w:tcPr>
            <w:tcW w:w="4709" w:type="dxa"/>
          </w:tcPr>
          <w:p w:rsidR="00BE5FA7" w:rsidRPr="00EE78A0" w:rsidRDefault="00BE5FA7" w:rsidP="00BE5FA7">
            <w:pPr>
              <w:spacing w:after="0" w:line="240" w:lineRule="auto"/>
            </w:pPr>
          </w:p>
        </w:tc>
      </w:tr>
      <w:tr w:rsidR="00BE5FA7" w:rsidRPr="00EE78A0" w:rsidTr="00B5788C">
        <w:tc>
          <w:tcPr>
            <w:tcW w:w="675" w:type="dxa"/>
            <w:tcBorders>
              <w:bottom w:val="single" w:sz="4" w:space="0" w:color="auto"/>
            </w:tcBorders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t>1.9.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E5FA7" w:rsidRPr="00EE78A0" w:rsidRDefault="00BE5FA7" w:rsidP="00BE5FA7">
            <w:pPr>
              <w:spacing w:after="0" w:line="240" w:lineRule="auto"/>
              <w:rPr>
                <w:i/>
              </w:rPr>
            </w:pPr>
            <w:r w:rsidRPr="00EE78A0">
              <w:rPr>
                <w:i/>
              </w:rPr>
              <w:t>Rok rozliczeniowy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BE5FA7" w:rsidRPr="00EE78A0" w:rsidRDefault="00101BEB" w:rsidP="000466BF">
            <w:pPr>
              <w:spacing w:after="0" w:line="240" w:lineRule="auto"/>
            </w:pPr>
            <w:r>
              <w:t>20</w:t>
            </w:r>
            <w:r w:rsidR="00545337">
              <w:t>2</w:t>
            </w:r>
            <w:r w:rsidR="000466BF">
              <w:t>1</w:t>
            </w:r>
            <w:bookmarkStart w:id="0" w:name="_GoBack"/>
            <w:bookmarkEnd w:id="0"/>
          </w:p>
        </w:tc>
      </w:tr>
      <w:tr w:rsidR="00BE5FA7" w:rsidRPr="00EE78A0" w:rsidTr="00B5788C">
        <w:tc>
          <w:tcPr>
            <w:tcW w:w="675" w:type="dxa"/>
            <w:shd w:val="pct12" w:color="auto" w:fill="auto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b/>
              </w:rPr>
            </w:pPr>
            <w:r w:rsidRPr="00EE78A0">
              <w:rPr>
                <w:b/>
              </w:rPr>
              <w:t>2.</w:t>
            </w:r>
          </w:p>
        </w:tc>
        <w:tc>
          <w:tcPr>
            <w:tcW w:w="8537" w:type="dxa"/>
            <w:gridSpan w:val="2"/>
            <w:shd w:val="pct12" w:color="auto" w:fill="auto"/>
          </w:tcPr>
          <w:p w:rsidR="00BE5FA7" w:rsidRPr="00EE78A0" w:rsidRDefault="00BE5FA7" w:rsidP="00BE5FA7">
            <w:pPr>
              <w:spacing w:after="0" w:line="240" w:lineRule="auto"/>
              <w:rPr>
                <w:b/>
              </w:rPr>
            </w:pPr>
            <w:r w:rsidRPr="00EE78A0">
              <w:rPr>
                <w:b/>
              </w:rPr>
              <w:t>Opis działalności prowadzonej w obiekcie</w:t>
            </w:r>
          </w:p>
        </w:tc>
      </w:tr>
      <w:tr w:rsidR="00BE5FA7" w:rsidRPr="00EE78A0" w:rsidTr="00BE5FA7">
        <w:tc>
          <w:tcPr>
            <w:tcW w:w="9212" w:type="dxa"/>
            <w:gridSpan w:val="3"/>
            <w:shd w:val="clear" w:color="auto" w:fill="auto"/>
          </w:tcPr>
          <w:p w:rsidR="00BE5FA7" w:rsidRPr="00EE78A0" w:rsidRDefault="00BE5FA7" w:rsidP="00BE5F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EE78A0">
              <w:rPr>
                <w:i/>
              </w:rPr>
              <w:t xml:space="preserve">Należy podać </w:t>
            </w:r>
            <w:r w:rsidR="000546FA">
              <w:rPr>
                <w:i/>
              </w:rPr>
              <w:t>zgodnie z danymi</w:t>
            </w:r>
            <w:r w:rsidRPr="00EE78A0">
              <w:rPr>
                <w:i/>
              </w:rPr>
              <w:t xml:space="preserve"> zawartym w umowie o dofinansowanie</w:t>
            </w:r>
            <w:r w:rsidR="000546FA">
              <w:rPr>
                <w:i/>
              </w:rPr>
              <w:t>:</w:t>
            </w:r>
          </w:p>
          <w:p w:rsidR="00BE5FA7" w:rsidRPr="00EE78A0" w:rsidRDefault="00BE5FA7" w:rsidP="005C5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276"/>
              <w:jc w:val="both"/>
              <w:rPr>
                <w:i/>
              </w:rPr>
            </w:pPr>
            <w:r w:rsidRPr="00EE78A0">
              <w:rPr>
                <w:i/>
              </w:rPr>
              <w:t>numer i datę zawarcia umowy dotacji,</w:t>
            </w:r>
          </w:p>
          <w:p w:rsidR="00BE5FA7" w:rsidRPr="00EE78A0" w:rsidRDefault="00BE5FA7" w:rsidP="005C5B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276"/>
              <w:jc w:val="both"/>
              <w:rPr>
                <w:i/>
              </w:rPr>
            </w:pPr>
            <w:r w:rsidRPr="00EE78A0">
              <w:rPr>
                <w:i/>
              </w:rPr>
              <w:t>nazwę przedsięwzięcia,</w:t>
            </w:r>
          </w:p>
          <w:p w:rsidR="00BE5FA7" w:rsidRPr="005C5BE3" w:rsidRDefault="00BE5FA7" w:rsidP="00D63D73">
            <w:pPr>
              <w:pStyle w:val="Akapitzlist"/>
              <w:spacing w:after="0" w:line="240" w:lineRule="auto"/>
              <w:ind w:left="1276"/>
              <w:rPr>
                <w:b/>
              </w:rPr>
            </w:pPr>
            <w:r w:rsidRPr="00EE78A0">
              <w:rPr>
                <w:i/>
              </w:rPr>
              <w:lastRenderedPageBreak/>
              <w:t>protokolarny termin zakończenia realizacji przedsięwzięcia</w:t>
            </w:r>
            <w:r w:rsidR="005C5BE3">
              <w:rPr>
                <w:i/>
              </w:rPr>
              <w:t>.</w:t>
            </w:r>
          </w:p>
          <w:p w:rsidR="005C5BE3" w:rsidRPr="00EE78A0" w:rsidRDefault="005C5BE3" w:rsidP="00420670">
            <w:pPr>
              <w:pStyle w:val="Akapitzlist"/>
              <w:spacing w:after="0" w:line="240" w:lineRule="auto"/>
              <w:rPr>
                <w:b/>
              </w:rPr>
            </w:pPr>
          </w:p>
        </w:tc>
      </w:tr>
      <w:tr w:rsidR="00BE5FA7" w:rsidRPr="00EE78A0" w:rsidTr="00BE5FA7">
        <w:tc>
          <w:tcPr>
            <w:tcW w:w="675" w:type="dxa"/>
            <w:shd w:val="clear" w:color="auto" w:fill="auto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i/>
              </w:rPr>
            </w:pPr>
            <w:r w:rsidRPr="00EE78A0">
              <w:rPr>
                <w:i/>
              </w:rPr>
              <w:lastRenderedPageBreak/>
              <w:t>2.1</w:t>
            </w:r>
          </w:p>
        </w:tc>
        <w:tc>
          <w:tcPr>
            <w:tcW w:w="8537" w:type="dxa"/>
            <w:gridSpan w:val="2"/>
            <w:shd w:val="clear" w:color="auto" w:fill="auto"/>
          </w:tcPr>
          <w:p w:rsidR="00BE5FA7" w:rsidRPr="005C5BE3" w:rsidRDefault="00803D9F" w:rsidP="005C5BE3">
            <w:pPr>
              <w:pStyle w:val="Nagwek1"/>
              <w:tabs>
                <w:tab w:val="left" w:pos="1418"/>
                <w:tab w:val="left" w:pos="9211"/>
              </w:tabs>
              <w:spacing w:before="0" w:line="240" w:lineRule="auto"/>
              <w:contextualSpacing/>
              <w:rPr>
                <w:b w:val="0"/>
                <w:i/>
                <w:color w:val="auto"/>
                <w:sz w:val="22"/>
              </w:rPr>
            </w:pPr>
            <w:r>
              <w:rPr>
                <w:b w:val="0"/>
                <w:i/>
                <w:color w:val="auto"/>
                <w:sz w:val="22"/>
              </w:rPr>
              <w:t>Opis techniczny</w:t>
            </w:r>
            <w:r w:rsidR="00E372C0">
              <w:rPr>
                <w:b w:val="0"/>
                <w:i/>
                <w:color w:val="auto"/>
                <w:sz w:val="22"/>
              </w:rPr>
              <w:t xml:space="preserve"> infrastruktury wytworzonej w ramach przedsięwzięcia objętego umową</w:t>
            </w:r>
            <w:r w:rsidR="00B24BC8">
              <w:rPr>
                <w:b w:val="0"/>
                <w:i/>
                <w:color w:val="auto"/>
                <w:sz w:val="22"/>
              </w:rPr>
              <w:t xml:space="preserve"> – obecny stan faktyczny</w:t>
            </w:r>
            <w:r w:rsidR="000546FA">
              <w:rPr>
                <w:b w:val="0"/>
                <w:i/>
                <w:color w:val="auto"/>
                <w:sz w:val="22"/>
              </w:rPr>
              <w:t xml:space="preserve"> (lub informacja, że nie </w:t>
            </w:r>
            <w:r w:rsidR="00017838">
              <w:rPr>
                <w:b w:val="0"/>
                <w:i/>
                <w:color w:val="auto"/>
                <w:sz w:val="22"/>
              </w:rPr>
              <w:t>nastąpiły</w:t>
            </w:r>
            <w:r w:rsidR="000546FA">
              <w:rPr>
                <w:b w:val="0"/>
                <w:i/>
                <w:color w:val="auto"/>
                <w:sz w:val="22"/>
              </w:rPr>
              <w:t xml:space="preserve"> zmiany względem umowy o </w:t>
            </w:r>
            <w:proofErr w:type="spellStart"/>
            <w:r w:rsidR="000546FA">
              <w:rPr>
                <w:b w:val="0"/>
                <w:i/>
                <w:color w:val="auto"/>
                <w:sz w:val="22"/>
              </w:rPr>
              <w:t>dofiansnowanie</w:t>
            </w:r>
            <w:proofErr w:type="spellEnd"/>
            <w:r w:rsidR="000546FA">
              <w:rPr>
                <w:b w:val="0"/>
                <w:i/>
                <w:color w:val="auto"/>
                <w:sz w:val="22"/>
              </w:rPr>
              <w:t xml:space="preserve"> w tym zakresie)</w:t>
            </w:r>
            <w:r w:rsidR="005C5BE3">
              <w:rPr>
                <w:b w:val="0"/>
                <w:i/>
                <w:color w:val="auto"/>
                <w:sz w:val="22"/>
              </w:rPr>
              <w:t xml:space="preserve"> </w:t>
            </w:r>
          </w:p>
        </w:tc>
      </w:tr>
      <w:tr w:rsidR="00803D9F" w:rsidRPr="00EE78A0" w:rsidTr="00A000B8">
        <w:tc>
          <w:tcPr>
            <w:tcW w:w="9212" w:type="dxa"/>
            <w:gridSpan w:val="3"/>
            <w:shd w:val="clear" w:color="auto" w:fill="auto"/>
          </w:tcPr>
          <w:p w:rsidR="00803D9F" w:rsidRPr="00EE78A0" w:rsidRDefault="00803D9F" w:rsidP="00BE5FA7">
            <w:pPr>
              <w:spacing w:after="0" w:line="240" w:lineRule="auto"/>
              <w:rPr>
                <w:b/>
              </w:rPr>
            </w:pPr>
          </w:p>
        </w:tc>
      </w:tr>
      <w:tr w:rsidR="00BE5FA7" w:rsidRPr="00EE78A0" w:rsidTr="00BE5FA7">
        <w:tc>
          <w:tcPr>
            <w:tcW w:w="675" w:type="dxa"/>
            <w:shd w:val="clear" w:color="auto" w:fill="auto"/>
          </w:tcPr>
          <w:p w:rsidR="00BE5FA7" w:rsidRPr="00EE78A0" w:rsidRDefault="00803D9F" w:rsidP="00BE5FA7">
            <w:pPr>
              <w:spacing w:after="0" w:line="240" w:lineRule="auto"/>
              <w:jc w:val="center"/>
              <w:rPr>
                <w:b/>
              </w:rPr>
            </w:pPr>
            <w:r w:rsidRPr="00803D9F">
              <w:rPr>
                <w:i/>
              </w:rPr>
              <w:t>2.2</w:t>
            </w:r>
          </w:p>
        </w:tc>
        <w:tc>
          <w:tcPr>
            <w:tcW w:w="8537" w:type="dxa"/>
            <w:gridSpan w:val="2"/>
            <w:shd w:val="clear" w:color="auto" w:fill="auto"/>
          </w:tcPr>
          <w:p w:rsidR="00803D9F" w:rsidRDefault="00803D9F" w:rsidP="00803D9F">
            <w:pPr>
              <w:pStyle w:val="Nagwek1"/>
              <w:tabs>
                <w:tab w:val="left" w:pos="1418"/>
                <w:tab w:val="left" w:pos="9211"/>
              </w:tabs>
              <w:spacing w:before="0" w:line="240" w:lineRule="auto"/>
              <w:contextualSpacing/>
              <w:rPr>
                <w:b w:val="0"/>
                <w:i/>
                <w:color w:val="auto"/>
                <w:sz w:val="22"/>
              </w:rPr>
            </w:pPr>
            <w:r w:rsidRPr="00E47BA3">
              <w:rPr>
                <w:b w:val="0"/>
                <w:i/>
                <w:color w:val="auto"/>
                <w:sz w:val="22"/>
              </w:rPr>
              <w:t xml:space="preserve">Należy podać główne rodzaje działalności i wskazać ewentualne zmiany w stosunku do </w:t>
            </w:r>
            <w:r w:rsidR="00B24BC8">
              <w:rPr>
                <w:b w:val="0"/>
                <w:i/>
                <w:color w:val="auto"/>
                <w:sz w:val="22"/>
              </w:rPr>
              <w:t>stanu bazowego (</w:t>
            </w:r>
            <w:proofErr w:type="spellStart"/>
            <w:r w:rsidR="00B24BC8">
              <w:rPr>
                <w:b w:val="0"/>
                <w:i/>
                <w:color w:val="auto"/>
                <w:sz w:val="22"/>
              </w:rPr>
              <w:t>baseline</w:t>
            </w:r>
            <w:proofErr w:type="spellEnd"/>
            <w:r w:rsidR="00B24BC8">
              <w:rPr>
                <w:b w:val="0"/>
                <w:i/>
                <w:color w:val="auto"/>
                <w:sz w:val="22"/>
              </w:rPr>
              <w:t>)</w:t>
            </w:r>
            <w:r w:rsidRPr="00E47BA3">
              <w:rPr>
                <w:b w:val="0"/>
                <w:i/>
                <w:color w:val="auto"/>
                <w:sz w:val="22"/>
              </w:rPr>
              <w:t xml:space="preserve">, np. zmiany </w:t>
            </w:r>
            <w:r w:rsidR="00B24BC8">
              <w:rPr>
                <w:b w:val="0"/>
                <w:i/>
                <w:color w:val="auto"/>
                <w:sz w:val="22"/>
              </w:rPr>
              <w:t xml:space="preserve">sposobu i czasu użytkowania, zmiana okresu </w:t>
            </w:r>
            <w:r w:rsidRPr="00E47BA3">
              <w:rPr>
                <w:b w:val="0"/>
                <w:i/>
                <w:color w:val="auto"/>
                <w:sz w:val="22"/>
              </w:rPr>
              <w:t>funkcjonowania</w:t>
            </w:r>
            <w:r w:rsidR="00B24BC8">
              <w:rPr>
                <w:b w:val="0"/>
                <w:i/>
                <w:color w:val="auto"/>
                <w:sz w:val="22"/>
              </w:rPr>
              <w:t xml:space="preserve"> w ciągu roku</w:t>
            </w:r>
            <w:r w:rsidRPr="00E47BA3">
              <w:rPr>
                <w:b w:val="0"/>
                <w:i/>
                <w:color w:val="auto"/>
                <w:sz w:val="22"/>
              </w:rPr>
              <w:t>, zwiększenie</w:t>
            </w:r>
            <w:r w:rsidR="00B24BC8">
              <w:rPr>
                <w:b w:val="0"/>
                <w:i/>
                <w:color w:val="auto"/>
                <w:sz w:val="22"/>
              </w:rPr>
              <w:t>/zmniejszenie</w:t>
            </w:r>
            <w:r w:rsidRPr="00E47BA3">
              <w:rPr>
                <w:b w:val="0"/>
                <w:i/>
                <w:color w:val="auto"/>
                <w:sz w:val="22"/>
              </w:rPr>
              <w:t xml:space="preserve"> </w:t>
            </w:r>
            <w:r>
              <w:rPr>
                <w:b w:val="0"/>
                <w:i/>
                <w:color w:val="auto"/>
                <w:sz w:val="22"/>
              </w:rPr>
              <w:t>liczby</w:t>
            </w:r>
            <w:r w:rsidRPr="00E47BA3">
              <w:rPr>
                <w:b w:val="0"/>
                <w:i/>
                <w:color w:val="auto"/>
                <w:sz w:val="22"/>
              </w:rPr>
              <w:t xml:space="preserve"> pracowników, otwarcie nowej działalności itp.</w:t>
            </w:r>
          </w:p>
          <w:p w:rsidR="00BE5FA7" w:rsidRPr="00EE78A0" w:rsidRDefault="00BE5FA7" w:rsidP="00BE5FA7">
            <w:pPr>
              <w:spacing w:after="0" w:line="240" w:lineRule="auto"/>
              <w:rPr>
                <w:b/>
              </w:rPr>
            </w:pPr>
          </w:p>
        </w:tc>
      </w:tr>
      <w:tr w:rsidR="00803D9F" w:rsidRPr="00EE78A0" w:rsidTr="00A000B8">
        <w:tc>
          <w:tcPr>
            <w:tcW w:w="9212" w:type="dxa"/>
            <w:gridSpan w:val="3"/>
            <w:shd w:val="clear" w:color="auto" w:fill="auto"/>
          </w:tcPr>
          <w:p w:rsidR="00803D9F" w:rsidRPr="00EE78A0" w:rsidRDefault="00803D9F" w:rsidP="00BE5FA7">
            <w:pPr>
              <w:spacing w:after="0" w:line="240" w:lineRule="auto"/>
              <w:rPr>
                <w:b/>
              </w:rPr>
            </w:pPr>
          </w:p>
        </w:tc>
      </w:tr>
      <w:tr w:rsidR="00667510" w:rsidRPr="00EE78A0" w:rsidTr="00BE5FA7">
        <w:tc>
          <w:tcPr>
            <w:tcW w:w="675" w:type="dxa"/>
            <w:shd w:val="clear" w:color="auto" w:fill="auto"/>
          </w:tcPr>
          <w:p w:rsidR="00667510" w:rsidRPr="00EE78A0" w:rsidRDefault="00803D9F" w:rsidP="00BE5FA7">
            <w:pPr>
              <w:spacing w:after="0" w:line="240" w:lineRule="auto"/>
              <w:jc w:val="center"/>
              <w:rPr>
                <w:b/>
              </w:rPr>
            </w:pPr>
            <w:r w:rsidRPr="00803D9F">
              <w:rPr>
                <w:i/>
              </w:rPr>
              <w:t>2.3.</w:t>
            </w:r>
          </w:p>
        </w:tc>
        <w:tc>
          <w:tcPr>
            <w:tcW w:w="8537" w:type="dxa"/>
            <w:gridSpan w:val="2"/>
            <w:shd w:val="clear" w:color="auto" w:fill="auto"/>
          </w:tcPr>
          <w:p w:rsidR="00803D9F" w:rsidRDefault="00803D9F" w:rsidP="00803D9F">
            <w:pPr>
              <w:pStyle w:val="Nagwek1"/>
              <w:tabs>
                <w:tab w:val="left" w:pos="1418"/>
                <w:tab w:val="left" w:pos="9211"/>
              </w:tabs>
              <w:spacing w:before="0" w:line="240" w:lineRule="auto"/>
              <w:contextualSpacing/>
              <w:rPr>
                <w:b w:val="0"/>
                <w:i/>
                <w:color w:val="auto"/>
                <w:sz w:val="22"/>
              </w:rPr>
            </w:pPr>
            <w:r w:rsidRPr="00E47BA3">
              <w:rPr>
                <w:b w:val="0"/>
                <w:i/>
                <w:color w:val="auto"/>
                <w:sz w:val="22"/>
              </w:rPr>
              <w:t>Czy nastąpiły zmiany w zakresie wyposażenia technicznego, w t</w:t>
            </w:r>
            <w:r>
              <w:rPr>
                <w:b w:val="0"/>
                <w:i/>
                <w:color w:val="auto"/>
                <w:sz w:val="22"/>
              </w:rPr>
              <w:t>ym np. w lokalnym źródle ciepła?</w:t>
            </w:r>
          </w:p>
          <w:p w:rsidR="00667510" w:rsidRPr="00EE78A0" w:rsidRDefault="00667510" w:rsidP="00BE5FA7">
            <w:pPr>
              <w:spacing w:after="0" w:line="240" w:lineRule="auto"/>
              <w:rPr>
                <w:b/>
              </w:rPr>
            </w:pPr>
          </w:p>
        </w:tc>
      </w:tr>
      <w:tr w:rsidR="00803D9F" w:rsidRPr="00EE78A0" w:rsidTr="00A000B8">
        <w:tc>
          <w:tcPr>
            <w:tcW w:w="9212" w:type="dxa"/>
            <w:gridSpan w:val="3"/>
            <w:shd w:val="clear" w:color="auto" w:fill="auto"/>
          </w:tcPr>
          <w:p w:rsidR="00803D9F" w:rsidRPr="00EE78A0" w:rsidRDefault="00803D9F" w:rsidP="00BE5FA7">
            <w:pPr>
              <w:spacing w:after="0" w:line="240" w:lineRule="auto"/>
              <w:rPr>
                <w:b/>
              </w:rPr>
            </w:pPr>
          </w:p>
        </w:tc>
      </w:tr>
      <w:tr w:rsidR="00667510" w:rsidRPr="00EE78A0" w:rsidTr="00BE5FA7">
        <w:tc>
          <w:tcPr>
            <w:tcW w:w="675" w:type="dxa"/>
            <w:shd w:val="clear" w:color="auto" w:fill="auto"/>
          </w:tcPr>
          <w:p w:rsidR="00667510" w:rsidRPr="00EE78A0" w:rsidRDefault="00803D9F" w:rsidP="00BE5FA7">
            <w:pPr>
              <w:spacing w:after="0" w:line="240" w:lineRule="auto"/>
              <w:jc w:val="center"/>
              <w:rPr>
                <w:b/>
              </w:rPr>
            </w:pPr>
            <w:r w:rsidRPr="00803D9F">
              <w:rPr>
                <w:i/>
              </w:rPr>
              <w:t>2.4.</w:t>
            </w:r>
          </w:p>
        </w:tc>
        <w:tc>
          <w:tcPr>
            <w:tcW w:w="8537" w:type="dxa"/>
            <w:gridSpan w:val="2"/>
            <w:shd w:val="clear" w:color="auto" w:fill="auto"/>
          </w:tcPr>
          <w:p w:rsidR="00803D9F" w:rsidRDefault="00803D9F" w:rsidP="00803D9F">
            <w:pPr>
              <w:pStyle w:val="Nagwek1"/>
              <w:tabs>
                <w:tab w:val="left" w:pos="1418"/>
                <w:tab w:val="left" w:pos="9211"/>
              </w:tabs>
              <w:spacing w:before="0" w:line="240" w:lineRule="auto"/>
              <w:contextualSpacing/>
              <w:rPr>
                <w:b w:val="0"/>
                <w:i/>
                <w:color w:val="auto"/>
                <w:sz w:val="22"/>
              </w:rPr>
            </w:pPr>
            <w:r w:rsidRPr="00E47BA3">
              <w:rPr>
                <w:b w:val="0"/>
                <w:i/>
                <w:color w:val="auto"/>
                <w:sz w:val="22"/>
              </w:rPr>
              <w:t xml:space="preserve">Czy zmieniono </w:t>
            </w:r>
            <w:r w:rsidR="00B24BC8">
              <w:rPr>
                <w:b w:val="0"/>
                <w:i/>
                <w:color w:val="auto"/>
                <w:sz w:val="22"/>
              </w:rPr>
              <w:t xml:space="preserve">źródło energii i rodzaj stosowanego paliwa, czy zmieniono </w:t>
            </w:r>
            <w:r w:rsidRPr="00E47BA3">
              <w:rPr>
                <w:b w:val="0"/>
                <w:i/>
                <w:color w:val="auto"/>
                <w:sz w:val="22"/>
              </w:rPr>
              <w:t>dostawcę ciepła sieciowego,</w:t>
            </w:r>
            <w:r>
              <w:rPr>
                <w:b w:val="0"/>
                <w:i/>
                <w:color w:val="auto"/>
                <w:sz w:val="22"/>
              </w:rPr>
              <w:t xml:space="preserve"> czy były zmiany w tym zakresie?</w:t>
            </w:r>
          </w:p>
          <w:p w:rsidR="00667510" w:rsidRPr="00EE78A0" w:rsidRDefault="00667510" w:rsidP="00BE5FA7">
            <w:pPr>
              <w:spacing w:after="0" w:line="240" w:lineRule="auto"/>
              <w:rPr>
                <w:b/>
              </w:rPr>
            </w:pPr>
          </w:p>
        </w:tc>
      </w:tr>
      <w:tr w:rsidR="00803D9F" w:rsidRPr="00EE78A0" w:rsidTr="00B16AAC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3D9F" w:rsidRPr="00EE78A0" w:rsidRDefault="00803D9F" w:rsidP="00BE5FA7">
            <w:pPr>
              <w:spacing w:after="0" w:line="240" w:lineRule="auto"/>
              <w:rPr>
                <w:b/>
              </w:rPr>
            </w:pPr>
          </w:p>
        </w:tc>
      </w:tr>
      <w:tr w:rsidR="00BE5FA7" w:rsidRPr="00EE78A0" w:rsidTr="00B16AAC">
        <w:tc>
          <w:tcPr>
            <w:tcW w:w="675" w:type="dxa"/>
            <w:shd w:val="pct12" w:color="auto" w:fill="auto"/>
          </w:tcPr>
          <w:p w:rsidR="00BE5FA7" w:rsidRPr="00EE78A0" w:rsidRDefault="00BE5FA7" w:rsidP="00BE5FA7">
            <w:pPr>
              <w:spacing w:after="0" w:line="240" w:lineRule="auto"/>
              <w:jc w:val="center"/>
              <w:rPr>
                <w:b/>
              </w:rPr>
            </w:pPr>
            <w:r w:rsidRPr="00EE78A0">
              <w:rPr>
                <w:b/>
              </w:rPr>
              <w:t>3.</w:t>
            </w:r>
          </w:p>
        </w:tc>
        <w:tc>
          <w:tcPr>
            <w:tcW w:w="8537" w:type="dxa"/>
            <w:gridSpan w:val="2"/>
            <w:shd w:val="pct12" w:color="auto" w:fill="auto"/>
          </w:tcPr>
          <w:p w:rsidR="00BE5FA7" w:rsidRPr="00EE78A0" w:rsidRDefault="00BE5FA7" w:rsidP="00044B11">
            <w:pPr>
              <w:spacing w:after="0" w:line="240" w:lineRule="auto"/>
              <w:rPr>
                <w:b/>
              </w:rPr>
            </w:pPr>
            <w:r w:rsidRPr="00EE78A0">
              <w:rPr>
                <w:b/>
              </w:rPr>
              <w:t xml:space="preserve">Zestawienie wielkości </w:t>
            </w:r>
            <w:r w:rsidR="00044B11">
              <w:rPr>
                <w:b/>
              </w:rPr>
              <w:t>zużycia energii i/lub poszczególnych rodzajów paliw</w:t>
            </w:r>
            <w:r w:rsidRPr="00EE78A0">
              <w:rPr>
                <w:b/>
              </w:rPr>
              <w:t xml:space="preserve"> </w:t>
            </w:r>
            <w:r w:rsidR="00044B11">
              <w:rPr>
                <w:b/>
              </w:rPr>
              <w:t xml:space="preserve">oraz </w:t>
            </w:r>
            <w:r w:rsidRPr="00EE78A0">
              <w:rPr>
                <w:b/>
              </w:rPr>
              <w:t>wyliczenia redukcji, ograniczenia i/lub uniknięcia emisji CO</w:t>
            </w:r>
            <w:r w:rsidRPr="00EE78A0">
              <w:rPr>
                <w:b/>
                <w:vertAlign w:val="subscript"/>
              </w:rPr>
              <w:t>2</w:t>
            </w:r>
          </w:p>
        </w:tc>
      </w:tr>
      <w:tr w:rsidR="00BE5FA7" w:rsidRPr="00EE78A0" w:rsidTr="00B16AA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BE5FA7" w:rsidRDefault="00BE5FA7" w:rsidP="00BE5FA7">
            <w:pPr>
              <w:spacing w:after="0" w:line="240" w:lineRule="auto"/>
              <w:rPr>
                <w:rFonts w:ascii="Cambria" w:hAnsi="Cambria"/>
                <w:bCs/>
                <w:i/>
              </w:rPr>
            </w:pPr>
            <w:r w:rsidRPr="00EE78A0">
              <w:rPr>
                <w:i/>
              </w:rPr>
              <w:t>Dane przedstawiono w tabeli nr 1 „Obliczenia wielkości redukcji emisji osiągniętej w roku „n”.</w:t>
            </w:r>
            <w:r w:rsidR="007708C0" w:rsidRPr="00E47BA3">
              <w:rPr>
                <w:rFonts w:ascii="Cambria" w:hAnsi="Cambria"/>
                <w:bCs/>
                <w:i/>
              </w:rPr>
              <w:t xml:space="preserve"> W ramach raportowania </w:t>
            </w:r>
            <w:r w:rsidR="004B6847" w:rsidRPr="004B6847">
              <w:rPr>
                <w:rFonts w:ascii="Cambria" w:hAnsi="Cambria"/>
                <w:bCs/>
                <w:i/>
              </w:rPr>
              <w:t xml:space="preserve">Beneficjent </w:t>
            </w:r>
            <w:r w:rsidR="007708C0" w:rsidRPr="00E47BA3">
              <w:rPr>
                <w:rFonts w:ascii="Cambria" w:hAnsi="Cambria"/>
                <w:bCs/>
                <w:i/>
              </w:rPr>
              <w:t>wypełnia poniższą tabelę.</w:t>
            </w:r>
          </w:p>
          <w:p w:rsidR="00E5357F" w:rsidRDefault="0059073F" w:rsidP="0059073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 w:rsidRPr="00A866DA">
              <w:rPr>
                <w:rFonts w:ascii="Cambria" w:hAnsi="Cambria"/>
              </w:rPr>
              <w:t xml:space="preserve">W kolejnych latach </w:t>
            </w:r>
            <w:r>
              <w:rPr>
                <w:rFonts w:ascii="Cambria" w:hAnsi="Cambria"/>
              </w:rPr>
              <w:t>okresu monitorowania</w:t>
            </w:r>
            <w:r w:rsidRPr="00A866DA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 xml:space="preserve">Beneficjent </w:t>
            </w:r>
            <w:r w:rsidRPr="00A866DA">
              <w:rPr>
                <w:rFonts w:ascii="Cambria" w:hAnsi="Cambria"/>
              </w:rPr>
              <w:t xml:space="preserve">będzie zobligowany na koniec każdego roku (do </w:t>
            </w:r>
            <w:r>
              <w:rPr>
                <w:rFonts w:ascii="Cambria" w:hAnsi="Cambria"/>
              </w:rPr>
              <w:t>31</w:t>
            </w:r>
            <w:r w:rsidRPr="00A866DA">
              <w:rPr>
                <w:rFonts w:ascii="Cambria" w:hAnsi="Cambria"/>
              </w:rPr>
              <w:t xml:space="preserve"> marca każdego roku po roku rozliczeniowym), do wypełniania kolejnych kolumn w </w:t>
            </w:r>
            <w:r w:rsidRPr="0059073F">
              <w:rPr>
                <w:rFonts w:ascii="Cambria" w:hAnsi="Cambria"/>
              </w:rPr>
              <w:t xml:space="preserve">ww. tabeli nr 1 wraz z obliczeniem wielkości redukcji emisji osiągniętej w kolejnym roku n. </w:t>
            </w:r>
            <w:r>
              <w:rPr>
                <w:rFonts w:ascii="Cambria" w:hAnsi="Cambria"/>
              </w:rPr>
              <w:t xml:space="preserve">Obliczenia wykonuje się dla pełnego roku kalendarzowego. Dane rzeczywiste stosowane w obliczeniach przyjmuje się dla pełnego roku kalendarzowego. </w:t>
            </w:r>
          </w:p>
          <w:p w:rsidR="0059073F" w:rsidRDefault="0059073F" w:rsidP="0059073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W </w:t>
            </w:r>
            <w:r w:rsidR="00E5357F">
              <w:rPr>
                <w:rFonts w:ascii="Cambria" w:hAnsi="Cambria"/>
              </w:rPr>
              <w:t xml:space="preserve">przypadku </w:t>
            </w:r>
            <w:r>
              <w:rPr>
                <w:rFonts w:ascii="Cambria" w:hAnsi="Cambria"/>
              </w:rPr>
              <w:t xml:space="preserve">zakończenia przedsięwzięcia przed końcem roku kalendarzowego należy obliczyć </w:t>
            </w:r>
            <w:r w:rsidRPr="0059073F">
              <w:rPr>
                <w:rFonts w:ascii="Cambria" w:hAnsi="Cambria"/>
              </w:rPr>
              <w:t>wielkości redukcji emisji osiągniętej w</w:t>
            </w:r>
            <w:r>
              <w:rPr>
                <w:rFonts w:ascii="Cambria" w:hAnsi="Cambria"/>
              </w:rPr>
              <w:t xml:space="preserve"> okresie od daty zakończenia przedsięwzięcia do 31 grudnia tego roku. </w:t>
            </w:r>
            <w:r w:rsidR="00E5357F">
              <w:rPr>
                <w:rFonts w:ascii="Cambria" w:hAnsi="Cambria"/>
              </w:rPr>
              <w:t>W takim przypadku d</w:t>
            </w:r>
            <w:r>
              <w:rPr>
                <w:rFonts w:ascii="Cambria" w:hAnsi="Cambria"/>
              </w:rPr>
              <w:t xml:space="preserve">o obliczeń </w:t>
            </w:r>
            <w:r w:rsidR="00E5357F">
              <w:rPr>
                <w:rFonts w:ascii="Cambria" w:hAnsi="Cambria"/>
              </w:rPr>
              <w:t xml:space="preserve">należy przyjąć dane rzeczywiste przyjęte na podstawie dokumentów wymienionych w punkcie 5 niniejszej instrukcji dla okresie od daty zakończenia przedsięwzięcia do 31 grudnia tego roku. </w:t>
            </w:r>
          </w:p>
          <w:p w:rsidR="007F061A" w:rsidRPr="00A866DA" w:rsidRDefault="007F061A" w:rsidP="0059073F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59073F" w:rsidRPr="00EE78A0" w:rsidRDefault="0059073F" w:rsidP="0059073F">
            <w:pPr>
              <w:spacing w:after="0" w:line="240" w:lineRule="auto"/>
              <w:rPr>
                <w:i/>
              </w:rPr>
            </w:pPr>
            <w:r w:rsidRPr="00A866DA">
              <w:rPr>
                <w:rFonts w:ascii="Cambria" w:hAnsi="Cambria"/>
              </w:rPr>
              <w:t>Należy wpisywać wielkości zużycia energii chemicznej zawartej w poszczególnych nośnikach energii, w układzie takim samym i na takich samych zasadach jak to zrobiono po raz pierwszy w trakcie aplikacji o dofinansowanie.</w:t>
            </w:r>
          </w:p>
          <w:p w:rsidR="00BE5FA7" w:rsidRPr="00EE78A0" w:rsidRDefault="00BE5FA7" w:rsidP="00BE5FA7">
            <w:pPr>
              <w:spacing w:after="0" w:line="240" w:lineRule="auto"/>
            </w:pPr>
          </w:p>
        </w:tc>
      </w:tr>
      <w:tr w:rsidR="00E17003" w:rsidRPr="00EE78A0" w:rsidTr="00B16AA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E17003" w:rsidRPr="003F0EDE" w:rsidRDefault="00E17003" w:rsidP="00E17003">
            <w:pPr>
              <w:spacing w:before="60" w:after="60"/>
              <w:jc w:val="both"/>
              <w:rPr>
                <w:rFonts w:ascii="Cambria" w:hAnsi="Cambria"/>
                <w:bCs/>
                <w:i/>
                <w:color w:val="000000"/>
              </w:rPr>
            </w:pPr>
            <w:r w:rsidRPr="003F0EDE">
              <w:rPr>
                <w:rFonts w:ascii="Cambria" w:hAnsi="Cambria"/>
                <w:bCs/>
                <w:i/>
                <w:color w:val="000000"/>
              </w:rPr>
              <w:lastRenderedPageBreak/>
              <w:t>Należy odnotować z jakich danych źródłowych korzystano, czy były to tylko faktury, czy korzystano z podliczników, jakie inne dane wykorzystano do obliczeń.</w:t>
            </w:r>
          </w:p>
          <w:p w:rsidR="00E17003" w:rsidRPr="003F0EDE" w:rsidRDefault="00E17003" w:rsidP="00296BF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i/>
                <w:color w:val="000000"/>
              </w:rPr>
            </w:pPr>
            <w:r w:rsidRPr="003F0EDE">
              <w:rPr>
                <w:rFonts w:ascii="Cambria" w:hAnsi="Cambria"/>
                <w:b/>
                <w:bCs/>
                <w:i/>
                <w:color w:val="000000"/>
              </w:rPr>
              <w:t>W przypadku paliw stałych, lub gromadzonych w zbiornikach (węgiel, LPG, olej itp.) zużycie wg</w:t>
            </w:r>
            <w:r w:rsidR="00296BFB" w:rsidRPr="003F0EDE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r w:rsidRPr="003F0EDE">
              <w:rPr>
                <w:rFonts w:ascii="Cambria" w:hAnsi="Cambria"/>
                <w:b/>
                <w:bCs/>
                <w:i/>
                <w:color w:val="000000"/>
              </w:rPr>
              <w:t>stanu księgowego,</w:t>
            </w:r>
          </w:p>
          <w:p w:rsidR="00E17003" w:rsidRPr="003F0EDE" w:rsidRDefault="00E17003" w:rsidP="00296BF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i/>
                <w:color w:val="000000"/>
              </w:rPr>
            </w:pPr>
            <w:r w:rsidRPr="003F0EDE">
              <w:rPr>
                <w:rFonts w:ascii="Cambria" w:hAnsi="Cambria"/>
                <w:b/>
                <w:bCs/>
                <w:i/>
                <w:color w:val="000000"/>
              </w:rPr>
              <w:t>W przypadku paliw gazowych – na podstawie faktur za zakup paliwa od dostawcy</w:t>
            </w:r>
            <w:r w:rsidR="00296BFB" w:rsidRPr="003F0EDE">
              <w:rPr>
                <w:rFonts w:ascii="Cambria" w:hAnsi="Cambria"/>
                <w:b/>
                <w:bCs/>
                <w:i/>
                <w:color w:val="000000"/>
              </w:rPr>
              <w:t>,</w:t>
            </w:r>
          </w:p>
          <w:p w:rsidR="00E17003" w:rsidRPr="003F0EDE" w:rsidRDefault="00E17003" w:rsidP="00296BF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i/>
                <w:color w:val="000000"/>
              </w:rPr>
            </w:pPr>
            <w:r w:rsidRPr="003F0EDE">
              <w:rPr>
                <w:rFonts w:ascii="Cambria" w:hAnsi="Cambria"/>
                <w:b/>
                <w:bCs/>
                <w:i/>
                <w:color w:val="000000"/>
              </w:rPr>
              <w:lastRenderedPageBreak/>
              <w:t>W przypadku ciepła sieciowego – na podstawie faktur za dostarczoną energię</w:t>
            </w:r>
            <w:r w:rsidR="00296BFB" w:rsidRPr="003F0EDE">
              <w:rPr>
                <w:rFonts w:ascii="Cambria" w:hAnsi="Cambria"/>
                <w:b/>
                <w:bCs/>
                <w:i/>
                <w:color w:val="000000"/>
              </w:rPr>
              <w:t>,</w:t>
            </w:r>
          </w:p>
          <w:p w:rsidR="00E17003" w:rsidRPr="003F0EDE" w:rsidRDefault="00E17003" w:rsidP="00296BF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i/>
                <w:color w:val="000000"/>
              </w:rPr>
            </w:pPr>
            <w:r w:rsidRPr="003F0EDE">
              <w:rPr>
                <w:rFonts w:ascii="Cambria" w:hAnsi="Cambria"/>
                <w:b/>
                <w:bCs/>
                <w:i/>
                <w:color w:val="000000"/>
              </w:rPr>
              <w:t>W przypadku energii elektrycznej – na podstawie faktur za dostarczoną energię elektryczną.</w:t>
            </w:r>
          </w:p>
          <w:p w:rsidR="00E17003" w:rsidRPr="003F0EDE" w:rsidRDefault="00E17003" w:rsidP="00296BF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</w:rPr>
            </w:pPr>
            <w:r w:rsidRPr="003F0EDE">
              <w:rPr>
                <w:rFonts w:ascii="Cambria" w:hAnsi="Cambria"/>
                <w:b/>
                <w:bCs/>
                <w:i/>
                <w:color w:val="000000"/>
              </w:rPr>
              <w:t>W sytuacji, w której faktury obejmują okres inny niż pełny rok kalendarzowy, należy podać</w:t>
            </w:r>
            <w:r w:rsidR="00296BFB" w:rsidRPr="003F0EDE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r w:rsidRPr="003F0EDE">
              <w:rPr>
                <w:rFonts w:ascii="Cambria" w:hAnsi="Cambria"/>
                <w:b/>
                <w:bCs/>
                <w:i/>
                <w:color w:val="000000"/>
              </w:rPr>
              <w:t>wielkość zużycia, na podstawie odczytu stanu liczników (korygując wielkość zużyć, jaka wynika</w:t>
            </w:r>
            <w:r w:rsidR="00296BFB" w:rsidRPr="003F0EDE">
              <w:rPr>
                <w:rFonts w:ascii="Cambria" w:hAnsi="Cambria"/>
                <w:b/>
                <w:bCs/>
                <w:i/>
                <w:color w:val="000000"/>
              </w:rPr>
              <w:t xml:space="preserve"> </w:t>
            </w:r>
            <w:r w:rsidRPr="003F0EDE">
              <w:rPr>
                <w:rFonts w:ascii="Cambria" w:hAnsi="Cambria"/>
                <w:b/>
                <w:bCs/>
                <w:i/>
                <w:color w:val="000000"/>
              </w:rPr>
              <w:t>z faktur, zgodnie ze stanem rzeczywistym).</w:t>
            </w:r>
          </w:p>
          <w:p w:rsidR="00296BFB" w:rsidRPr="003F0EDE" w:rsidRDefault="00296BFB" w:rsidP="00296B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i/>
                <w:color w:val="000000"/>
              </w:rPr>
            </w:pPr>
            <w:r w:rsidRPr="003F0EDE">
              <w:rPr>
                <w:rFonts w:ascii="Cambria" w:hAnsi="Cambria"/>
                <w:b/>
                <w:bCs/>
                <w:i/>
                <w:color w:val="000000"/>
              </w:rPr>
              <w:t xml:space="preserve">Beneficjent jest zobligowany do stosowania w pierwszej kolejności danych pochodzących z oficjalnych rozliczeń handlowych. </w:t>
            </w:r>
            <w:r w:rsidRPr="003F0EDE">
              <w:rPr>
                <w:rFonts w:ascii="Cambria" w:hAnsi="Cambria"/>
                <w:b/>
                <w:bCs/>
                <w:i/>
                <w:color w:val="000000"/>
                <w:u w:val="single"/>
              </w:rPr>
              <w:t>W przypadku uwzględniania danych pochodzących z urządzeń pomiarowych nie będących urządzeniami służącymi do rozliczeń handlowych, należy zapewnić zgodność tych pomiarów z ustawą z dnia 11 maja 2001 r. Prawo o miarach – jako pomiarów w ochronie środowiska.</w:t>
            </w:r>
          </w:p>
          <w:p w:rsidR="00E20EA3" w:rsidRPr="003F0EDE" w:rsidRDefault="00E20EA3" w:rsidP="00E20EA3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  <w:p w:rsidR="00E20EA3" w:rsidRPr="00E20EA3" w:rsidRDefault="00E20EA3" w:rsidP="00E20EA3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A866DA">
              <w:rPr>
                <w:rFonts w:ascii="Cambria" w:hAnsi="Cambria"/>
              </w:rPr>
              <w:t xml:space="preserve">Wszystkie dowody mają być tak przechowywane, aby zapewnić ich bezpieczeństwo (przed utratą, zniszczeniem, zagubieniem itp.). Okres przechowywania wynosi: okres </w:t>
            </w:r>
            <w:r>
              <w:rPr>
                <w:rFonts w:ascii="Cambria" w:hAnsi="Cambria"/>
              </w:rPr>
              <w:t>trwałości przedsięwzięcia</w:t>
            </w:r>
            <w:r w:rsidRPr="00A866DA">
              <w:rPr>
                <w:rFonts w:ascii="Cambria" w:hAnsi="Cambria"/>
              </w:rPr>
              <w:t xml:space="preserve"> + </w:t>
            </w:r>
            <w:r>
              <w:rPr>
                <w:rFonts w:ascii="Cambria" w:hAnsi="Cambria"/>
              </w:rPr>
              <w:t>2</w:t>
            </w:r>
            <w:r w:rsidRPr="00A866D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lata</w:t>
            </w:r>
            <w:r w:rsidRPr="00A866DA">
              <w:rPr>
                <w:rFonts w:ascii="Cambria" w:hAnsi="Cambria"/>
              </w:rPr>
              <w:t>.</w:t>
            </w:r>
          </w:p>
        </w:tc>
      </w:tr>
      <w:tr w:rsidR="008C6619" w:rsidRPr="00EE78A0" w:rsidTr="00B16AAC">
        <w:tc>
          <w:tcPr>
            <w:tcW w:w="675" w:type="dxa"/>
            <w:shd w:val="pct12" w:color="auto" w:fill="auto"/>
          </w:tcPr>
          <w:p w:rsidR="008C6619" w:rsidRPr="00EE78A0" w:rsidRDefault="00E20EA3" w:rsidP="00BE5FA7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</w:rPr>
              <w:lastRenderedPageBreak/>
              <w:t>4</w:t>
            </w:r>
            <w:r w:rsidR="008C6619" w:rsidRPr="008C6619">
              <w:rPr>
                <w:b/>
              </w:rPr>
              <w:t>.</w:t>
            </w:r>
          </w:p>
        </w:tc>
        <w:tc>
          <w:tcPr>
            <w:tcW w:w="8537" w:type="dxa"/>
            <w:gridSpan w:val="2"/>
            <w:shd w:val="pct12" w:color="auto" w:fill="auto"/>
          </w:tcPr>
          <w:p w:rsidR="008C6619" w:rsidRPr="008C6619" w:rsidRDefault="008C6619" w:rsidP="008C6619">
            <w:pPr>
              <w:spacing w:after="0" w:line="240" w:lineRule="auto"/>
              <w:rPr>
                <w:b/>
              </w:rPr>
            </w:pPr>
            <w:r w:rsidRPr="008C6619">
              <w:rPr>
                <w:b/>
              </w:rPr>
              <w:t>Uwagi do raportu</w:t>
            </w:r>
          </w:p>
        </w:tc>
      </w:tr>
      <w:tr w:rsidR="008C6619" w:rsidRPr="00EE78A0" w:rsidTr="00B16AA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AC4413" w:rsidRPr="003F5591" w:rsidRDefault="00AC4413" w:rsidP="00AC4413">
            <w:pPr>
              <w:spacing w:before="60" w:after="60"/>
              <w:jc w:val="both"/>
              <w:rPr>
                <w:rFonts w:ascii="Cambria" w:hAnsi="Cambria"/>
                <w:bCs/>
                <w:i/>
              </w:rPr>
            </w:pPr>
            <w:r w:rsidRPr="003F5591">
              <w:rPr>
                <w:rFonts w:ascii="Cambria" w:hAnsi="Cambria"/>
                <w:bCs/>
                <w:i/>
              </w:rPr>
              <w:t>Wszelkie uwagi do raportu.</w:t>
            </w:r>
          </w:p>
          <w:p w:rsidR="00AC4413" w:rsidRPr="003F5591" w:rsidRDefault="00AC4413" w:rsidP="00AC4413">
            <w:pPr>
              <w:spacing w:before="60" w:after="60"/>
              <w:jc w:val="both"/>
              <w:rPr>
                <w:rFonts w:ascii="Cambria" w:hAnsi="Cambria"/>
                <w:bCs/>
                <w:i/>
              </w:rPr>
            </w:pPr>
            <w:r w:rsidRPr="003F5591">
              <w:rPr>
                <w:rFonts w:ascii="Cambria" w:hAnsi="Cambria"/>
                <w:bCs/>
                <w:i/>
              </w:rPr>
              <w:t xml:space="preserve">W sytuacji gdy, wielkość redukcji, ograniczenia lub uniknięcia emisji CO2 różni się o więcej niż 30% od wyliczonej zgodnie z Tabelą </w:t>
            </w:r>
            <w:r w:rsidRPr="00AC4413">
              <w:rPr>
                <w:rFonts w:ascii="Cambria" w:hAnsi="Cambria"/>
                <w:b/>
                <w:bCs/>
                <w:i/>
              </w:rPr>
              <w:t>Obliczenia wielkości redukcji emisji dla scenariusza bazowego</w:t>
            </w:r>
            <w:r>
              <w:rPr>
                <w:rFonts w:ascii="Cambria" w:hAnsi="Cambria"/>
                <w:bCs/>
                <w:i/>
              </w:rPr>
              <w:t xml:space="preserve"> (Tabela</w:t>
            </w:r>
            <w:r w:rsidRPr="003F5591">
              <w:rPr>
                <w:rFonts w:ascii="Cambria" w:hAnsi="Cambria"/>
                <w:bCs/>
                <w:i/>
              </w:rPr>
              <w:t xml:space="preserve"> 1 Załącznika 6. </w:t>
            </w:r>
            <w:r>
              <w:rPr>
                <w:rFonts w:ascii="Cambria" w:hAnsi="Cambria"/>
                <w:bCs/>
                <w:i/>
              </w:rPr>
              <w:t>Do Metodyki )</w:t>
            </w:r>
            <w:r w:rsidRPr="003F5591">
              <w:rPr>
                <w:rFonts w:ascii="Cambria" w:hAnsi="Cambria"/>
                <w:bCs/>
                <w:i/>
              </w:rPr>
              <w:t xml:space="preserve"> Wzór części ekologiczno-technicznej formularza wniosku o dofinansowanie, w zakresie </w:t>
            </w:r>
            <w:proofErr w:type="spellStart"/>
            <w:r w:rsidRPr="003F5591">
              <w:rPr>
                <w:rFonts w:ascii="Cambria" w:hAnsi="Cambria"/>
                <w:bCs/>
                <w:i/>
              </w:rPr>
              <w:t>baseline</w:t>
            </w:r>
            <w:proofErr w:type="spellEnd"/>
            <w:r w:rsidRPr="003F5591">
              <w:rPr>
                <w:rFonts w:ascii="Cambria" w:hAnsi="Cambria"/>
                <w:bCs/>
                <w:i/>
              </w:rPr>
              <w:t>, oszacowania redukcji, ograniczenia lub uniknięcia emisji, monitorowania i raportowania załączoną do wniosku, należy przedstawić uzasadnienie powstałej różnicy, przedstawiając stosowne dokumenty i obliczenia pomocnicze oraz inne, istotne zdaniem Beneficjenta, dowody.</w:t>
            </w:r>
          </w:p>
          <w:p w:rsidR="008C6619" w:rsidRPr="00EE78A0" w:rsidRDefault="008C6619" w:rsidP="00BE5FA7">
            <w:pPr>
              <w:spacing w:after="0" w:line="240" w:lineRule="auto"/>
            </w:pPr>
          </w:p>
        </w:tc>
      </w:tr>
      <w:tr w:rsidR="00AC4413" w:rsidRPr="00EE78A0" w:rsidTr="00B16AAC">
        <w:tc>
          <w:tcPr>
            <w:tcW w:w="675" w:type="dxa"/>
            <w:shd w:val="pct12" w:color="auto" w:fill="auto"/>
          </w:tcPr>
          <w:p w:rsidR="00AC4413" w:rsidRPr="00EE78A0" w:rsidRDefault="00E20EA3" w:rsidP="00E20EA3">
            <w:pPr>
              <w:spacing w:after="0" w:line="240" w:lineRule="auto"/>
              <w:rPr>
                <w:i/>
              </w:rPr>
            </w:pPr>
            <w:r>
              <w:rPr>
                <w:b/>
              </w:rPr>
              <w:t>5</w:t>
            </w:r>
            <w:r w:rsidR="0005510C" w:rsidRPr="0005510C">
              <w:rPr>
                <w:b/>
              </w:rPr>
              <w:t>.</w:t>
            </w:r>
          </w:p>
        </w:tc>
        <w:tc>
          <w:tcPr>
            <w:tcW w:w="8537" w:type="dxa"/>
            <w:gridSpan w:val="2"/>
            <w:shd w:val="pct12" w:color="auto" w:fill="auto"/>
          </w:tcPr>
          <w:p w:rsidR="00AC4413" w:rsidRPr="0005510C" w:rsidRDefault="0005510C" w:rsidP="00BE5FA7">
            <w:pPr>
              <w:spacing w:after="0" w:line="240" w:lineRule="auto"/>
              <w:rPr>
                <w:b/>
              </w:rPr>
            </w:pPr>
            <w:r w:rsidRPr="0005510C">
              <w:rPr>
                <w:b/>
              </w:rPr>
              <w:t>Wykaz załączników do raportu</w:t>
            </w:r>
          </w:p>
        </w:tc>
      </w:tr>
      <w:tr w:rsidR="0005510C" w:rsidRPr="00EE78A0" w:rsidTr="00A000B8">
        <w:tc>
          <w:tcPr>
            <w:tcW w:w="9212" w:type="dxa"/>
            <w:gridSpan w:val="3"/>
          </w:tcPr>
          <w:p w:rsidR="00BD3E43" w:rsidRPr="00DA6F4D" w:rsidRDefault="00BD3E43" w:rsidP="00BD3E43">
            <w:pPr>
              <w:spacing w:before="60" w:after="60"/>
              <w:jc w:val="both"/>
              <w:rPr>
                <w:bCs/>
                <w:i/>
              </w:rPr>
            </w:pPr>
            <w:r w:rsidRPr="00DA6F4D">
              <w:rPr>
                <w:bCs/>
                <w:i/>
              </w:rPr>
              <w:t>Do raportu należy dołączyć w szczególności:</w:t>
            </w:r>
          </w:p>
          <w:p w:rsidR="00BD3E43" w:rsidRPr="00DA6F4D" w:rsidRDefault="00BD3E43" w:rsidP="00BD3E43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426" w:hanging="426"/>
              <w:jc w:val="both"/>
              <w:rPr>
                <w:bCs/>
                <w:i/>
              </w:rPr>
            </w:pPr>
            <w:r w:rsidRPr="00DA6F4D">
              <w:rPr>
                <w:bCs/>
                <w:i/>
              </w:rPr>
              <w:lastRenderedPageBreak/>
              <w:t>Kopie faktur potwierdzające ilości sprzedanej energii elektrycznej, ciepła</w:t>
            </w:r>
            <w:r>
              <w:rPr>
                <w:bCs/>
                <w:i/>
              </w:rPr>
              <w:t>, gazu w okresie rozliczeniowym, wraz z tabelarycznym zestawieniem tych faktur.</w:t>
            </w:r>
          </w:p>
          <w:p w:rsidR="00BD3E43" w:rsidRPr="00DA6F4D" w:rsidRDefault="00BD3E43" w:rsidP="00BD3E43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426" w:hanging="426"/>
              <w:jc w:val="both"/>
              <w:rPr>
                <w:bCs/>
                <w:i/>
              </w:rPr>
            </w:pPr>
            <w:r w:rsidRPr="00DA6F4D">
              <w:rPr>
                <w:bCs/>
                <w:i/>
              </w:rPr>
              <w:t>Kopie faktur potwierdzające ilości paliw i energii zużytych w okresie rozliczeniowym</w:t>
            </w:r>
            <w:r>
              <w:rPr>
                <w:bCs/>
                <w:i/>
              </w:rPr>
              <w:t>, wraz z tabelarycznym zestawieniem tych faktur</w:t>
            </w:r>
            <w:r w:rsidRPr="00DA6F4D">
              <w:rPr>
                <w:bCs/>
                <w:i/>
              </w:rPr>
              <w:t>.</w:t>
            </w:r>
          </w:p>
          <w:p w:rsidR="00BD3E43" w:rsidRPr="00DA6F4D" w:rsidRDefault="00BD3E43" w:rsidP="00BD3E43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426" w:hanging="426"/>
              <w:jc w:val="both"/>
              <w:rPr>
                <w:bCs/>
                <w:i/>
              </w:rPr>
            </w:pPr>
            <w:r w:rsidRPr="00DA6F4D">
              <w:rPr>
                <w:bCs/>
                <w:i/>
              </w:rPr>
              <w:t>Potwierdzone stany liczników</w:t>
            </w:r>
            <w:r>
              <w:rPr>
                <w:bCs/>
                <w:i/>
              </w:rPr>
              <w:t xml:space="preserve"> (dotyczy produkcji brutto oraz zużycia dla potrzeb własnych – technologicznych)</w:t>
            </w:r>
            <w:r w:rsidRPr="00DA6F4D">
              <w:rPr>
                <w:bCs/>
                <w:i/>
              </w:rPr>
              <w:t>.</w:t>
            </w:r>
            <w:r w:rsidR="005C5BE3">
              <w:rPr>
                <w:bCs/>
                <w:i/>
              </w:rPr>
              <w:t xml:space="preserve"> </w:t>
            </w:r>
            <w:r w:rsidR="005C5BE3" w:rsidRPr="005C5BE3">
              <w:rPr>
                <w:bCs/>
                <w:i/>
              </w:rPr>
              <w:t>Dowody odczytu stanu liczników potwierdzone pisemnie w formie np. protokołu lub notatki służbowej itp. w przypadku konieczności dokonania korekt (np. na końcu lub początku roku).</w:t>
            </w:r>
          </w:p>
          <w:p w:rsidR="00BD3E43" w:rsidRDefault="00BD3E43" w:rsidP="00BD3E43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426" w:hanging="426"/>
              <w:jc w:val="both"/>
              <w:rPr>
                <w:bCs/>
                <w:i/>
              </w:rPr>
            </w:pPr>
            <w:r w:rsidRPr="00DA6F4D">
              <w:rPr>
                <w:bCs/>
                <w:i/>
              </w:rPr>
              <w:t>Raport księgowy dotyczący zużycia na potrzeby produkcji biogazu takich nośników energii jak węgiel kamienny, gaz LPG, olej opałowy, itp.</w:t>
            </w:r>
            <w:r>
              <w:rPr>
                <w:bCs/>
                <w:i/>
              </w:rPr>
              <w:t xml:space="preserve"> (o ile dotyczy).</w:t>
            </w:r>
          </w:p>
          <w:p w:rsidR="00BD3E43" w:rsidRDefault="00BD3E43" w:rsidP="00BD3E43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426" w:hanging="426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Dokumenty potwierdzające nadzór metrologiczny nad urządzeniami pomiarowymi (zatwierdzenie typu, legalizacja), w przypadku stosowania danych nie pochodzących </w:t>
            </w:r>
            <w:r w:rsidRPr="00BB67FC">
              <w:rPr>
                <w:i/>
              </w:rPr>
              <w:t>z oficjalnych rozliczeń handlowych</w:t>
            </w:r>
            <w:r>
              <w:rPr>
                <w:i/>
              </w:rPr>
              <w:t>.</w:t>
            </w:r>
          </w:p>
          <w:p w:rsidR="00BD3E43" w:rsidRPr="00BB67FC" w:rsidRDefault="00BD3E43" w:rsidP="00BD3E43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426" w:hanging="426"/>
              <w:jc w:val="both"/>
              <w:rPr>
                <w:bCs/>
                <w:i/>
              </w:rPr>
            </w:pPr>
            <w:r>
              <w:rPr>
                <w:i/>
              </w:rPr>
              <w:t>Pisemne</w:t>
            </w:r>
            <w:r>
              <w:rPr>
                <w:rFonts w:cs="Cambria"/>
                <w:i/>
              </w:rPr>
              <w:t xml:space="preserve"> wskazanie pracownika (lub pracowników) odpowiedzialnego</w:t>
            </w:r>
            <w:r w:rsidRPr="00BB67FC">
              <w:rPr>
                <w:i/>
              </w:rPr>
              <w:t xml:space="preserve"> za prowadzenie monitorowania, przetwarz</w:t>
            </w:r>
            <w:r>
              <w:rPr>
                <w:i/>
              </w:rPr>
              <w:t>ania danych i raportowania.</w:t>
            </w:r>
            <w:r w:rsidR="005C5BE3">
              <w:rPr>
                <w:i/>
              </w:rPr>
              <w:t xml:space="preserve"> W przypadku zmiany </w:t>
            </w:r>
            <w:r w:rsidR="00E20EA3">
              <w:rPr>
                <w:i/>
              </w:rPr>
              <w:t xml:space="preserve">osoby </w:t>
            </w:r>
            <w:r w:rsidR="005C5BE3">
              <w:rPr>
                <w:rFonts w:cs="Cambria"/>
                <w:i/>
              </w:rPr>
              <w:lastRenderedPageBreak/>
              <w:t>odpowiedzialne</w:t>
            </w:r>
            <w:r w:rsidR="00E20EA3">
              <w:rPr>
                <w:rFonts w:cs="Cambria"/>
                <w:i/>
              </w:rPr>
              <w:t>j</w:t>
            </w:r>
            <w:r w:rsidR="005C5BE3" w:rsidRPr="00BB67FC">
              <w:rPr>
                <w:i/>
              </w:rPr>
              <w:t xml:space="preserve"> za prowadzenie monitorowania, przetwarz</w:t>
            </w:r>
            <w:r w:rsidR="005C5BE3">
              <w:rPr>
                <w:i/>
              </w:rPr>
              <w:t>ania danych i raportowania</w:t>
            </w:r>
            <w:r w:rsidR="00E20EA3">
              <w:rPr>
                <w:i/>
              </w:rPr>
              <w:t xml:space="preserve"> należy przesłać stosowną informację z podaniem przyczyny zmiany.</w:t>
            </w:r>
          </w:p>
          <w:p w:rsidR="00BD3E43" w:rsidRPr="00BB67FC" w:rsidRDefault="00BD3E43" w:rsidP="00BD3E43">
            <w:pPr>
              <w:pStyle w:val="Akapitzlist"/>
              <w:numPr>
                <w:ilvl w:val="0"/>
                <w:numId w:val="9"/>
              </w:numPr>
              <w:spacing w:before="60" w:after="60" w:line="240" w:lineRule="auto"/>
              <w:ind w:left="426" w:hanging="426"/>
              <w:jc w:val="both"/>
              <w:rPr>
                <w:bCs/>
                <w:i/>
              </w:rPr>
            </w:pPr>
            <w:r>
              <w:rPr>
                <w:i/>
              </w:rPr>
              <w:t>Dokument opisujący i wprowadzający</w:t>
            </w:r>
            <w:r w:rsidRPr="00BB67FC">
              <w:rPr>
                <w:i/>
              </w:rPr>
              <w:t xml:space="preserve"> w życie prosty system wewnętrznej</w:t>
            </w:r>
            <w:r>
              <w:rPr>
                <w:i/>
              </w:rPr>
              <w:t xml:space="preserve"> kontroli i zarządzania danymi, o czym jest mowa w pkt. 3 „Instrukcji</w:t>
            </w:r>
            <w:r w:rsidRPr="003F12B2">
              <w:rPr>
                <w:i/>
              </w:rPr>
              <w:t xml:space="preserve"> sporządzania dokumentacji dotyczącej monitorowania i raportowania”</w:t>
            </w:r>
            <w:r>
              <w:rPr>
                <w:i/>
              </w:rPr>
              <w:t>.</w:t>
            </w:r>
          </w:p>
          <w:p w:rsidR="00BD3E43" w:rsidRDefault="00BD3E43" w:rsidP="00BD3E43">
            <w:pPr>
              <w:pStyle w:val="Akapitzlist"/>
              <w:spacing w:before="60" w:after="60"/>
              <w:ind w:left="426"/>
              <w:jc w:val="both"/>
              <w:rPr>
                <w:i/>
              </w:rPr>
            </w:pPr>
            <w:r w:rsidRPr="00BB67FC">
              <w:rPr>
                <w:i/>
              </w:rPr>
              <w:t>System taki może się składać np. z takich elementów jak:</w:t>
            </w:r>
          </w:p>
          <w:p w:rsidR="00BD3E43" w:rsidRDefault="00BD3E43" w:rsidP="00E20EA3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134"/>
              <w:jc w:val="both"/>
              <w:rPr>
                <w:i/>
              </w:rPr>
            </w:pPr>
            <w:r w:rsidRPr="00BB67FC">
              <w:rPr>
                <w:i/>
              </w:rPr>
              <w:t>Wykaz osób odpowiedzialnych za monitorowanie i raportowanie.</w:t>
            </w:r>
          </w:p>
          <w:p w:rsidR="00BD3E43" w:rsidRDefault="00BD3E43" w:rsidP="00E20EA3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134"/>
              <w:jc w:val="both"/>
              <w:rPr>
                <w:i/>
              </w:rPr>
            </w:pPr>
            <w:r w:rsidRPr="00BB67FC">
              <w:rPr>
                <w:i/>
              </w:rPr>
              <w:t>Opis źródeł danych, które stanowią dane wejściowe do monitorowania wraz z podaniem sposobu ich pozyskania, analizy i archiwizacji.</w:t>
            </w:r>
          </w:p>
          <w:p w:rsidR="00BD3E43" w:rsidRDefault="00BD3E43" w:rsidP="00E20EA3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134"/>
              <w:jc w:val="both"/>
              <w:rPr>
                <w:i/>
              </w:rPr>
            </w:pPr>
            <w:r w:rsidRPr="00BB67FC">
              <w:rPr>
                <w:i/>
              </w:rPr>
              <w:t>Opis sposobu wykonywania obliczeń (np. wraz z podaniem narzędzia w postaci arkusza kalkulacyjnego).</w:t>
            </w:r>
          </w:p>
          <w:p w:rsidR="00BD3E43" w:rsidRDefault="00BD3E43" w:rsidP="00E20EA3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134"/>
              <w:jc w:val="both"/>
              <w:rPr>
                <w:i/>
              </w:rPr>
            </w:pPr>
            <w:r w:rsidRPr="00BB67FC">
              <w:rPr>
                <w:i/>
              </w:rPr>
              <w:t>Opis sposobu sprawdzenia obliczeń (np. przez niezależną osobę).</w:t>
            </w:r>
          </w:p>
          <w:p w:rsidR="00BD3E43" w:rsidRDefault="00BD3E43" w:rsidP="00E20EA3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134"/>
              <w:jc w:val="both"/>
              <w:rPr>
                <w:i/>
              </w:rPr>
            </w:pPr>
            <w:r w:rsidRPr="00BB67FC">
              <w:rPr>
                <w:i/>
              </w:rPr>
              <w:t>Opis sposobu i terminu opracowania raportu z monitorowania.</w:t>
            </w:r>
          </w:p>
          <w:p w:rsidR="0005510C" w:rsidRPr="00EE78A0" w:rsidRDefault="00BD3E43" w:rsidP="00BD3E43">
            <w:pPr>
              <w:spacing w:after="0" w:line="240" w:lineRule="auto"/>
            </w:pPr>
            <w:r w:rsidRPr="00BB67FC">
              <w:rPr>
                <w:i/>
              </w:rPr>
              <w:t>Opis działań, jakie musza zostać podjęte w przypadku stwierdzenia błędów, braku danych, sytuacji awaryjnych, niezgodności i innych niepożądanych sytuacji.</w:t>
            </w:r>
          </w:p>
        </w:tc>
      </w:tr>
      <w:tr w:rsidR="00BD3E43" w:rsidRPr="00EE78A0" w:rsidTr="00A000B8">
        <w:trPr>
          <w:trHeight w:val="547"/>
        </w:trPr>
        <w:tc>
          <w:tcPr>
            <w:tcW w:w="4503" w:type="dxa"/>
            <w:gridSpan w:val="2"/>
          </w:tcPr>
          <w:p w:rsidR="00BD3E43" w:rsidRDefault="00BD3E43" w:rsidP="00BD3E43">
            <w:pPr>
              <w:rPr>
                <w:b/>
              </w:rPr>
            </w:pPr>
          </w:p>
          <w:p w:rsidR="00B16AAC" w:rsidRDefault="00B16AAC" w:rsidP="00BD3E43"/>
          <w:p w:rsidR="00BD3E43" w:rsidRPr="00A86C38" w:rsidRDefault="00BD3E43" w:rsidP="00BD3E43">
            <w:pPr>
              <w:rPr>
                <w:i/>
              </w:rPr>
            </w:pPr>
            <w:r w:rsidRPr="00A86C38">
              <w:t xml:space="preserve">Osoba lub jednostka wykonująca raport </w:t>
            </w:r>
            <w:r w:rsidRPr="00A86C38">
              <w:br/>
              <w:t>i obliczenia</w:t>
            </w:r>
          </w:p>
          <w:p w:rsidR="00BD3E43" w:rsidRDefault="00BD3E43" w:rsidP="00BD3E43">
            <w:pPr>
              <w:rPr>
                <w:i/>
              </w:rPr>
            </w:pPr>
          </w:p>
          <w:p w:rsidR="00BD3E43" w:rsidRPr="00EE78A0" w:rsidRDefault="00BD3E43" w:rsidP="00BE5FA7">
            <w:pPr>
              <w:spacing w:after="0" w:line="240" w:lineRule="auto"/>
              <w:rPr>
                <w:i/>
              </w:rPr>
            </w:pPr>
          </w:p>
        </w:tc>
        <w:tc>
          <w:tcPr>
            <w:tcW w:w="4709" w:type="dxa"/>
          </w:tcPr>
          <w:p w:rsidR="00B16AAC" w:rsidRDefault="00B16AAC" w:rsidP="00B16AAC">
            <w:pPr>
              <w:spacing w:before="60" w:after="60"/>
              <w:jc w:val="center"/>
              <w:rPr>
                <w:bCs/>
              </w:rPr>
            </w:pPr>
          </w:p>
          <w:p w:rsidR="00B16AAC" w:rsidRDefault="00B16AAC" w:rsidP="00B16AAC">
            <w:pPr>
              <w:spacing w:before="60" w:after="60"/>
              <w:jc w:val="center"/>
              <w:rPr>
                <w:bCs/>
              </w:rPr>
            </w:pPr>
          </w:p>
          <w:p w:rsidR="00B16AAC" w:rsidRDefault="00B16AAC" w:rsidP="00B16AAC">
            <w:pPr>
              <w:spacing w:before="60" w:after="60"/>
              <w:jc w:val="center"/>
              <w:rPr>
                <w:bCs/>
              </w:rPr>
            </w:pPr>
          </w:p>
          <w:p w:rsidR="00B16AAC" w:rsidRPr="00A86C38" w:rsidRDefault="00B16AAC" w:rsidP="00B16AAC">
            <w:pPr>
              <w:spacing w:before="60" w:after="60"/>
              <w:jc w:val="center"/>
              <w:rPr>
                <w:bCs/>
              </w:rPr>
            </w:pPr>
            <w:r w:rsidRPr="00A86C38">
              <w:rPr>
                <w:bCs/>
              </w:rPr>
              <w:t>.................................................................</w:t>
            </w:r>
          </w:p>
          <w:p w:rsidR="00B16AAC" w:rsidRDefault="00B16AAC" w:rsidP="00B16AAC">
            <w:pPr>
              <w:jc w:val="center"/>
              <w:rPr>
                <w:bCs/>
              </w:rPr>
            </w:pPr>
            <w:r w:rsidRPr="00A86C38">
              <w:rPr>
                <w:bCs/>
              </w:rPr>
              <w:t>(data, podpis i pieczątka)</w:t>
            </w:r>
          </w:p>
          <w:p w:rsidR="00BD3E43" w:rsidRPr="00EE78A0" w:rsidRDefault="00BD3E43" w:rsidP="00BE5FA7">
            <w:pPr>
              <w:spacing w:after="0" w:line="240" w:lineRule="auto"/>
            </w:pPr>
          </w:p>
        </w:tc>
      </w:tr>
    </w:tbl>
    <w:p w:rsidR="00BE5FA7" w:rsidRDefault="00BE5FA7" w:rsidP="00BE5FA7"/>
    <w:p w:rsidR="00BE5FA7" w:rsidRDefault="00BE5FA7" w:rsidP="00BE5FA7"/>
    <w:p w:rsidR="00BE5FA7" w:rsidRDefault="00BE5FA7" w:rsidP="00BE5FA7"/>
    <w:p w:rsidR="00F968A4" w:rsidRDefault="00F968A4" w:rsidP="00BE5FA7"/>
    <w:p w:rsidR="00F968A4" w:rsidRDefault="00F968A4" w:rsidP="00BE5FA7"/>
    <w:p w:rsidR="00F968A4" w:rsidRDefault="00F968A4" w:rsidP="00BE5FA7"/>
    <w:p w:rsidR="00F968A4" w:rsidRDefault="00F968A4" w:rsidP="00BE5FA7"/>
    <w:p w:rsidR="00F968A4" w:rsidRDefault="00F968A4" w:rsidP="00BE5FA7"/>
    <w:p w:rsidR="00F968A4" w:rsidRDefault="00F968A4" w:rsidP="00BE5FA7">
      <w:pPr>
        <w:sectPr w:rsidR="00F968A4" w:rsidSect="00B5788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08C0" w:rsidRPr="00E47BA3" w:rsidRDefault="007708C0" w:rsidP="007708C0">
      <w:pPr>
        <w:rPr>
          <w:rFonts w:ascii="Cambria" w:hAnsi="Cambria"/>
          <w:b/>
          <w:bCs/>
          <w:i/>
        </w:rPr>
      </w:pPr>
      <w:r w:rsidRPr="00E47BA3">
        <w:rPr>
          <w:rFonts w:ascii="Cambria" w:hAnsi="Cambria"/>
          <w:b/>
          <w:bCs/>
          <w:i/>
        </w:rPr>
        <w:lastRenderedPageBreak/>
        <w:t>Tabela 1. Obliczenia wielkości redukcji emisji osiągni</w:t>
      </w:r>
      <w:r>
        <w:rPr>
          <w:rFonts w:ascii="Cambria" w:hAnsi="Cambria"/>
          <w:b/>
          <w:bCs/>
          <w:i/>
        </w:rPr>
        <w:t>ętej w roku n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1249"/>
        <w:gridCol w:w="1951"/>
        <w:gridCol w:w="1549"/>
        <w:gridCol w:w="1227"/>
        <w:gridCol w:w="1707"/>
        <w:gridCol w:w="1191"/>
        <w:gridCol w:w="2440"/>
      </w:tblGrid>
      <w:tr w:rsidR="007708C0" w:rsidRPr="00E47BA3" w:rsidTr="00A000B8">
        <w:trPr>
          <w:trHeight w:val="825"/>
        </w:trPr>
        <w:tc>
          <w:tcPr>
            <w:tcW w:w="3287" w:type="dxa"/>
            <w:vMerge w:val="restart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Nośnik energii</w:t>
            </w:r>
          </w:p>
        </w:tc>
        <w:tc>
          <w:tcPr>
            <w:tcW w:w="3200" w:type="dxa"/>
            <w:gridSpan w:val="2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Ilość nośnika energii zużytego w ciągu roku,</w:t>
            </w:r>
            <w:r w:rsidRPr="00D82AA7">
              <w:rPr>
                <w:rFonts w:ascii="Cambria" w:hAnsi="Cambria"/>
                <w:b/>
                <w:bCs/>
                <w:i/>
                <w:sz w:val="18"/>
              </w:rPr>
              <w:br/>
              <w:t xml:space="preserve"> Mg/rok lub Nm3/rok </w:t>
            </w:r>
            <w:r w:rsidRPr="00D82AA7">
              <w:rPr>
                <w:rFonts w:ascii="Cambria" w:hAnsi="Cambria"/>
                <w:b/>
                <w:bCs/>
                <w:i/>
                <w:sz w:val="18"/>
                <w:vertAlign w:val="superscript"/>
              </w:rPr>
              <w:t>3)</w:t>
            </w:r>
          </w:p>
        </w:tc>
        <w:tc>
          <w:tcPr>
            <w:tcW w:w="1549" w:type="dxa"/>
            <w:vMerge w:val="restart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Energia chemiczna zawarta w nośniku energii, GJ/rok</w:t>
            </w:r>
            <w:r w:rsidRPr="00D82AA7">
              <w:rPr>
                <w:rFonts w:ascii="Cambria" w:hAnsi="Cambria"/>
                <w:b/>
                <w:bCs/>
                <w:i/>
                <w:sz w:val="18"/>
                <w:vertAlign w:val="superscript"/>
              </w:rPr>
              <w:t>3)</w:t>
            </w:r>
          </w:p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 xml:space="preserve">Zużycie w roku </w:t>
            </w:r>
            <w:r>
              <w:rPr>
                <w:rFonts w:ascii="Cambria" w:hAnsi="Cambria"/>
                <w:b/>
                <w:bCs/>
                <w:i/>
                <w:sz w:val="18"/>
              </w:rPr>
              <w:t>n</w:t>
            </w:r>
          </w:p>
        </w:tc>
        <w:tc>
          <w:tcPr>
            <w:tcW w:w="6565" w:type="dxa"/>
            <w:gridSpan w:val="4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Obliczenia wielkości emisji</w:t>
            </w:r>
          </w:p>
        </w:tc>
      </w:tr>
      <w:tr w:rsidR="007708C0" w:rsidRPr="00E47BA3" w:rsidTr="00A000B8">
        <w:trPr>
          <w:trHeight w:val="920"/>
        </w:trPr>
        <w:tc>
          <w:tcPr>
            <w:tcW w:w="3287" w:type="dxa"/>
            <w:vMerge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</w:p>
        </w:tc>
        <w:tc>
          <w:tcPr>
            <w:tcW w:w="1249" w:type="dxa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Zużycie w roku n</w:t>
            </w:r>
          </w:p>
        </w:tc>
        <w:tc>
          <w:tcPr>
            <w:tcW w:w="1951" w:type="dxa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WARTOŚĆ OPAŁOWA za rok n</w:t>
            </w:r>
            <w:r w:rsidRPr="00D82AA7">
              <w:rPr>
                <w:rFonts w:ascii="Cambria" w:hAnsi="Cambria"/>
                <w:b/>
                <w:bCs/>
                <w:i/>
                <w:sz w:val="18"/>
                <w:vertAlign w:val="superscript"/>
              </w:rPr>
              <w:t>4)</w:t>
            </w:r>
          </w:p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GJ/kg lub GJ/Nm3</w:t>
            </w:r>
          </w:p>
        </w:tc>
        <w:tc>
          <w:tcPr>
            <w:tcW w:w="1549" w:type="dxa"/>
            <w:vMerge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</w:p>
        </w:tc>
        <w:tc>
          <w:tcPr>
            <w:tcW w:w="1227" w:type="dxa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WSKAŹNIK EMISJI za rok n</w:t>
            </w:r>
            <w:r w:rsidRPr="00D82AA7">
              <w:rPr>
                <w:rFonts w:ascii="Cambria" w:hAnsi="Cambria"/>
                <w:b/>
                <w:bCs/>
                <w:i/>
                <w:sz w:val="18"/>
                <w:vertAlign w:val="superscript"/>
              </w:rPr>
              <w:t>5)</w:t>
            </w:r>
          </w:p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kg CO2/GJ</w:t>
            </w:r>
          </w:p>
        </w:tc>
        <w:tc>
          <w:tcPr>
            <w:tcW w:w="1707" w:type="dxa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EMISJA PRZED MODERNIZACJĄ (scenariusz bazowy)</w:t>
            </w:r>
          </w:p>
        </w:tc>
        <w:tc>
          <w:tcPr>
            <w:tcW w:w="1191" w:type="dxa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EMISJA w roku n</w:t>
            </w:r>
          </w:p>
        </w:tc>
        <w:tc>
          <w:tcPr>
            <w:tcW w:w="2440" w:type="dxa"/>
            <w:shd w:val="clear" w:color="auto" w:fill="F2F2F2"/>
            <w:vAlign w:val="center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KOŃCOWY EFEKT redukcji emisji w roku n</w:t>
            </w:r>
          </w:p>
          <w:p w:rsidR="007708C0" w:rsidRPr="00D82AA7" w:rsidRDefault="007708C0" w:rsidP="00A000B8">
            <w:pPr>
              <w:jc w:val="center"/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Mg CO</w:t>
            </w:r>
            <w:r w:rsidRPr="00D82AA7">
              <w:rPr>
                <w:rFonts w:ascii="Cambria" w:hAnsi="Cambria"/>
                <w:b/>
                <w:bCs/>
                <w:i/>
                <w:sz w:val="18"/>
                <w:vertAlign w:val="subscript"/>
              </w:rPr>
              <w:t>2</w:t>
            </w:r>
            <w:r w:rsidRPr="00D82AA7">
              <w:rPr>
                <w:rFonts w:ascii="Cambria" w:hAnsi="Cambria"/>
                <w:b/>
                <w:bCs/>
                <w:i/>
                <w:sz w:val="18"/>
              </w:rPr>
              <w:t>/rok</w:t>
            </w: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1</w:t>
            </w:r>
          </w:p>
        </w:tc>
        <w:tc>
          <w:tcPr>
            <w:tcW w:w="1249" w:type="dxa"/>
            <w:shd w:val="clear" w:color="auto" w:fill="F2F2F2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2</w:t>
            </w:r>
          </w:p>
        </w:tc>
        <w:tc>
          <w:tcPr>
            <w:tcW w:w="1951" w:type="dxa"/>
            <w:shd w:val="clear" w:color="auto" w:fill="F2F2F2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3</w:t>
            </w:r>
          </w:p>
        </w:tc>
        <w:tc>
          <w:tcPr>
            <w:tcW w:w="1549" w:type="dxa"/>
            <w:shd w:val="clear" w:color="auto" w:fill="F2F2F2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4</w:t>
            </w:r>
          </w:p>
        </w:tc>
        <w:tc>
          <w:tcPr>
            <w:tcW w:w="1227" w:type="dxa"/>
            <w:shd w:val="clear" w:color="auto" w:fill="F2F2F2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5</w:t>
            </w:r>
          </w:p>
        </w:tc>
        <w:tc>
          <w:tcPr>
            <w:tcW w:w="1707" w:type="dxa"/>
            <w:shd w:val="clear" w:color="auto" w:fill="F2F2F2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6</w:t>
            </w:r>
          </w:p>
        </w:tc>
        <w:tc>
          <w:tcPr>
            <w:tcW w:w="1191" w:type="dxa"/>
            <w:shd w:val="clear" w:color="auto" w:fill="F2F2F2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7</w:t>
            </w:r>
          </w:p>
        </w:tc>
        <w:tc>
          <w:tcPr>
            <w:tcW w:w="2440" w:type="dxa"/>
            <w:shd w:val="clear" w:color="auto" w:fill="F2F2F2"/>
          </w:tcPr>
          <w:p w:rsidR="007708C0" w:rsidRPr="00D82AA7" w:rsidRDefault="007708C0" w:rsidP="00A000B8">
            <w:pPr>
              <w:jc w:val="center"/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8</w:t>
            </w: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Lekki olej opałowy</w:t>
            </w:r>
          </w:p>
        </w:tc>
        <w:tc>
          <w:tcPr>
            <w:tcW w:w="12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Gaz ziemny</w:t>
            </w:r>
          </w:p>
        </w:tc>
        <w:tc>
          <w:tcPr>
            <w:tcW w:w="12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Gaz płynny</w:t>
            </w:r>
          </w:p>
        </w:tc>
        <w:tc>
          <w:tcPr>
            <w:tcW w:w="12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Węgiel kamienny</w:t>
            </w:r>
          </w:p>
        </w:tc>
        <w:tc>
          <w:tcPr>
            <w:tcW w:w="12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Węgiel brunatny</w:t>
            </w:r>
          </w:p>
        </w:tc>
        <w:tc>
          <w:tcPr>
            <w:tcW w:w="12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15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 xml:space="preserve">Biomasa </w:t>
            </w:r>
            <w:r w:rsidRPr="00D82AA7">
              <w:rPr>
                <w:rFonts w:ascii="Cambria" w:hAnsi="Cambria"/>
                <w:bCs/>
                <w:i/>
                <w:sz w:val="18"/>
                <w:vertAlign w:val="superscript"/>
              </w:rPr>
              <w:t>8)</w:t>
            </w:r>
          </w:p>
        </w:tc>
        <w:tc>
          <w:tcPr>
            <w:tcW w:w="12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5338" w:type="dxa"/>
            <w:gridSpan w:val="3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Nie dotyczy</w:t>
            </w:r>
          </w:p>
        </w:tc>
      </w:tr>
      <w:tr w:rsidR="007708C0" w:rsidRPr="00E47BA3" w:rsidTr="00A000B8">
        <w:trPr>
          <w:trHeight w:val="315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 xml:space="preserve">Ciepło sieciowe </w:t>
            </w:r>
            <w:r w:rsidRPr="00D82AA7">
              <w:rPr>
                <w:rFonts w:ascii="Cambria" w:hAnsi="Cambria"/>
                <w:bCs/>
                <w:i/>
                <w:sz w:val="18"/>
                <w:vertAlign w:val="superscript"/>
              </w:rPr>
              <w:t>6)</w:t>
            </w:r>
            <w:r w:rsidRPr="00D82AA7">
              <w:rPr>
                <w:rFonts w:ascii="Cambria" w:hAnsi="Cambria"/>
                <w:bCs/>
                <w:i/>
                <w:sz w:val="18"/>
              </w:rPr>
              <w:t xml:space="preserve"> z ciepłowni węglowej</w:t>
            </w:r>
          </w:p>
        </w:tc>
        <w:tc>
          <w:tcPr>
            <w:tcW w:w="1249" w:type="dxa"/>
            <w:vMerge w:val="restart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Nie dotyczy</w:t>
            </w: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 </w:t>
            </w: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Ciepło sieciowe z ciepłowni gazowej/olejowej</w:t>
            </w:r>
          </w:p>
        </w:tc>
        <w:tc>
          <w:tcPr>
            <w:tcW w:w="1249" w:type="dxa"/>
            <w:vMerge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 </w:t>
            </w: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Ciepło sieciowe z ciepłowni na biomasę</w:t>
            </w:r>
          </w:p>
        </w:tc>
        <w:tc>
          <w:tcPr>
            <w:tcW w:w="1249" w:type="dxa"/>
            <w:vMerge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 </w:t>
            </w: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Ciepło sieciowe z elektrociepłowni węglowej, gazowej</w:t>
            </w:r>
          </w:p>
        </w:tc>
        <w:tc>
          <w:tcPr>
            <w:tcW w:w="1249" w:type="dxa"/>
            <w:vMerge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 </w:t>
            </w: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57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lastRenderedPageBreak/>
              <w:t xml:space="preserve">Ciepło sieciowe z elektrociepłowni opartej na energii odnawialnej (biogaz, biomasa) </w:t>
            </w:r>
            <w:r w:rsidRPr="00D82AA7">
              <w:rPr>
                <w:rFonts w:ascii="Cambria" w:hAnsi="Cambria"/>
                <w:bCs/>
                <w:i/>
                <w:sz w:val="18"/>
                <w:vertAlign w:val="superscript"/>
              </w:rPr>
              <w:t>8)</w:t>
            </w:r>
          </w:p>
        </w:tc>
        <w:tc>
          <w:tcPr>
            <w:tcW w:w="1249" w:type="dxa"/>
            <w:vMerge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 </w:t>
            </w: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5338" w:type="dxa"/>
            <w:gridSpan w:val="3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 xml:space="preserve"> Nie dotyczy </w:t>
            </w:r>
          </w:p>
        </w:tc>
      </w:tr>
      <w:tr w:rsidR="007708C0" w:rsidRPr="00E47BA3" w:rsidTr="00A000B8">
        <w:trPr>
          <w:trHeight w:val="315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126441">
              <w:rPr>
                <w:rFonts w:ascii="Cambria" w:hAnsi="Cambria"/>
                <w:bCs/>
                <w:i/>
                <w:sz w:val="18"/>
              </w:rPr>
              <w:t>Energia elektryczna dla potrzeb oświetlenia wewnętrznego</w:t>
            </w:r>
            <w:r w:rsidRPr="00D82AA7">
              <w:rPr>
                <w:rFonts w:ascii="Cambria" w:hAnsi="Cambria"/>
                <w:bCs/>
                <w:i/>
                <w:sz w:val="18"/>
                <w:vertAlign w:val="superscript"/>
              </w:rPr>
              <w:t>2) 7)</w:t>
            </w:r>
          </w:p>
        </w:tc>
        <w:tc>
          <w:tcPr>
            <w:tcW w:w="1249" w:type="dxa"/>
            <w:vMerge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 </w:t>
            </w: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126441">
              <w:rPr>
                <w:rFonts w:ascii="Cambria" w:hAnsi="Cambria"/>
                <w:bCs/>
                <w:i/>
                <w:sz w:val="18"/>
              </w:rPr>
              <w:t>Energia elektryczna pomocnicza</w:t>
            </w:r>
            <w:r w:rsidRPr="00126441">
              <w:rPr>
                <w:rFonts w:ascii="Cambria" w:hAnsi="Cambria"/>
                <w:bCs/>
                <w:i/>
                <w:sz w:val="18"/>
                <w:vertAlign w:val="superscript"/>
              </w:rPr>
              <w:t>2)7)</w:t>
            </w:r>
          </w:p>
        </w:tc>
        <w:tc>
          <w:tcPr>
            <w:tcW w:w="12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Inny……………………………</w:t>
            </w:r>
          </w:p>
        </w:tc>
        <w:tc>
          <w:tcPr>
            <w:tcW w:w="12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 </w:t>
            </w:r>
          </w:p>
        </w:tc>
        <w:tc>
          <w:tcPr>
            <w:tcW w:w="195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 </w:t>
            </w: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330"/>
        </w:trPr>
        <w:tc>
          <w:tcPr>
            <w:tcW w:w="328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  <w:r w:rsidRPr="00D82AA7">
              <w:rPr>
                <w:rFonts w:ascii="Cambria" w:hAnsi="Cambria"/>
                <w:b/>
                <w:bCs/>
                <w:i/>
                <w:sz w:val="18"/>
              </w:rPr>
              <w:t>SUMA</w:t>
            </w:r>
          </w:p>
        </w:tc>
        <w:tc>
          <w:tcPr>
            <w:tcW w:w="3200" w:type="dxa"/>
            <w:gridSpan w:val="2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  <w:r w:rsidRPr="00D82AA7">
              <w:rPr>
                <w:rFonts w:ascii="Cambria" w:hAnsi="Cambria"/>
                <w:bCs/>
                <w:i/>
                <w:sz w:val="18"/>
              </w:rPr>
              <w:t> </w:t>
            </w:r>
          </w:p>
        </w:tc>
        <w:tc>
          <w:tcPr>
            <w:tcW w:w="1549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227" w:type="dxa"/>
            <w:shd w:val="clear" w:color="auto" w:fill="F2F2F2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707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1191" w:type="dxa"/>
          </w:tcPr>
          <w:p w:rsidR="007708C0" w:rsidRPr="00D82AA7" w:rsidRDefault="007708C0" w:rsidP="00A000B8">
            <w:pPr>
              <w:rPr>
                <w:rFonts w:ascii="Cambria" w:hAnsi="Cambria"/>
                <w:bCs/>
                <w:i/>
                <w:sz w:val="18"/>
              </w:rPr>
            </w:pPr>
          </w:p>
        </w:tc>
        <w:tc>
          <w:tcPr>
            <w:tcW w:w="2440" w:type="dxa"/>
          </w:tcPr>
          <w:p w:rsidR="007708C0" w:rsidRPr="00D82AA7" w:rsidRDefault="007708C0" w:rsidP="00A000B8">
            <w:pPr>
              <w:rPr>
                <w:rFonts w:ascii="Cambria" w:hAnsi="Cambria"/>
                <w:b/>
                <w:bCs/>
                <w:i/>
                <w:sz w:val="18"/>
              </w:rPr>
            </w:pPr>
          </w:p>
        </w:tc>
      </w:tr>
      <w:tr w:rsidR="007708C0" w:rsidRPr="00E47BA3" w:rsidTr="00A000B8">
        <w:trPr>
          <w:trHeight w:val="525"/>
        </w:trPr>
        <w:tc>
          <w:tcPr>
            <w:tcW w:w="12161" w:type="dxa"/>
            <w:gridSpan w:val="7"/>
            <w:shd w:val="clear" w:color="auto" w:fill="F2F2F2"/>
          </w:tcPr>
          <w:p w:rsidR="007708C0" w:rsidRPr="00F968A4" w:rsidRDefault="007708C0" w:rsidP="00A000B8">
            <w:pPr>
              <w:rPr>
                <w:rFonts w:ascii="Cambria" w:hAnsi="Cambria"/>
                <w:bCs/>
                <w:i/>
              </w:rPr>
            </w:pPr>
            <w:r w:rsidRPr="00F968A4">
              <w:rPr>
                <w:rFonts w:ascii="Cambria" w:hAnsi="Cambria"/>
                <w:bCs/>
                <w:i/>
              </w:rPr>
              <w:t>% redukcji liczony w stosunku do scenariusza bazowego (Ʃ kolumna 8 ÷ Ʃ kolumna 6 · 100%)</w:t>
            </w:r>
          </w:p>
        </w:tc>
        <w:tc>
          <w:tcPr>
            <w:tcW w:w="2440" w:type="dxa"/>
            <w:shd w:val="clear" w:color="auto" w:fill="auto"/>
          </w:tcPr>
          <w:p w:rsidR="007708C0" w:rsidRPr="00F968A4" w:rsidRDefault="007708C0" w:rsidP="00A000B8">
            <w:pPr>
              <w:rPr>
                <w:rFonts w:ascii="Cambria" w:hAnsi="Cambria"/>
                <w:b/>
                <w:bCs/>
                <w:i/>
              </w:rPr>
            </w:pPr>
          </w:p>
        </w:tc>
      </w:tr>
      <w:tr w:rsidR="007708C0" w:rsidRPr="00E47BA3" w:rsidTr="00A000B8">
        <w:trPr>
          <w:trHeight w:val="300"/>
        </w:trPr>
        <w:tc>
          <w:tcPr>
            <w:tcW w:w="14601" w:type="dxa"/>
            <w:gridSpan w:val="8"/>
            <w:shd w:val="clear" w:color="auto" w:fill="F2F2F2"/>
          </w:tcPr>
          <w:p w:rsidR="007708C0" w:rsidRPr="00F968A4" w:rsidRDefault="007708C0" w:rsidP="00A000B8">
            <w:pPr>
              <w:rPr>
                <w:rFonts w:ascii="Cambria" w:hAnsi="Cambria"/>
                <w:bCs/>
                <w:i/>
              </w:rPr>
            </w:pPr>
            <w:r w:rsidRPr="00F968A4">
              <w:rPr>
                <w:rFonts w:ascii="Cambria" w:hAnsi="Cambria"/>
                <w:bCs/>
                <w:i/>
                <w:vertAlign w:val="superscript"/>
              </w:rPr>
              <w:t>1)</w:t>
            </w:r>
            <w:r w:rsidRPr="00F968A4">
              <w:rPr>
                <w:rFonts w:ascii="Cambria" w:hAnsi="Cambria"/>
                <w:bCs/>
                <w:i/>
              </w:rPr>
              <w:t xml:space="preserve"> W przypadku zwiększenia ilości/energii chemicznej danego nośnika energii w wyniku przeprowadzenia modernizacji wartość należy poprzedzić znakiem minus.</w:t>
            </w:r>
          </w:p>
        </w:tc>
      </w:tr>
      <w:tr w:rsidR="007708C0" w:rsidRPr="00E47BA3" w:rsidTr="00A000B8">
        <w:trPr>
          <w:trHeight w:val="300"/>
        </w:trPr>
        <w:tc>
          <w:tcPr>
            <w:tcW w:w="14601" w:type="dxa"/>
            <w:gridSpan w:val="8"/>
            <w:shd w:val="clear" w:color="auto" w:fill="F2F2F2"/>
          </w:tcPr>
          <w:p w:rsidR="007708C0" w:rsidRPr="00F968A4" w:rsidRDefault="007708C0" w:rsidP="00A000B8">
            <w:pPr>
              <w:rPr>
                <w:rFonts w:ascii="Cambria" w:hAnsi="Cambria"/>
                <w:bCs/>
                <w:i/>
              </w:rPr>
            </w:pPr>
            <w:r w:rsidRPr="00F968A4">
              <w:rPr>
                <w:rFonts w:ascii="Cambria" w:hAnsi="Cambria"/>
                <w:bCs/>
                <w:i/>
                <w:vertAlign w:val="superscript"/>
              </w:rPr>
              <w:t>2)</w:t>
            </w:r>
            <w:r w:rsidRPr="00F968A4">
              <w:rPr>
                <w:rFonts w:ascii="Cambria" w:hAnsi="Cambria"/>
                <w:bCs/>
                <w:i/>
              </w:rPr>
              <w:t xml:space="preserve"> Wartość energii elektrycznej uwzględnia ilość  energii elektrycznej na potrzeby danego obiektu (zgodnie z metodą zawartą w punkcie 5. Aneksu).</w:t>
            </w:r>
          </w:p>
        </w:tc>
      </w:tr>
      <w:tr w:rsidR="007708C0" w:rsidRPr="00E47BA3" w:rsidTr="00A000B8">
        <w:trPr>
          <w:trHeight w:val="525"/>
        </w:trPr>
        <w:tc>
          <w:tcPr>
            <w:tcW w:w="14601" w:type="dxa"/>
            <w:gridSpan w:val="8"/>
            <w:shd w:val="clear" w:color="auto" w:fill="F2F2F2"/>
          </w:tcPr>
          <w:p w:rsidR="007708C0" w:rsidRPr="00F968A4" w:rsidRDefault="007708C0" w:rsidP="00A000B8">
            <w:pPr>
              <w:rPr>
                <w:rFonts w:ascii="Cambria" w:hAnsi="Cambria"/>
                <w:bCs/>
                <w:i/>
              </w:rPr>
            </w:pPr>
            <w:r w:rsidRPr="00F968A4">
              <w:rPr>
                <w:rFonts w:ascii="Cambria" w:hAnsi="Cambria"/>
                <w:bCs/>
                <w:i/>
                <w:vertAlign w:val="superscript"/>
              </w:rPr>
              <w:t>3)</w:t>
            </w:r>
            <w:r w:rsidRPr="00F968A4">
              <w:rPr>
                <w:rFonts w:ascii="Cambria" w:hAnsi="Cambria"/>
                <w:bCs/>
                <w:i/>
              </w:rPr>
              <w:t xml:space="preserve"> Dla paliw zużywanych bezpośrednio w źródle zaopatrującym tylko modernizowany budynek (lokalna kotłownia) należy podać zużycie paliwa w scenariuszu bazowym i spodziewane zużycie paliwa po modernizacji wyrażone w Mg lub Nm3 wyliczone w oparciu o energię przed i po termomodernizacji, wynikającą z audytów energetycznych, przy uwzględnieniu nośnika faktycznie spalonego w źródle o odpowiedniej wartości opałowej zgodnie z „Wartości opałowe (WO) i wskaźniki emisji CO2 (WE) do raportowania w ramach Wspólnotowego Systemu Handlu Uprawnieniami do Emisji, które są do stosowania w danym roku rozliczeniowym, publikowane przez Krajowy Ośrodek Bilansowania i Zarządzania Emisjami</w:t>
            </w:r>
          </w:p>
        </w:tc>
      </w:tr>
      <w:tr w:rsidR="007708C0" w:rsidRPr="00E47BA3" w:rsidTr="00A000B8">
        <w:trPr>
          <w:trHeight w:val="699"/>
        </w:trPr>
        <w:tc>
          <w:tcPr>
            <w:tcW w:w="14601" w:type="dxa"/>
            <w:gridSpan w:val="8"/>
            <w:shd w:val="clear" w:color="auto" w:fill="F2F2F2"/>
          </w:tcPr>
          <w:p w:rsidR="007708C0" w:rsidRPr="00F968A4" w:rsidRDefault="007708C0" w:rsidP="00A000B8">
            <w:pPr>
              <w:rPr>
                <w:rFonts w:ascii="Cambria" w:hAnsi="Cambria"/>
                <w:bCs/>
                <w:i/>
              </w:rPr>
            </w:pPr>
            <w:r w:rsidRPr="00F968A4">
              <w:rPr>
                <w:rFonts w:ascii="Cambria" w:hAnsi="Cambria"/>
                <w:bCs/>
                <w:i/>
                <w:vertAlign w:val="superscript"/>
              </w:rPr>
              <w:t>4)</w:t>
            </w:r>
            <w:r w:rsidRPr="00F968A4">
              <w:rPr>
                <w:rFonts w:ascii="Cambria" w:hAnsi="Cambria"/>
                <w:bCs/>
                <w:i/>
              </w:rPr>
              <w:t xml:space="preserve"> Wartość opałowa paliwa stosowana w przypadku podania masy paliwa zużywanego w scenariuszu bazowym i po modernizacji zgodnie z Wartości opałowe (WO) i wskaźniki emisji CO2 (WE) do raportowania w ramach Wspólnotowego Systemu Handlu Uprawnieniami do Emisji, które są do stosowania w danym roku rozliczeniowym, publikowane przez Krajowy Ośrodek Bilansowania i Zarządzania Emisjami</w:t>
            </w:r>
          </w:p>
        </w:tc>
      </w:tr>
      <w:tr w:rsidR="007708C0" w:rsidRPr="00E47BA3" w:rsidTr="00A000B8">
        <w:trPr>
          <w:trHeight w:val="660"/>
        </w:trPr>
        <w:tc>
          <w:tcPr>
            <w:tcW w:w="14601" w:type="dxa"/>
            <w:gridSpan w:val="8"/>
            <w:shd w:val="clear" w:color="auto" w:fill="F2F2F2"/>
          </w:tcPr>
          <w:p w:rsidR="007708C0" w:rsidRPr="00F968A4" w:rsidRDefault="007708C0" w:rsidP="00A000B8">
            <w:pPr>
              <w:rPr>
                <w:rFonts w:ascii="Cambria" w:hAnsi="Cambria"/>
                <w:bCs/>
                <w:i/>
              </w:rPr>
            </w:pPr>
            <w:r w:rsidRPr="00F968A4">
              <w:rPr>
                <w:rFonts w:ascii="Cambria" w:hAnsi="Cambria"/>
                <w:bCs/>
                <w:i/>
                <w:vertAlign w:val="superscript"/>
              </w:rPr>
              <w:lastRenderedPageBreak/>
              <w:t>5)</w:t>
            </w:r>
            <w:r w:rsidRPr="00F968A4">
              <w:rPr>
                <w:rFonts w:ascii="Cambria" w:hAnsi="Cambria"/>
                <w:bCs/>
                <w:i/>
              </w:rPr>
              <w:t xml:space="preserve"> Wskaźniki emisji i wartość opałową należy przyjmować zgodnie z Wartości opałowe (WO) i wskaźniki emisji CO2 (WE) do raportowania w ramach Wspólnotowego Systemu Handlu Uprawnieniami do Emisji, które są do stosowania w danym roku rozliczeniowym, publikowane przez Krajowy Ośrodek Bilansowania i Zarządzania Emisjami</w:t>
            </w:r>
          </w:p>
        </w:tc>
      </w:tr>
      <w:tr w:rsidR="007708C0" w:rsidRPr="00E47BA3" w:rsidTr="00A000B8">
        <w:trPr>
          <w:trHeight w:val="1140"/>
        </w:trPr>
        <w:tc>
          <w:tcPr>
            <w:tcW w:w="14601" w:type="dxa"/>
            <w:gridSpan w:val="8"/>
            <w:shd w:val="clear" w:color="auto" w:fill="F2F2F2"/>
          </w:tcPr>
          <w:p w:rsidR="007708C0" w:rsidRPr="00F968A4" w:rsidRDefault="007708C0" w:rsidP="00C50B02">
            <w:pPr>
              <w:rPr>
                <w:rFonts w:ascii="Cambria" w:hAnsi="Cambria"/>
                <w:bCs/>
                <w:i/>
              </w:rPr>
            </w:pPr>
            <w:r w:rsidRPr="00F968A4">
              <w:rPr>
                <w:rFonts w:ascii="Cambria" w:hAnsi="Cambria"/>
                <w:bCs/>
                <w:i/>
                <w:vertAlign w:val="superscript"/>
              </w:rPr>
              <w:t>6)</w:t>
            </w:r>
            <w:r w:rsidRPr="00F968A4">
              <w:rPr>
                <w:rFonts w:ascii="Cambria" w:hAnsi="Cambria"/>
                <w:bCs/>
                <w:i/>
              </w:rPr>
              <w:t xml:space="preserve"> W przypadku zużycia energii pochodzącej z zewnętrznego źródła ciepła (miejska sieć ciepłownicza itp.) należy  zastosować tabelę nr 1 z załącznika </w:t>
            </w:r>
            <w:r w:rsidR="00237557">
              <w:rPr>
                <w:rFonts w:ascii="Cambria" w:hAnsi="Cambria"/>
                <w:bCs/>
                <w:i/>
              </w:rPr>
              <w:t>1</w:t>
            </w:r>
            <w:r w:rsidRPr="00F968A4">
              <w:rPr>
                <w:rFonts w:ascii="Cambria" w:hAnsi="Cambria"/>
                <w:bCs/>
                <w:i/>
              </w:rPr>
              <w:t xml:space="preserve"> Rozporządzenia Ministra Infrastruktury </w:t>
            </w:r>
            <w:r w:rsidR="000D322D">
              <w:rPr>
                <w:rFonts w:ascii="Cambria" w:hAnsi="Cambria"/>
                <w:bCs/>
                <w:i/>
              </w:rPr>
              <w:t xml:space="preserve">i Rozwoju </w:t>
            </w:r>
            <w:r w:rsidRPr="00F968A4">
              <w:rPr>
                <w:rFonts w:ascii="Cambria" w:hAnsi="Cambria"/>
                <w:bCs/>
                <w:i/>
              </w:rPr>
              <w:t xml:space="preserve">z dnia </w:t>
            </w:r>
            <w:r w:rsidR="00C50B02">
              <w:rPr>
                <w:rFonts w:ascii="Cambria" w:hAnsi="Cambria"/>
                <w:bCs/>
                <w:i/>
              </w:rPr>
              <w:t>27</w:t>
            </w:r>
            <w:r w:rsidRPr="00F968A4">
              <w:rPr>
                <w:rFonts w:ascii="Cambria" w:hAnsi="Cambria"/>
                <w:bCs/>
                <w:i/>
              </w:rPr>
              <w:t xml:space="preserve"> </w:t>
            </w:r>
            <w:r w:rsidR="00C50B02">
              <w:rPr>
                <w:rFonts w:ascii="Cambria" w:hAnsi="Cambria"/>
                <w:bCs/>
                <w:i/>
              </w:rPr>
              <w:t xml:space="preserve">lutego </w:t>
            </w:r>
            <w:r w:rsidRPr="00F968A4">
              <w:rPr>
                <w:rFonts w:ascii="Cambria" w:hAnsi="Cambria"/>
                <w:bCs/>
                <w:i/>
              </w:rPr>
              <w:t>20</w:t>
            </w:r>
            <w:r w:rsidR="000D322D">
              <w:rPr>
                <w:rFonts w:ascii="Cambria" w:hAnsi="Cambria"/>
                <w:bCs/>
                <w:i/>
              </w:rPr>
              <w:t>1</w:t>
            </w:r>
            <w:r w:rsidR="00C50B02">
              <w:rPr>
                <w:rFonts w:ascii="Cambria" w:hAnsi="Cambria"/>
                <w:bCs/>
                <w:i/>
              </w:rPr>
              <w:t>5</w:t>
            </w:r>
            <w:r w:rsidRPr="00F968A4">
              <w:rPr>
                <w:rFonts w:ascii="Cambria" w:hAnsi="Cambria"/>
                <w:bCs/>
                <w:i/>
              </w:rPr>
              <w:t xml:space="preserve"> r. w sprawie metodologii obliczania charakterystyki energetycznej budynku </w:t>
            </w:r>
            <w:r w:rsidR="00C50B02">
              <w:rPr>
                <w:rFonts w:ascii="Cambria" w:hAnsi="Cambria"/>
                <w:bCs/>
                <w:i/>
              </w:rPr>
              <w:t>lub części budynku oraz</w:t>
            </w:r>
            <w:r w:rsidRPr="00F968A4">
              <w:rPr>
                <w:rFonts w:ascii="Cambria" w:hAnsi="Cambria"/>
                <w:bCs/>
                <w:i/>
              </w:rPr>
              <w:t xml:space="preserve"> świadectw charakterystyki energetycznej (Dz. U. 201</w:t>
            </w:r>
            <w:r w:rsidR="00C50B02">
              <w:rPr>
                <w:rFonts w:ascii="Cambria" w:hAnsi="Cambria"/>
                <w:bCs/>
                <w:i/>
              </w:rPr>
              <w:t>5</w:t>
            </w:r>
            <w:r w:rsidRPr="00F968A4">
              <w:rPr>
                <w:rFonts w:ascii="Cambria" w:hAnsi="Cambria"/>
                <w:bCs/>
                <w:i/>
              </w:rPr>
              <w:t xml:space="preserve">, poz. </w:t>
            </w:r>
            <w:r w:rsidR="00C50B02">
              <w:rPr>
                <w:rFonts w:ascii="Cambria" w:hAnsi="Cambria"/>
                <w:bCs/>
                <w:i/>
              </w:rPr>
              <w:t>376</w:t>
            </w:r>
            <w:r w:rsidRPr="00F968A4">
              <w:rPr>
                <w:rFonts w:ascii="Cambria" w:hAnsi="Cambria"/>
                <w:bCs/>
                <w:i/>
              </w:rPr>
              <w:t>). Należy ilość energii końcowej pomnożyć przez współczynnik nakładu nieodnawialnej energii pierwotnej dla danego nośnika energii. Tak wyliczoną ilość energii stosuje się do dalszych obliczeń wielkości emisji, stosując wskaźniki jak w przypisie 5) do niniejszej tabeli.</w:t>
            </w:r>
          </w:p>
        </w:tc>
      </w:tr>
      <w:tr w:rsidR="007708C0" w:rsidRPr="00E47BA3" w:rsidTr="00A000B8">
        <w:trPr>
          <w:trHeight w:val="436"/>
        </w:trPr>
        <w:tc>
          <w:tcPr>
            <w:tcW w:w="14601" w:type="dxa"/>
            <w:gridSpan w:val="8"/>
            <w:shd w:val="clear" w:color="auto" w:fill="F2F2F2"/>
          </w:tcPr>
          <w:p w:rsidR="007708C0" w:rsidRPr="00F968A4" w:rsidRDefault="007708C0" w:rsidP="00A000B8">
            <w:pPr>
              <w:rPr>
                <w:rFonts w:ascii="Cambria" w:hAnsi="Cambria"/>
                <w:bCs/>
                <w:i/>
              </w:rPr>
            </w:pPr>
            <w:r w:rsidRPr="00F968A4">
              <w:rPr>
                <w:rFonts w:ascii="Cambria" w:hAnsi="Cambria"/>
                <w:bCs/>
                <w:i/>
                <w:vertAlign w:val="superscript"/>
              </w:rPr>
              <w:t>7)</w:t>
            </w:r>
            <w:r w:rsidRPr="00F968A4">
              <w:rPr>
                <w:rFonts w:ascii="Cambria" w:hAnsi="Cambria"/>
                <w:bCs/>
                <w:i/>
              </w:rPr>
              <w:t xml:space="preserve"> Dla energii elektrycznej, metodyka zakłada, że wykazywana w tabeli energia elektryczna, pochodzi z polskiej sieci elektroenergetycznej. Dla tej sieci, wskaźnik emisji obliczany jest przez KOSZI/NFOŚIGW i podawany do stosowania w danym roku. Wskaźnik podawany jest w Mg CO</w:t>
            </w:r>
            <w:r w:rsidRPr="00F968A4">
              <w:rPr>
                <w:rFonts w:ascii="Cambria" w:hAnsi="Cambria"/>
                <w:bCs/>
                <w:i/>
                <w:vertAlign w:val="subscript"/>
              </w:rPr>
              <w:t>2</w:t>
            </w:r>
            <w:r w:rsidRPr="00F968A4">
              <w:rPr>
                <w:rFonts w:ascii="Cambria" w:hAnsi="Cambria"/>
                <w:bCs/>
                <w:i/>
              </w:rPr>
              <w:t>/MWh.</w:t>
            </w:r>
          </w:p>
        </w:tc>
      </w:tr>
      <w:tr w:rsidR="007708C0" w:rsidRPr="00E47BA3" w:rsidTr="00A000B8">
        <w:trPr>
          <w:trHeight w:val="420"/>
        </w:trPr>
        <w:tc>
          <w:tcPr>
            <w:tcW w:w="14601" w:type="dxa"/>
            <w:gridSpan w:val="8"/>
            <w:shd w:val="clear" w:color="auto" w:fill="F2F2F2"/>
          </w:tcPr>
          <w:p w:rsidR="007708C0" w:rsidRPr="00F968A4" w:rsidRDefault="007708C0" w:rsidP="00A000B8">
            <w:pPr>
              <w:rPr>
                <w:rFonts w:ascii="Cambria" w:hAnsi="Cambria"/>
                <w:bCs/>
                <w:i/>
              </w:rPr>
            </w:pPr>
            <w:r w:rsidRPr="00F968A4">
              <w:rPr>
                <w:rFonts w:ascii="Cambria" w:hAnsi="Cambria"/>
                <w:bCs/>
                <w:i/>
                <w:vertAlign w:val="superscript"/>
              </w:rPr>
              <w:t>8)</w:t>
            </w:r>
            <w:r w:rsidRPr="00F968A4">
              <w:rPr>
                <w:rFonts w:ascii="Cambria" w:hAnsi="Cambria"/>
                <w:bCs/>
                <w:i/>
              </w:rPr>
              <w:t xml:space="preserve"> wielkości dotyczące energii podawane są informacyjnie, wskaźnik emisji  zgodnie z założeniami Wspólnotowego Systemu Handlu Uprawnieniami Do Emisji wynosi 0 (zero) Mg CO</w:t>
            </w:r>
            <w:r w:rsidRPr="00F968A4">
              <w:rPr>
                <w:rFonts w:ascii="Cambria" w:hAnsi="Cambria"/>
                <w:bCs/>
                <w:i/>
                <w:vertAlign w:val="subscript"/>
              </w:rPr>
              <w:t>2</w:t>
            </w:r>
            <w:r w:rsidRPr="00F968A4">
              <w:rPr>
                <w:rFonts w:ascii="Cambria" w:hAnsi="Cambria"/>
                <w:bCs/>
                <w:i/>
              </w:rPr>
              <w:t>/GJ.</w:t>
            </w:r>
          </w:p>
        </w:tc>
      </w:tr>
    </w:tbl>
    <w:p w:rsidR="00B16AAC" w:rsidRDefault="00B16AAC" w:rsidP="00BE5FA7">
      <w:pPr>
        <w:sectPr w:rsidR="00B16AAC" w:rsidSect="00B5788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A1FB7" w:rsidRDefault="000A1FB7" w:rsidP="000D322D"/>
    <w:sectPr w:rsidR="000A1FB7" w:rsidSect="00B16A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6B" w:rsidRDefault="003A6E6B" w:rsidP="00682B36">
      <w:pPr>
        <w:spacing w:after="0" w:line="240" w:lineRule="auto"/>
      </w:pPr>
      <w:r>
        <w:separator/>
      </w:r>
    </w:p>
  </w:endnote>
  <w:endnote w:type="continuationSeparator" w:id="0">
    <w:p w:rsidR="003A6E6B" w:rsidRDefault="003A6E6B" w:rsidP="0068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398" w:type="pct"/>
      <w:tblLook w:val="04A0" w:firstRow="1" w:lastRow="0" w:firstColumn="1" w:lastColumn="0" w:noHBand="0" w:noVBand="1"/>
    </w:tblPr>
    <w:tblGrid>
      <w:gridCol w:w="722"/>
    </w:tblGrid>
    <w:tr w:rsidR="00682B36" w:rsidTr="00682B36">
      <w:trPr>
        <w:trHeight w:val="9639"/>
      </w:trPr>
      <w:tc>
        <w:tcPr>
          <w:tcW w:w="739" w:type="dxa"/>
          <w:tcBorders>
            <w:bottom w:val="single" w:sz="4" w:space="0" w:color="auto"/>
          </w:tcBorders>
          <w:textDirection w:val="btLr"/>
        </w:tcPr>
        <w:p w:rsidR="00682B36" w:rsidRDefault="00682B36">
          <w:pPr>
            <w:pStyle w:val="Nagwek"/>
            <w:ind w:left="113" w:right="113"/>
          </w:pPr>
        </w:p>
      </w:tc>
    </w:tr>
    <w:tr w:rsidR="00682B36" w:rsidTr="00682B36">
      <w:tc>
        <w:tcPr>
          <w:tcW w:w="739" w:type="dxa"/>
          <w:tcBorders>
            <w:top w:val="single" w:sz="4" w:space="0" w:color="auto"/>
          </w:tcBorders>
        </w:tcPr>
        <w:p w:rsidR="00682B36" w:rsidRDefault="0089765E">
          <w:pPr>
            <w:pStyle w:val="Stopk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466BF" w:rsidRPr="000466BF">
            <w:rPr>
              <w:noProof/>
              <w:color w:val="4F81BD"/>
              <w:sz w:val="40"/>
              <w:szCs w:val="40"/>
            </w:rPr>
            <w:t>14</w:t>
          </w:r>
          <w:r>
            <w:rPr>
              <w:noProof/>
              <w:color w:val="4F81BD"/>
              <w:sz w:val="40"/>
              <w:szCs w:val="40"/>
            </w:rPr>
            <w:fldChar w:fldCharType="end"/>
          </w:r>
        </w:p>
      </w:tc>
    </w:tr>
    <w:tr w:rsidR="00682B36" w:rsidTr="00682B36">
      <w:trPr>
        <w:trHeight w:val="768"/>
      </w:trPr>
      <w:tc>
        <w:tcPr>
          <w:tcW w:w="739" w:type="dxa"/>
        </w:tcPr>
        <w:p w:rsidR="00682B36" w:rsidRDefault="00682B36">
          <w:pPr>
            <w:pStyle w:val="Nagwek"/>
          </w:pPr>
        </w:p>
      </w:tc>
    </w:tr>
  </w:tbl>
  <w:p w:rsidR="00682B36" w:rsidRPr="004E5E4C" w:rsidRDefault="00682B36" w:rsidP="00682B36">
    <w:pPr>
      <w:pStyle w:val="Stopka"/>
      <w:pBdr>
        <w:top w:val="single" w:sz="4" w:space="1" w:color="auto"/>
      </w:pBdr>
      <w:spacing w:after="0"/>
      <w:rPr>
        <w:sz w:val="20"/>
        <w:szCs w:val="20"/>
      </w:rPr>
    </w:pPr>
    <w:r w:rsidRPr="002B4592">
      <w:rPr>
        <w:sz w:val="20"/>
        <w:szCs w:val="20"/>
      </w:rPr>
      <w:t>Program priorytetowy</w:t>
    </w:r>
    <w:r w:rsidRPr="004E5E4C">
      <w:t xml:space="preserve"> </w:t>
    </w:r>
    <w:r w:rsidRPr="004E5E4C">
      <w:rPr>
        <w:sz w:val="20"/>
        <w:szCs w:val="20"/>
      </w:rPr>
      <w:t xml:space="preserve">System zielonych inwestycji (GIS – Green Investment </w:t>
    </w:r>
    <w:proofErr w:type="spellStart"/>
    <w:r w:rsidRPr="004E5E4C">
      <w:rPr>
        <w:sz w:val="20"/>
        <w:szCs w:val="20"/>
      </w:rPr>
      <w:t>Scheme</w:t>
    </w:r>
    <w:proofErr w:type="spellEnd"/>
    <w:r w:rsidRPr="004E5E4C">
      <w:rPr>
        <w:sz w:val="20"/>
        <w:szCs w:val="20"/>
      </w:rPr>
      <w:t xml:space="preserve">) </w:t>
    </w:r>
  </w:p>
  <w:p w:rsidR="00682B36" w:rsidRDefault="00682B36" w:rsidP="00682B36">
    <w:pPr>
      <w:pStyle w:val="Stopka"/>
      <w:pBdr>
        <w:top w:val="single" w:sz="4" w:space="1" w:color="auto"/>
      </w:pBdr>
      <w:spacing w:after="0"/>
      <w:rPr>
        <w:bCs/>
        <w:sz w:val="20"/>
        <w:szCs w:val="20"/>
      </w:rPr>
    </w:pPr>
    <w:r w:rsidRPr="004E5E4C">
      <w:rPr>
        <w:sz w:val="20"/>
        <w:szCs w:val="20"/>
      </w:rPr>
      <w:t xml:space="preserve">Część </w:t>
    </w:r>
    <w:r>
      <w:rPr>
        <w:sz w:val="20"/>
        <w:szCs w:val="20"/>
      </w:rPr>
      <w:t>1</w:t>
    </w:r>
    <w:r w:rsidRPr="004E5E4C">
      <w:rPr>
        <w:sz w:val="20"/>
        <w:szCs w:val="20"/>
      </w:rPr>
      <w:t xml:space="preserve">)  </w:t>
    </w:r>
    <w:r>
      <w:rPr>
        <w:bCs/>
        <w:sz w:val="20"/>
        <w:szCs w:val="20"/>
      </w:rPr>
      <w:t>Zarządzanie energią w budynkach użyteczności publicznej</w:t>
    </w:r>
  </w:p>
  <w:p w:rsidR="00682B36" w:rsidRDefault="00682B36" w:rsidP="00682B36">
    <w:pPr>
      <w:pStyle w:val="Stopka"/>
      <w:pBdr>
        <w:top w:val="single" w:sz="4" w:space="1" w:color="auto"/>
      </w:pBdr>
      <w:spacing w:after="0"/>
    </w:pPr>
    <w:r>
      <w:rPr>
        <w:bCs/>
        <w:sz w:val="20"/>
        <w:szCs w:val="20"/>
      </w:rPr>
      <w:t>Część 5)  Zarządzanie energią e budynkach wybranych podmiotów sektora finansów publicznych</w:t>
    </w:r>
  </w:p>
  <w:p w:rsidR="00682B36" w:rsidRDefault="0068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6B" w:rsidRDefault="003A6E6B" w:rsidP="00682B36">
      <w:pPr>
        <w:spacing w:after="0" w:line="240" w:lineRule="auto"/>
      </w:pPr>
      <w:r>
        <w:separator/>
      </w:r>
    </w:p>
  </w:footnote>
  <w:footnote w:type="continuationSeparator" w:id="0">
    <w:p w:rsidR="003A6E6B" w:rsidRDefault="003A6E6B" w:rsidP="00682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BC374FE"/>
    <w:multiLevelType w:val="hybridMultilevel"/>
    <w:tmpl w:val="01902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12D7"/>
    <w:multiLevelType w:val="multilevel"/>
    <w:tmpl w:val="B198B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02A405C"/>
    <w:multiLevelType w:val="hybridMultilevel"/>
    <w:tmpl w:val="83E42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34B2F"/>
    <w:multiLevelType w:val="multilevel"/>
    <w:tmpl w:val="2570A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5" w15:restartNumberingAfterBreak="0">
    <w:nsid w:val="43CB1313"/>
    <w:multiLevelType w:val="hybridMultilevel"/>
    <w:tmpl w:val="4BAA1A18"/>
    <w:lvl w:ilvl="0" w:tplc="0EBC85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B47571"/>
    <w:multiLevelType w:val="multilevel"/>
    <w:tmpl w:val="AB3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D1C24"/>
    <w:multiLevelType w:val="multilevel"/>
    <w:tmpl w:val="6EE81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3D724FD"/>
    <w:multiLevelType w:val="hybridMultilevel"/>
    <w:tmpl w:val="EA2A0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038C6"/>
    <w:multiLevelType w:val="hybridMultilevel"/>
    <w:tmpl w:val="7CD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84477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5E65"/>
    <w:multiLevelType w:val="hybridMultilevel"/>
    <w:tmpl w:val="805E25D8"/>
    <w:lvl w:ilvl="0" w:tplc="A740D442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A7"/>
    <w:rsid w:val="00017838"/>
    <w:rsid w:val="00044B11"/>
    <w:rsid w:val="000466BF"/>
    <w:rsid w:val="00051F88"/>
    <w:rsid w:val="000546FA"/>
    <w:rsid w:val="0005510C"/>
    <w:rsid w:val="00071314"/>
    <w:rsid w:val="000A1FB7"/>
    <w:rsid w:val="000A6689"/>
    <w:rsid w:val="000B31E4"/>
    <w:rsid w:val="000B45BD"/>
    <w:rsid w:val="000D322D"/>
    <w:rsid w:val="001003D3"/>
    <w:rsid w:val="00101BEB"/>
    <w:rsid w:val="00134BEB"/>
    <w:rsid w:val="001350EF"/>
    <w:rsid w:val="001358F8"/>
    <w:rsid w:val="00137AE1"/>
    <w:rsid w:val="001521E2"/>
    <w:rsid w:val="00172EA9"/>
    <w:rsid w:val="001757D4"/>
    <w:rsid w:val="0019689A"/>
    <w:rsid w:val="001A04D1"/>
    <w:rsid w:val="001B3FA6"/>
    <w:rsid w:val="001B63D1"/>
    <w:rsid w:val="00220ED6"/>
    <w:rsid w:val="002338E2"/>
    <w:rsid w:val="00237557"/>
    <w:rsid w:val="0025134B"/>
    <w:rsid w:val="002817D4"/>
    <w:rsid w:val="00295C12"/>
    <w:rsid w:val="00296BFB"/>
    <w:rsid w:val="002A38A0"/>
    <w:rsid w:val="002B0197"/>
    <w:rsid w:val="002C1C7E"/>
    <w:rsid w:val="002C6DE0"/>
    <w:rsid w:val="002F68A2"/>
    <w:rsid w:val="00392E68"/>
    <w:rsid w:val="003A6E6B"/>
    <w:rsid w:val="003C5B23"/>
    <w:rsid w:val="003D6373"/>
    <w:rsid w:val="003F0EDE"/>
    <w:rsid w:val="00402059"/>
    <w:rsid w:val="004033EC"/>
    <w:rsid w:val="00420670"/>
    <w:rsid w:val="004214DA"/>
    <w:rsid w:val="00424B75"/>
    <w:rsid w:val="00435958"/>
    <w:rsid w:val="00435C3B"/>
    <w:rsid w:val="00445078"/>
    <w:rsid w:val="004450E8"/>
    <w:rsid w:val="00453897"/>
    <w:rsid w:val="004674E2"/>
    <w:rsid w:val="0047231B"/>
    <w:rsid w:val="00473445"/>
    <w:rsid w:val="004B6847"/>
    <w:rsid w:val="004C11A6"/>
    <w:rsid w:val="00500453"/>
    <w:rsid w:val="00503E9C"/>
    <w:rsid w:val="00545337"/>
    <w:rsid w:val="00582A66"/>
    <w:rsid w:val="0059073F"/>
    <w:rsid w:val="005B5157"/>
    <w:rsid w:val="005C03E3"/>
    <w:rsid w:val="005C3530"/>
    <w:rsid w:val="005C5BE3"/>
    <w:rsid w:val="005C7944"/>
    <w:rsid w:val="005E37F5"/>
    <w:rsid w:val="005F3A0C"/>
    <w:rsid w:val="006152DF"/>
    <w:rsid w:val="00615EAC"/>
    <w:rsid w:val="0062387D"/>
    <w:rsid w:val="00632EBA"/>
    <w:rsid w:val="00661103"/>
    <w:rsid w:val="00661AB6"/>
    <w:rsid w:val="00667510"/>
    <w:rsid w:val="00675A37"/>
    <w:rsid w:val="00682B36"/>
    <w:rsid w:val="00692B23"/>
    <w:rsid w:val="006C28F1"/>
    <w:rsid w:val="006C39F7"/>
    <w:rsid w:val="006D518C"/>
    <w:rsid w:val="00702100"/>
    <w:rsid w:val="007049DB"/>
    <w:rsid w:val="00721D12"/>
    <w:rsid w:val="00735037"/>
    <w:rsid w:val="007408F5"/>
    <w:rsid w:val="00763C97"/>
    <w:rsid w:val="007708C0"/>
    <w:rsid w:val="00793B84"/>
    <w:rsid w:val="007F061A"/>
    <w:rsid w:val="007F7939"/>
    <w:rsid w:val="008032B1"/>
    <w:rsid w:val="00803D9F"/>
    <w:rsid w:val="00827527"/>
    <w:rsid w:val="00833E3D"/>
    <w:rsid w:val="008435B6"/>
    <w:rsid w:val="0089765E"/>
    <w:rsid w:val="008C6029"/>
    <w:rsid w:val="008C6619"/>
    <w:rsid w:val="008F1D20"/>
    <w:rsid w:val="009252D4"/>
    <w:rsid w:val="00933BA4"/>
    <w:rsid w:val="00946602"/>
    <w:rsid w:val="00952B69"/>
    <w:rsid w:val="0096091C"/>
    <w:rsid w:val="009814B4"/>
    <w:rsid w:val="0098723F"/>
    <w:rsid w:val="009A2808"/>
    <w:rsid w:val="009A44DC"/>
    <w:rsid w:val="009E4CBA"/>
    <w:rsid w:val="009E6683"/>
    <w:rsid w:val="00A000B8"/>
    <w:rsid w:val="00A12B1D"/>
    <w:rsid w:val="00A2391A"/>
    <w:rsid w:val="00A26E48"/>
    <w:rsid w:val="00A64E97"/>
    <w:rsid w:val="00A753F7"/>
    <w:rsid w:val="00AC4413"/>
    <w:rsid w:val="00AD0EC7"/>
    <w:rsid w:val="00B02FEB"/>
    <w:rsid w:val="00B16AAC"/>
    <w:rsid w:val="00B24BC8"/>
    <w:rsid w:val="00B40271"/>
    <w:rsid w:val="00B466DC"/>
    <w:rsid w:val="00B5788C"/>
    <w:rsid w:val="00B667D7"/>
    <w:rsid w:val="00B7277B"/>
    <w:rsid w:val="00BD3E43"/>
    <w:rsid w:val="00BD459C"/>
    <w:rsid w:val="00BE5FA7"/>
    <w:rsid w:val="00C140CF"/>
    <w:rsid w:val="00C365E4"/>
    <w:rsid w:val="00C50B02"/>
    <w:rsid w:val="00C81344"/>
    <w:rsid w:val="00CB5D48"/>
    <w:rsid w:val="00CD544F"/>
    <w:rsid w:val="00D078AE"/>
    <w:rsid w:val="00D10947"/>
    <w:rsid w:val="00D30083"/>
    <w:rsid w:val="00D61EDF"/>
    <w:rsid w:val="00D63D73"/>
    <w:rsid w:val="00DD1108"/>
    <w:rsid w:val="00E1398F"/>
    <w:rsid w:val="00E17003"/>
    <w:rsid w:val="00E20EA3"/>
    <w:rsid w:val="00E369EB"/>
    <w:rsid w:val="00E372C0"/>
    <w:rsid w:val="00E448B2"/>
    <w:rsid w:val="00E46180"/>
    <w:rsid w:val="00E5357F"/>
    <w:rsid w:val="00E852DC"/>
    <w:rsid w:val="00EB47E4"/>
    <w:rsid w:val="00EE78A0"/>
    <w:rsid w:val="00F26BA2"/>
    <w:rsid w:val="00F458C9"/>
    <w:rsid w:val="00F45E48"/>
    <w:rsid w:val="00F7037D"/>
    <w:rsid w:val="00F84809"/>
    <w:rsid w:val="00F924ED"/>
    <w:rsid w:val="00F9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E4B1"/>
  <w15:docId w15:val="{B5190430-AE6E-4185-8EFC-D732D7AE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A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D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5F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3D9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5C5BE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8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B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2B3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6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1574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bmialkow</dc:creator>
  <cp:keywords/>
  <cp:lastModifiedBy>Kamińska Beata</cp:lastModifiedBy>
  <cp:revision>9</cp:revision>
  <cp:lastPrinted>2015-02-03T06:57:00Z</cp:lastPrinted>
  <dcterms:created xsi:type="dcterms:W3CDTF">2016-03-01T10:09:00Z</dcterms:created>
  <dcterms:modified xsi:type="dcterms:W3CDTF">2022-02-17T15:40:00Z</dcterms:modified>
</cp:coreProperties>
</file>