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908F5" w14:textId="62F28071" w:rsidR="007F544F" w:rsidRPr="00191AA5" w:rsidRDefault="00EF4954" w:rsidP="00EF4954">
      <w:pPr>
        <w:pStyle w:val="Nagwek40"/>
        <w:keepNext/>
        <w:keepLines/>
        <w:shd w:val="clear" w:color="auto" w:fill="auto"/>
        <w:spacing w:before="0" w:line="240" w:lineRule="auto"/>
        <w:ind w:right="20"/>
        <w:jc w:val="left"/>
        <w:rPr>
          <w:sz w:val="24"/>
          <w:szCs w:val="24"/>
        </w:rPr>
      </w:pPr>
      <w:bookmarkStart w:id="0" w:name="bookmark5"/>
      <w:r w:rsidRPr="00191AA5">
        <w:rPr>
          <w:sz w:val="24"/>
        </w:rPr>
        <w:t>3. PAMĀCĪBA PAR AIZDOMĀS TURĒTĀ TIESĪBĀM UN PIENĀKUMIEM KRIMINĀLPROCESĀ</w:t>
      </w:r>
      <w:bookmarkEnd w:id="0"/>
    </w:p>
    <w:p w14:paraId="09B94BD1" w14:textId="77777777" w:rsidR="00EF4954" w:rsidRPr="00191AA5" w:rsidRDefault="00EF4954" w:rsidP="00EF4954">
      <w:pPr>
        <w:pStyle w:val="Nagwek40"/>
        <w:keepNext/>
        <w:keepLines/>
        <w:shd w:val="clear" w:color="auto" w:fill="auto"/>
        <w:spacing w:before="0" w:line="240" w:lineRule="auto"/>
        <w:ind w:right="20"/>
        <w:jc w:val="both"/>
        <w:rPr>
          <w:b w:val="0"/>
          <w:i/>
          <w:sz w:val="24"/>
          <w:szCs w:val="24"/>
        </w:rPr>
      </w:pPr>
    </w:p>
    <w:p w14:paraId="249E35DE" w14:textId="77777777" w:rsidR="00EF4954" w:rsidRPr="00191AA5" w:rsidRDefault="00EF4954" w:rsidP="00EF4954">
      <w:pPr>
        <w:pStyle w:val="Nagwek40"/>
        <w:keepNext/>
        <w:keepLines/>
        <w:shd w:val="clear" w:color="auto" w:fill="auto"/>
        <w:spacing w:before="0" w:line="240" w:lineRule="auto"/>
        <w:ind w:right="20"/>
        <w:jc w:val="both"/>
        <w:rPr>
          <w:b w:val="0"/>
          <w:i/>
          <w:sz w:val="24"/>
          <w:szCs w:val="24"/>
        </w:rPr>
      </w:pPr>
      <w:r w:rsidRPr="00191AA5">
        <w:rPr>
          <w:b w:val="0"/>
          <w:i/>
          <w:sz w:val="24"/>
        </w:rPr>
        <w:t>Avots: Tieslietu ministra 2020. gada 14. septembra noteikumi (1618. pozīcija)</w:t>
      </w:r>
    </w:p>
    <w:p w14:paraId="64854E2D" w14:textId="77777777" w:rsidR="00EF4954" w:rsidRPr="00191AA5" w:rsidRDefault="00EF4954" w:rsidP="00EF4954">
      <w:pPr>
        <w:pStyle w:val="Nagwek40"/>
        <w:keepNext/>
        <w:keepLines/>
        <w:shd w:val="clear" w:color="auto" w:fill="auto"/>
        <w:spacing w:before="0" w:line="240" w:lineRule="auto"/>
        <w:ind w:right="20"/>
        <w:jc w:val="both"/>
        <w:rPr>
          <w:b w:val="0"/>
          <w:i/>
          <w:sz w:val="24"/>
          <w:szCs w:val="24"/>
        </w:rPr>
      </w:pPr>
    </w:p>
    <w:p w14:paraId="69150DF4" w14:textId="77777777" w:rsidR="007F544F" w:rsidRPr="00191AA5" w:rsidRDefault="00152655" w:rsidP="00EF4954">
      <w:pPr>
        <w:pStyle w:val="Teksttreci0"/>
        <w:shd w:val="clear" w:color="auto" w:fill="auto"/>
        <w:spacing w:after="0" w:line="240" w:lineRule="auto"/>
        <w:ind w:left="780" w:hanging="360"/>
        <w:jc w:val="both"/>
        <w:rPr>
          <w:sz w:val="24"/>
          <w:szCs w:val="24"/>
        </w:rPr>
      </w:pPr>
      <w:r w:rsidRPr="00191AA5">
        <w:rPr>
          <w:sz w:val="24"/>
        </w:rPr>
        <w:t>Kā aizdomās turētajam kriminālprocesā Tev ir šādas tiesības:</w:t>
      </w:r>
    </w:p>
    <w:p w14:paraId="67C54246" w14:textId="77777777" w:rsidR="007F544F" w:rsidRPr="00191AA5" w:rsidRDefault="00152655" w:rsidP="00EF4954">
      <w:pPr>
        <w:pStyle w:val="Nagwek40"/>
        <w:keepNext/>
        <w:keepLines/>
        <w:numPr>
          <w:ilvl w:val="0"/>
          <w:numId w:val="1"/>
        </w:numPr>
        <w:shd w:val="clear" w:color="auto" w:fill="auto"/>
        <w:tabs>
          <w:tab w:val="left" w:pos="403"/>
        </w:tabs>
        <w:spacing w:before="0" w:line="240" w:lineRule="auto"/>
        <w:jc w:val="left"/>
        <w:rPr>
          <w:sz w:val="24"/>
          <w:szCs w:val="24"/>
        </w:rPr>
      </w:pPr>
      <w:bookmarkStart w:id="1" w:name="bookmark6"/>
      <w:r w:rsidRPr="00191AA5">
        <w:rPr>
          <w:sz w:val="24"/>
        </w:rPr>
        <w:t>Paskaidrojumi</w:t>
      </w:r>
      <w:bookmarkEnd w:id="1"/>
    </w:p>
    <w:p w14:paraId="158C6235"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Nopratināšanas laikā Tu vari sniegt paskaidrojumus vai atteikties sniegt paskaidrojumus, vai atteikties atbildēt uz atsevišķiem jautājumiem bez nepieciešamības norādīt atteikuma iemeslus (175. panta pirmā daļa)</w:t>
      </w:r>
      <w:r w:rsidR="00EF4954" w:rsidRPr="00191AA5">
        <w:rPr>
          <w:rStyle w:val="Odwoanieprzypisudolnego"/>
          <w:sz w:val="24"/>
          <w:szCs w:val="24"/>
        </w:rPr>
        <w:footnoteReference w:id="1"/>
      </w:r>
      <w:r w:rsidRPr="00191AA5">
        <w:rPr>
          <w:sz w:val="24"/>
        </w:rPr>
        <w:t>.</w:t>
      </w:r>
    </w:p>
    <w:p w14:paraId="45A03883" w14:textId="03509FDA" w:rsidR="007F544F" w:rsidRPr="00191AA5" w:rsidRDefault="00191AA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Pr>
          <w:sz w:val="24"/>
        </w:rPr>
        <w:t>U</w:t>
      </w:r>
      <w:r w:rsidR="00152655" w:rsidRPr="00191AA5">
        <w:rPr>
          <w:sz w:val="24"/>
        </w:rPr>
        <w:t xml:space="preserve">z Tava vai Tava aizstāvja lūguma pamata </w:t>
      </w:r>
      <w:r>
        <w:rPr>
          <w:sz w:val="24"/>
        </w:rPr>
        <w:t>n</w:t>
      </w:r>
      <w:r w:rsidRPr="00191AA5">
        <w:rPr>
          <w:sz w:val="24"/>
        </w:rPr>
        <w:t xml:space="preserve">opratināšanas laikā </w:t>
      </w:r>
      <w:r w:rsidR="00152655" w:rsidRPr="00191AA5">
        <w:rPr>
          <w:sz w:val="24"/>
        </w:rPr>
        <w:t>Tu vari sniegt paskaidrojumus arī rakstiski, tomēr tajā laikā Tu nevari kontaktēties ar citām personām. Svarīgu iemeslu dēļ nopratinātājs var atteikt rakstisku paskaidrojumu iesniegšanu šādā veidā (176. panta pirmā un otrā daļa).</w:t>
      </w:r>
    </w:p>
    <w:p w14:paraId="2EA4C857" w14:textId="1EEC0C64"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Tu būsi klātesošs/klātesoša pie pierādījumu pārbaud</w:t>
      </w:r>
      <w:r w:rsidR="00191AA5">
        <w:rPr>
          <w:sz w:val="24"/>
        </w:rPr>
        <w:t>es</w:t>
      </w:r>
      <w:r w:rsidRPr="00191AA5">
        <w:rPr>
          <w:sz w:val="24"/>
        </w:rPr>
        <w:t>, Tu vari iesniegt paskaidrojumus par katru pierādījumu (175. panta otrā daļa).</w:t>
      </w:r>
    </w:p>
    <w:p w14:paraId="02A687C7" w14:textId="77777777" w:rsidR="007F544F" w:rsidRPr="00191AA5" w:rsidRDefault="00152655" w:rsidP="00EF4954">
      <w:pPr>
        <w:pStyle w:val="Nagwek40"/>
        <w:keepNext/>
        <w:keepLines/>
        <w:numPr>
          <w:ilvl w:val="1"/>
          <w:numId w:val="2"/>
        </w:numPr>
        <w:shd w:val="clear" w:color="auto" w:fill="auto"/>
        <w:tabs>
          <w:tab w:val="left" w:pos="413"/>
        </w:tabs>
        <w:spacing w:before="0" w:line="240" w:lineRule="auto"/>
        <w:jc w:val="left"/>
        <w:rPr>
          <w:sz w:val="24"/>
          <w:szCs w:val="24"/>
        </w:rPr>
      </w:pPr>
      <w:bookmarkStart w:id="2" w:name="bookmark7"/>
      <w:r w:rsidRPr="00191AA5">
        <w:rPr>
          <w:sz w:val="24"/>
        </w:rPr>
        <w:t>Juridiskā palīdzība</w:t>
      </w:r>
      <w:bookmarkEnd w:id="2"/>
    </w:p>
    <w:p w14:paraId="49B38C6C" w14:textId="4574AEE1"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Tev ir tiesības izmantot sevis izvēlēta aizstāvja palīdzību. Tev nevar būt vairāk kā trīs aizstāvj</w:t>
      </w:r>
      <w:r w:rsidR="005F2B93">
        <w:rPr>
          <w:sz w:val="24"/>
        </w:rPr>
        <w:t>i</w:t>
      </w:r>
      <w:r w:rsidRPr="00191AA5">
        <w:rPr>
          <w:sz w:val="24"/>
        </w:rPr>
        <w:t xml:space="preserve"> vienlaicīgi (77. pants).</w:t>
      </w:r>
    </w:p>
    <w:p w14:paraId="081EEEBF" w14:textId="478753DA"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 xml:space="preserve">Ja Tu esi pagaidu apcietinājumā, Tu vari kontaktēties ar aizstāvi bez citu personu klātbūtnes vai ar korespondences palīdzību. Īpaši pamatotos gadījumos, ja tas ir nepieciešams pirmstiesas procesa </w:t>
      </w:r>
      <w:r w:rsidR="005F2B93">
        <w:rPr>
          <w:sz w:val="24"/>
        </w:rPr>
        <w:t>interesēs</w:t>
      </w:r>
      <w:r w:rsidRPr="00191AA5">
        <w:rPr>
          <w:sz w:val="24"/>
        </w:rPr>
        <w:t>, prokurors var noteikt, ka pats vai tā pilnvarota persona būs pie tā klātesošs. Tādu pašu iemeslu dēļ prokurors var arī noteikt Tavas korespondences ar aizstāvi kontroli. Š</w:t>
      </w:r>
      <w:r w:rsidR="005F2B93">
        <w:rPr>
          <w:sz w:val="24"/>
        </w:rPr>
        <w:t>ie</w:t>
      </w:r>
      <w:r w:rsidRPr="00191AA5">
        <w:rPr>
          <w:sz w:val="24"/>
        </w:rPr>
        <w:t xml:space="preserve"> nosacījumi nevar tikt uzturēti spēkā vai piemēroti pēc 14 dienu termiņa beigām no pagaidu apcietināšanas dienas (73. pants).</w:t>
      </w:r>
    </w:p>
    <w:p w14:paraId="25B9C1E5"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Tu pierādīsi, ka Tu nevari atļauties aizstāvi (Tu nevari segt sevis izvēlēta aizstāvja izdevumus bez kaitējuma sevis un ģimenes uzturēšanai), tiesa uz Tava pieteikuma pamata var iecelt nodrošināto aizstāvi, arī atsevišķas procesuālās darbības izpildei (78. pants).</w:t>
      </w:r>
    </w:p>
    <w:p w14:paraId="625043FC" w14:textId="00F3F20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Lūgumu par nodrošinātā aizstāvja iecelšanu tiesu procesā Tu vari iesniegt 7 dienu laikā no apsūdzības raksta noraksta paziņošanas Tev dienas. Ja lūgumu Tu iesniegsi pēc šī termiņa vai Tu tam nepievienosi pierādījumus, ar kuru palīdzību pierādīsi, ka nevari segt aizstāvības izdevumus, tas var izraisīt lūguma izskatīšanu pēc tiesas sēdes termiņa (338.b panta pirmā un otrā daļa).</w:t>
      </w:r>
    </w:p>
    <w:p w14:paraId="3C4CF390"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Lūgums par nodrošinātā aizstāvja iecelšanu pēc pirmās tiesas sēdes datuma Tev ir jāiesniedz tādā termiņā, lai tā izskatīšana neizraisītu nākamās tiesas sēdes termiņa maiņu (338.b panta trešā daļa).</w:t>
      </w:r>
    </w:p>
    <w:p w14:paraId="6F28AD0F"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Tu vari lūgt, lai Tavā nopratināšanā piedalās ieceltais aizstāvis. Tomēr aizstāvja neierašanās nekavē nopratināšanu (301. pants).</w:t>
      </w:r>
    </w:p>
    <w:p w14:paraId="0683F8D0"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Notiesāšanas vai kriminālprocesa nosacītas izbeigšanas gadījumā Tev var uzlikt pienākumu segt nodrošinātā aizstāvja izdevumus (627. un 629. pants).</w:t>
      </w:r>
    </w:p>
    <w:p w14:paraId="0FECE775" w14:textId="77777777" w:rsidR="007F544F" w:rsidRPr="00191AA5" w:rsidRDefault="00152655" w:rsidP="00EF4954">
      <w:pPr>
        <w:pStyle w:val="Nagwek40"/>
        <w:keepNext/>
        <w:keepLines/>
        <w:numPr>
          <w:ilvl w:val="0"/>
          <w:numId w:val="3"/>
        </w:numPr>
        <w:shd w:val="clear" w:color="auto" w:fill="auto"/>
        <w:tabs>
          <w:tab w:val="left" w:pos="418"/>
        </w:tabs>
        <w:spacing w:before="0" w:line="240" w:lineRule="auto"/>
        <w:jc w:val="left"/>
        <w:rPr>
          <w:sz w:val="24"/>
          <w:szCs w:val="24"/>
        </w:rPr>
      </w:pPr>
      <w:bookmarkStart w:id="3" w:name="bookmark8"/>
      <w:r w:rsidRPr="00191AA5">
        <w:rPr>
          <w:sz w:val="24"/>
        </w:rPr>
        <w:t>Neierašanās attaisnošana</w:t>
      </w:r>
      <w:bookmarkEnd w:id="3"/>
    </w:p>
    <w:p w14:paraId="3284DC78" w14:textId="5F5803A7" w:rsidR="007F544F" w:rsidRPr="00191AA5" w:rsidRDefault="00152655" w:rsidP="004A3F6B">
      <w:pPr>
        <w:pStyle w:val="Teksttreci0"/>
        <w:shd w:val="clear" w:color="auto" w:fill="auto"/>
        <w:spacing w:after="0" w:line="240" w:lineRule="auto"/>
        <w:ind w:right="20" w:firstLine="0"/>
        <w:jc w:val="both"/>
        <w:rPr>
          <w:sz w:val="24"/>
          <w:szCs w:val="24"/>
        </w:rPr>
      </w:pPr>
      <w:r w:rsidRPr="00191AA5">
        <w:rPr>
          <w:sz w:val="24"/>
        </w:rPr>
        <w:t>Gadījumā, ja Tu esi uzaicināts/uzaicināta ierasties personīgi, neierašanās slimības dēļ attaisnošana</w:t>
      </w:r>
      <w:r w:rsidR="004A3F6B">
        <w:rPr>
          <w:sz w:val="24"/>
          <w:szCs w:val="24"/>
        </w:rPr>
        <w:t xml:space="preserve"> </w:t>
      </w:r>
      <w:r w:rsidRPr="00191AA5">
        <w:rPr>
          <w:sz w:val="24"/>
        </w:rPr>
        <w:t>ir iespējama tikai, iesniedzot tiesu ārsta izdotu izziņu.</w:t>
      </w:r>
    </w:p>
    <w:p w14:paraId="2E0AB49F" w14:textId="77777777" w:rsidR="007F544F" w:rsidRPr="00191AA5" w:rsidRDefault="00152655" w:rsidP="004A3F6B">
      <w:pPr>
        <w:pStyle w:val="Teksttreci0"/>
        <w:shd w:val="clear" w:color="auto" w:fill="auto"/>
        <w:spacing w:after="0" w:line="240" w:lineRule="auto"/>
        <w:ind w:firstLine="0"/>
        <w:jc w:val="both"/>
        <w:rPr>
          <w:sz w:val="24"/>
          <w:szCs w:val="24"/>
        </w:rPr>
      </w:pPr>
      <w:r w:rsidRPr="00191AA5">
        <w:rPr>
          <w:sz w:val="24"/>
        </w:rPr>
        <w:t>Cita izziņa vai atbrīvojums nav pietiekams (117. panta 2.a daļa).</w:t>
      </w:r>
    </w:p>
    <w:p w14:paraId="6BC0071C" w14:textId="77777777" w:rsidR="007F544F" w:rsidRPr="00191AA5" w:rsidRDefault="00152655" w:rsidP="00EF4954">
      <w:pPr>
        <w:pStyle w:val="Nagwek40"/>
        <w:keepNext/>
        <w:keepLines/>
        <w:numPr>
          <w:ilvl w:val="0"/>
          <w:numId w:val="3"/>
        </w:numPr>
        <w:shd w:val="clear" w:color="auto" w:fill="auto"/>
        <w:tabs>
          <w:tab w:val="left" w:pos="418"/>
        </w:tabs>
        <w:spacing w:before="0" w:line="240" w:lineRule="auto"/>
        <w:jc w:val="left"/>
        <w:rPr>
          <w:sz w:val="24"/>
          <w:szCs w:val="24"/>
        </w:rPr>
      </w:pPr>
      <w:bookmarkStart w:id="4" w:name="bookmark9"/>
      <w:r w:rsidRPr="00191AA5">
        <w:rPr>
          <w:sz w:val="24"/>
        </w:rPr>
        <w:t>Tulka palīdzības izmantošana</w:t>
      </w:r>
      <w:bookmarkEnd w:id="4"/>
    </w:p>
    <w:p w14:paraId="40DDA4B9"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Tu pietiekamā līmenī nezini poļu valodu, Tev ir tiesības izmantot bezmaksas tulka palīdzību. Uz Tava vai Tava aizstāvja pieteikuma pamata tulks tiks pieaicināts, lai kontaktētos ar aizstāvi sakarā ar darbību, kurā tev ir tiesības piedalīties (72. panta pirmā un otrā daļa).</w:t>
      </w:r>
    </w:p>
    <w:p w14:paraId="1205283F"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 xml:space="preserve">Ja Tu pietiekamā līmenī nezini poļu valodu, Tu saņemsi tulkojumu kopā ar lēmumu par saukšanu pie kriminālatbildības, lēmumu, ar ko papildina vai groza lēmumu par saukšanu pie kriminālatbildības, apsūdzības rakstu, kā arī nolēmumu, kas ir pārsūdzams vai kas izbeidz </w:t>
      </w:r>
      <w:r w:rsidRPr="00191AA5">
        <w:rPr>
          <w:sz w:val="24"/>
        </w:rPr>
        <w:lastRenderedPageBreak/>
        <w:t>procesu. Ja Tu piekritīsi, procesa virzītājs var Tev paziņot tikai iztulkotu nolēmumu, ar ko izbeidz procesu, ja tas nav pārsūdzams (72. panta trešā daļa).</w:t>
      </w:r>
    </w:p>
    <w:p w14:paraId="6AE5C6F6" w14:textId="77777777" w:rsidR="007F544F" w:rsidRPr="00191AA5" w:rsidRDefault="00152655" w:rsidP="00EF4954">
      <w:pPr>
        <w:pStyle w:val="Nagwek40"/>
        <w:keepNext/>
        <w:keepLines/>
        <w:numPr>
          <w:ilvl w:val="0"/>
          <w:numId w:val="3"/>
        </w:numPr>
        <w:shd w:val="clear" w:color="auto" w:fill="auto"/>
        <w:tabs>
          <w:tab w:val="left" w:pos="418"/>
        </w:tabs>
        <w:spacing w:before="0" w:line="240" w:lineRule="auto"/>
        <w:jc w:val="left"/>
        <w:rPr>
          <w:sz w:val="24"/>
          <w:szCs w:val="24"/>
        </w:rPr>
      </w:pPr>
      <w:bookmarkStart w:id="5" w:name="bookmark10"/>
      <w:r w:rsidRPr="00191AA5">
        <w:rPr>
          <w:sz w:val="24"/>
        </w:rPr>
        <w:t>Informācija par apsūdzības saturu</w:t>
      </w:r>
      <w:bookmarkEnd w:id="5"/>
    </w:p>
    <w:p w14:paraId="0C0EAF8D"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Tev ir tiesības saņemt informāciju, par ko Tu tiec turēts/turēta aizdomās: par apsūdzības saturu, tās papildināšanu un grozījumiem, kā arī par Tev uzturētās apsūdzības juridisko kvalifikāciju (313. panta pirmā daļa, 314. pants, 325.g panta otrā daļa un 308. pants).</w:t>
      </w:r>
    </w:p>
    <w:p w14:paraId="2A716228" w14:textId="3CDF6D53"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 xml:space="preserve">Līdz iepazīšanās ar procesa materiāliem termiņa paziņošanai Tev ir tiesības iesniegt pieteikumu ar lūgumu mutiski sniegt apsūdzības pamatojumu, kā arī </w:t>
      </w:r>
      <w:r w:rsidR="004A3F6B">
        <w:rPr>
          <w:sz w:val="24"/>
        </w:rPr>
        <w:t xml:space="preserve">rakstiski sagatavot </w:t>
      </w:r>
      <w:r w:rsidRPr="00191AA5">
        <w:rPr>
          <w:sz w:val="24"/>
        </w:rPr>
        <w:t>pamatoju</w:t>
      </w:r>
      <w:r w:rsidR="004A3F6B">
        <w:rPr>
          <w:sz w:val="24"/>
        </w:rPr>
        <w:t>mu</w:t>
      </w:r>
      <w:r w:rsidRPr="00191AA5">
        <w:rPr>
          <w:sz w:val="24"/>
        </w:rPr>
        <w:t xml:space="preserve"> 14 dienu laikā (313. panta trešā daļa).</w:t>
      </w:r>
    </w:p>
    <w:p w14:paraId="5ACF5945" w14:textId="77777777" w:rsidR="007F544F" w:rsidRPr="00191AA5" w:rsidRDefault="00152655" w:rsidP="00EF4954">
      <w:pPr>
        <w:pStyle w:val="Nagwek40"/>
        <w:keepNext/>
        <w:keepLines/>
        <w:numPr>
          <w:ilvl w:val="0"/>
          <w:numId w:val="3"/>
        </w:numPr>
        <w:shd w:val="clear" w:color="auto" w:fill="auto"/>
        <w:tabs>
          <w:tab w:val="left" w:pos="413"/>
        </w:tabs>
        <w:spacing w:before="0" w:line="240" w:lineRule="auto"/>
        <w:jc w:val="left"/>
        <w:rPr>
          <w:sz w:val="24"/>
          <w:szCs w:val="24"/>
        </w:rPr>
      </w:pPr>
      <w:bookmarkStart w:id="6" w:name="bookmark11"/>
      <w:r w:rsidRPr="00191AA5">
        <w:rPr>
          <w:sz w:val="24"/>
        </w:rPr>
        <w:t>Pierādījumu pieteikšana un dalība darbībās</w:t>
      </w:r>
      <w:bookmarkEnd w:id="6"/>
    </w:p>
    <w:p w14:paraId="5FA08382"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Tu vari iesniegt pieteikumu par darbības veikšanu procesā, piem., liecinieka nopratināšanu, dokumenta iegūšanu, eksperta slēdziena pieņemšanu (315. panta pirmā daļa).</w:t>
      </w:r>
    </w:p>
    <w:p w14:paraId="2BE1EB18"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hanging="360"/>
        <w:jc w:val="both"/>
        <w:rPr>
          <w:sz w:val="24"/>
          <w:szCs w:val="24"/>
        </w:rPr>
      </w:pPr>
      <w:r w:rsidRPr="00191AA5">
        <w:rPr>
          <w:sz w:val="24"/>
        </w:rPr>
        <w:t>Tavs pieteikums netiks apmierināts, ja (170. panta pirmā daļa):</w:t>
      </w:r>
    </w:p>
    <w:p w14:paraId="1504BB88" w14:textId="77777777" w:rsidR="007F544F" w:rsidRPr="00191AA5" w:rsidRDefault="00152655" w:rsidP="00EF4954">
      <w:pPr>
        <w:pStyle w:val="Teksttreci0"/>
        <w:numPr>
          <w:ilvl w:val="0"/>
          <w:numId w:val="4"/>
        </w:numPr>
        <w:shd w:val="clear" w:color="auto" w:fill="auto"/>
        <w:tabs>
          <w:tab w:val="left" w:pos="1064"/>
        </w:tabs>
        <w:spacing w:after="0" w:line="240" w:lineRule="auto"/>
        <w:ind w:left="1080" w:hanging="280"/>
        <w:jc w:val="both"/>
        <w:rPr>
          <w:sz w:val="24"/>
          <w:szCs w:val="24"/>
        </w:rPr>
      </w:pPr>
      <w:r w:rsidRPr="00191AA5">
        <w:rPr>
          <w:sz w:val="24"/>
        </w:rPr>
        <w:t>pierādījuma pārbaudīšana ir nepieļaujama,</w:t>
      </w:r>
    </w:p>
    <w:p w14:paraId="719B12A4" w14:textId="77777777" w:rsidR="007F544F" w:rsidRPr="00191AA5" w:rsidRDefault="00152655" w:rsidP="00EF4954">
      <w:pPr>
        <w:pStyle w:val="Teksttreci0"/>
        <w:numPr>
          <w:ilvl w:val="0"/>
          <w:numId w:val="4"/>
        </w:numPr>
        <w:shd w:val="clear" w:color="auto" w:fill="auto"/>
        <w:tabs>
          <w:tab w:val="left" w:pos="1069"/>
        </w:tabs>
        <w:spacing w:after="0" w:line="240" w:lineRule="auto"/>
        <w:ind w:left="1080" w:right="20" w:hanging="280"/>
        <w:jc w:val="both"/>
        <w:rPr>
          <w:sz w:val="24"/>
          <w:szCs w:val="24"/>
        </w:rPr>
      </w:pPr>
      <w:r w:rsidRPr="00191AA5">
        <w:rPr>
          <w:sz w:val="24"/>
        </w:rPr>
        <w:t>apstāklim, kas ir jāpierāda, nav nozīmes lietas izskatīšanā vai ir jau pierādīts saskaņā ar Taviem apgalvojumiem,</w:t>
      </w:r>
    </w:p>
    <w:p w14:paraId="65270D4B" w14:textId="77777777" w:rsidR="007F544F" w:rsidRPr="00191AA5" w:rsidRDefault="00152655" w:rsidP="00EF4954">
      <w:pPr>
        <w:pStyle w:val="Teksttreci0"/>
        <w:numPr>
          <w:ilvl w:val="0"/>
          <w:numId w:val="4"/>
        </w:numPr>
        <w:shd w:val="clear" w:color="auto" w:fill="auto"/>
        <w:tabs>
          <w:tab w:val="left" w:pos="1069"/>
        </w:tabs>
        <w:spacing w:after="0" w:line="240" w:lineRule="auto"/>
        <w:ind w:left="1080" w:hanging="280"/>
        <w:jc w:val="both"/>
        <w:rPr>
          <w:sz w:val="24"/>
          <w:szCs w:val="24"/>
        </w:rPr>
      </w:pPr>
      <w:r w:rsidRPr="00191AA5">
        <w:rPr>
          <w:sz w:val="24"/>
        </w:rPr>
        <w:t>pierādījums nav lietderīgs konkrētā apstākļa konstatēšanai,</w:t>
      </w:r>
    </w:p>
    <w:p w14:paraId="2635EFDB" w14:textId="77777777" w:rsidR="007F544F" w:rsidRPr="00191AA5" w:rsidRDefault="00152655" w:rsidP="00EF4954">
      <w:pPr>
        <w:pStyle w:val="Teksttreci0"/>
        <w:numPr>
          <w:ilvl w:val="0"/>
          <w:numId w:val="4"/>
        </w:numPr>
        <w:shd w:val="clear" w:color="auto" w:fill="auto"/>
        <w:tabs>
          <w:tab w:val="left" w:pos="1069"/>
        </w:tabs>
        <w:spacing w:after="0" w:line="240" w:lineRule="auto"/>
        <w:ind w:left="1080" w:hanging="280"/>
        <w:jc w:val="both"/>
        <w:rPr>
          <w:sz w:val="24"/>
          <w:szCs w:val="24"/>
        </w:rPr>
      </w:pPr>
      <w:r w:rsidRPr="00191AA5">
        <w:rPr>
          <w:sz w:val="24"/>
        </w:rPr>
        <w:t>pierādījumu nav iespējams pārbaudīt,</w:t>
      </w:r>
    </w:p>
    <w:p w14:paraId="7E3F76D4" w14:textId="77777777" w:rsidR="007F544F" w:rsidRPr="00191AA5" w:rsidRDefault="00152655" w:rsidP="00EF4954">
      <w:pPr>
        <w:pStyle w:val="Teksttreci0"/>
        <w:numPr>
          <w:ilvl w:val="0"/>
          <w:numId w:val="4"/>
        </w:numPr>
        <w:shd w:val="clear" w:color="auto" w:fill="auto"/>
        <w:tabs>
          <w:tab w:val="left" w:pos="1064"/>
        </w:tabs>
        <w:spacing w:after="0" w:line="240" w:lineRule="auto"/>
        <w:ind w:left="1080" w:right="20" w:hanging="280"/>
        <w:jc w:val="both"/>
        <w:rPr>
          <w:sz w:val="24"/>
          <w:szCs w:val="24"/>
        </w:rPr>
      </w:pPr>
      <w:r w:rsidRPr="00191AA5">
        <w:rPr>
          <w:sz w:val="24"/>
        </w:rPr>
        <w:t>pieteikums par darbības izpildi acīmredzamā veidā ir iesniegts, lai kavētu procesu, vai ir iesniegts pēc procesa virzītāja noteiktā termiņa, par kuru Tevi informēja.</w:t>
      </w:r>
    </w:p>
    <w:p w14:paraId="63BE8DC9"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Procesa virzītājs nevar atteikt Tev un Tavam aizstāvim dalību darbībā, ja Tu iesniedzi pieteikumu par tās izpildi (315. panta otrā daļa).</w:t>
      </w:r>
    </w:p>
    <w:p w14:paraId="20525214" w14:textId="38A4513D"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Tu vari lūgt atļaut Tev piedalīties citās procesa darbībās. Īpaši pamatotā gadījumā sakarā ar svarīgu procesa interesi, bet gadījumā, ja tev ir atņemta brīvība, kad T</w:t>
      </w:r>
      <w:r w:rsidR="004A3F6B">
        <w:rPr>
          <w:sz w:val="24"/>
        </w:rPr>
        <w:t>e</w:t>
      </w:r>
      <w:r w:rsidRPr="00191AA5">
        <w:rPr>
          <w:sz w:val="24"/>
        </w:rPr>
        <w:t>v</w:t>
      </w:r>
      <w:r w:rsidR="004A3F6B">
        <w:rPr>
          <w:sz w:val="24"/>
        </w:rPr>
        <w:t>is</w:t>
      </w:r>
      <w:r w:rsidRPr="00191AA5">
        <w:rPr>
          <w:sz w:val="24"/>
        </w:rPr>
        <w:t xml:space="preserve"> atvešana radītu nozīmīgas grūtības, prokurors Tev var atteikt dalību tajās darbībās (317. pants).</w:t>
      </w:r>
    </w:p>
    <w:p w14:paraId="11239EFD" w14:textId="3177B769"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procesa darbīb</w:t>
      </w:r>
      <w:r w:rsidR="004A3F6B">
        <w:rPr>
          <w:sz w:val="24"/>
        </w:rPr>
        <w:t>u</w:t>
      </w:r>
      <w:r w:rsidRPr="00191AA5">
        <w:rPr>
          <w:sz w:val="24"/>
        </w:rPr>
        <w:t xml:space="preserve"> nevarēs atkārtot, Tu un Tavs aizstāvis variet tajā piedalīties, ja vien nepastāvēs risks, ka pierādījums tika zaudēts vai bojāts nepamatotas kavēšanas gadījumā (316. panta pirmā daļa).</w:t>
      </w:r>
    </w:p>
    <w:p w14:paraId="1E96FB99"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pastāv aizdomas, ka liecinieku nevarēs nopratināt tiesas sēdē, Tu vari lūgt, lai to nopratina tiesa vai lūgt prokuroru, lai nodrošina liecinieka nopratināšanu tādā kārtībā (316. panta trešā daļa).</w:t>
      </w:r>
    </w:p>
    <w:p w14:paraId="213ECC17"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procesā tiks pieņemts pierādījums no eksperta slēdziena, Tu un Tavs aizstāvis variet piedalīties eksperta nopratināšanā un iepazīties ar tā slēdzienu, ja tas ir iesniegts rakstiski (318. pants).</w:t>
      </w:r>
    </w:p>
    <w:p w14:paraId="012847FB" w14:textId="77777777" w:rsidR="007F544F" w:rsidRPr="00191AA5" w:rsidRDefault="00152655" w:rsidP="00EF4954">
      <w:pPr>
        <w:pStyle w:val="Nagwek40"/>
        <w:keepNext/>
        <w:keepLines/>
        <w:numPr>
          <w:ilvl w:val="0"/>
          <w:numId w:val="3"/>
        </w:numPr>
        <w:shd w:val="clear" w:color="auto" w:fill="auto"/>
        <w:tabs>
          <w:tab w:val="left" w:pos="413"/>
        </w:tabs>
        <w:spacing w:before="0" w:line="240" w:lineRule="auto"/>
        <w:jc w:val="left"/>
        <w:rPr>
          <w:sz w:val="24"/>
          <w:szCs w:val="24"/>
        </w:rPr>
      </w:pPr>
      <w:bookmarkStart w:id="7" w:name="bookmark12"/>
      <w:r w:rsidRPr="00191AA5">
        <w:rPr>
          <w:sz w:val="24"/>
        </w:rPr>
        <w:t>Pieeja lietas materiāliem</w:t>
      </w:r>
      <w:bookmarkEnd w:id="7"/>
    </w:p>
    <w:p w14:paraId="015E0F73"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Tu vari lūgt pieeju lietas materiāliem, sagatavot no tiem norakstus un kopijas, arī pēc pirmstiesas procesa (izmeklēšanas) pabeigšanas. Pirmstiesas procesā Tev var atteikt pieeju materiāliem svarīgas valsts intereses vai procesa intereses dēļ. Materiālus var darīt pieejamus elektroniskā veidā (156. pants).</w:t>
      </w:r>
    </w:p>
    <w:p w14:paraId="10836927"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pirms lietas nodošanas tiesai ir iesniegts pieteikums par pagaidu apcietinājuma piemērošanu vai pagarināšanu attiecībā uz Tevi, gan Tev, gan Tavam aizstāvim tiek darīti pieejami lietas materiāli daļā, kādā tie satur pierādījumus, kas ir pievienoti pieteikumam. Ja pastāv pamatotas aizdomas par liecinieka vai viņa vistuvākās personas dzīvības, veselības vai brīvības apdraudējumu, šāda liecinieka liecības netiks Tev darītas pieejamas (156. panta 5.a daļa)</w:t>
      </w:r>
    </w:p>
    <w:p w14:paraId="1C65A8E4" w14:textId="77777777" w:rsidR="007F544F" w:rsidRPr="00191AA5" w:rsidRDefault="00152655" w:rsidP="00EF4954">
      <w:pPr>
        <w:pStyle w:val="Nagwek40"/>
        <w:keepNext/>
        <w:keepLines/>
        <w:numPr>
          <w:ilvl w:val="0"/>
          <w:numId w:val="3"/>
        </w:numPr>
        <w:shd w:val="clear" w:color="auto" w:fill="auto"/>
        <w:tabs>
          <w:tab w:val="left" w:pos="418"/>
        </w:tabs>
        <w:spacing w:before="0" w:line="240" w:lineRule="auto"/>
        <w:jc w:val="left"/>
        <w:rPr>
          <w:sz w:val="24"/>
          <w:szCs w:val="24"/>
        </w:rPr>
      </w:pPr>
      <w:bookmarkStart w:id="8" w:name="bookmark13"/>
      <w:r w:rsidRPr="00191AA5">
        <w:rPr>
          <w:sz w:val="24"/>
        </w:rPr>
        <w:t>Beigu iepazīšanās ar procesa materiāliem</w:t>
      </w:r>
      <w:bookmarkEnd w:id="8"/>
    </w:p>
    <w:p w14:paraId="030CE200" w14:textId="6049DBA9"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 xml:space="preserve">Tu vari lūgt iepazīstināt ar procesa materiāliem pirms </w:t>
      </w:r>
      <w:r w:rsidR="001C694A">
        <w:rPr>
          <w:sz w:val="24"/>
        </w:rPr>
        <w:t>procesa</w:t>
      </w:r>
      <w:r w:rsidRPr="00191AA5">
        <w:rPr>
          <w:sz w:val="24"/>
        </w:rPr>
        <w:t xml:space="preserve"> pabeigšanas. Šajā darbībā var piedalīties Tavs aizstāvis (321. panta pirmā un trešā daļa).</w:t>
      </w:r>
    </w:p>
    <w:p w14:paraId="2046C772"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3 dienu laikā no iepazīšanās ar procesa materiāliem datuma Tu vari iesniegt pieteikumu par procesa papildināšanu (321. panta piektā daļa).</w:t>
      </w:r>
    </w:p>
    <w:p w14:paraId="565E2D67"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Pirms beigu iepazīšanās ar procesa materiāliem Tev ir tiesības iepazīties ar materiāliem, kas var tikt darīti pieejami arī elektroniskā veidā (321. panta pirmā daļa).</w:t>
      </w:r>
    </w:p>
    <w:p w14:paraId="7600BE77" w14:textId="77777777" w:rsidR="007F544F" w:rsidRPr="00191AA5" w:rsidRDefault="00152655" w:rsidP="00EF4954">
      <w:pPr>
        <w:pStyle w:val="Nagwek40"/>
        <w:keepNext/>
        <w:keepLines/>
        <w:numPr>
          <w:ilvl w:val="0"/>
          <w:numId w:val="3"/>
        </w:numPr>
        <w:shd w:val="clear" w:color="auto" w:fill="auto"/>
        <w:tabs>
          <w:tab w:val="left" w:pos="413"/>
        </w:tabs>
        <w:spacing w:before="0" w:line="240" w:lineRule="auto"/>
        <w:jc w:val="left"/>
        <w:rPr>
          <w:sz w:val="24"/>
          <w:szCs w:val="24"/>
        </w:rPr>
      </w:pPr>
      <w:bookmarkStart w:id="9" w:name="bookmark14"/>
      <w:r w:rsidRPr="00191AA5">
        <w:rPr>
          <w:sz w:val="24"/>
        </w:rPr>
        <w:lastRenderedPageBreak/>
        <w:t>Mediācijas process</w:t>
      </w:r>
      <w:bookmarkEnd w:id="9"/>
    </w:p>
    <w:p w14:paraId="1597CEEC"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 xml:space="preserve">Tu vari lūgt, lai lieta tiktu virzīta uz mediācijas procesu, ar mērķi izlīgt ar cietušo un iespējami vienoties ar to par kaitējuma kompensācijas veidu (23.a panta pirmā daļa). Dalība mediācijas procesā ir brīvprātīga. Veiktās mediācijas rezultātus tiesa ņems vērā, lemjot par soda apmēru (1997. gada 6. jūnija likuma - Kriminālkodekss (2020. gada </w:t>
      </w:r>
      <w:r w:rsidRPr="00191AA5">
        <w:rPr>
          <w:i/>
          <w:iCs/>
          <w:sz w:val="24"/>
        </w:rPr>
        <w:t>Dz. U.</w:t>
      </w:r>
      <w:r w:rsidRPr="00191AA5">
        <w:rPr>
          <w:sz w:val="24"/>
        </w:rPr>
        <w:t>, 1444. un 1517. pozīcija) 53. panta trešā daļa).</w:t>
      </w:r>
    </w:p>
    <w:p w14:paraId="7BE9F897"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191AA5">
        <w:rPr>
          <w:sz w:val="24"/>
        </w:rPr>
        <w:t>Mediācijas procesu vada iecelts mediators, kuram ir pienākums neizpaust noslēpumu par mediācijas procesa norisi (178.a pants).</w:t>
      </w:r>
    </w:p>
    <w:p w14:paraId="59F2B649" w14:textId="77777777" w:rsidR="007F544F" w:rsidRPr="00191AA5" w:rsidRDefault="00152655" w:rsidP="00EF4954">
      <w:pPr>
        <w:pStyle w:val="Nagwek40"/>
        <w:keepNext/>
        <w:keepLines/>
        <w:numPr>
          <w:ilvl w:val="0"/>
          <w:numId w:val="3"/>
        </w:numPr>
        <w:shd w:val="clear" w:color="auto" w:fill="auto"/>
        <w:tabs>
          <w:tab w:val="left" w:pos="408"/>
        </w:tabs>
        <w:spacing w:before="0" w:line="240" w:lineRule="auto"/>
        <w:jc w:val="left"/>
        <w:rPr>
          <w:sz w:val="24"/>
          <w:szCs w:val="24"/>
        </w:rPr>
      </w:pPr>
      <w:bookmarkStart w:id="10" w:name="bookmark15"/>
      <w:r w:rsidRPr="00191AA5">
        <w:rPr>
          <w:sz w:val="24"/>
        </w:rPr>
        <w:t>Vienošanās par soda apmēru</w:t>
      </w:r>
      <w:bookmarkEnd w:id="10"/>
    </w:p>
    <w:p w14:paraId="4F47EB0E" w14:textId="2DC04DFF"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Gadījumā, ja brīvības atņemšanas soda par Tev uzturēto noziegumu minimālā robeža ir zemāka par 3 gadiem, pirms apsūdzības raksta iesniegšanas Tu vari vienoties ar prokuroru par ierosinājumu attiecībā uz sprieduma izdošanu un saskaņot</w:t>
      </w:r>
      <w:r w:rsidR="00611136">
        <w:rPr>
          <w:sz w:val="24"/>
        </w:rPr>
        <w:t>u</w:t>
      </w:r>
      <w:r w:rsidRPr="00191AA5">
        <w:rPr>
          <w:sz w:val="24"/>
        </w:rPr>
        <w:t xml:space="preserve"> sod</w:t>
      </w:r>
      <w:r w:rsidR="00611136">
        <w:rPr>
          <w:sz w:val="24"/>
        </w:rPr>
        <w:t>u</w:t>
      </w:r>
      <w:r w:rsidRPr="00191AA5">
        <w:rPr>
          <w:sz w:val="24"/>
        </w:rPr>
        <w:t xml:space="preserve"> un citu līdzekļu piemērošanu tiesā bez pierādījumu pārbaudes.  Tādā gadījumā Tev ir tiesības iepazīties ar lietas materiāliem (335. panta pirmā un trešā daļa). Prokurors var arī pievienot tādu ierosinājumu apsūdzības rakstam (335. panta otrā daļa). Tiesa var apmierināt ierosinājumu, ja cietušais tam neiebildīs (343. panta otrā daļa).</w:t>
      </w:r>
    </w:p>
    <w:p w14:paraId="15115E71" w14:textId="06039859"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Tev tiek uzturēta nozieguma izdarīšana, par ko draud brīvības atņemšanas sods, kas nepārsniedz 15 gadus, šādu ierosinājumu vari iesniegt patstāvīgi pirms paziņojuma par tiesas sēdes termiņu p</w:t>
      </w:r>
      <w:r w:rsidR="004258C2">
        <w:rPr>
          <w:sz w:val="24"/>
        </w:rPr>
        <w:t>aziņošanas</w:t>
      </w:r>
      <w:r w:rsidRPr="00191AA5">
        <w:rPr>
          <w:sz w:val="24"/>
        </w:rPr>
        <w:t xml:space="preserve"> Tev (338.a pants). Tiesa to var apmierināt tikai, ja prokurors un cietušais tam neiebildīs (343.a panta otrā daļa).</w:t>
      </w:r>
    </w:p>
    <w:p w14:paraId="5660CD2C" w14:textId="3BC338B8"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 xml:space="preserve">Ja Tev tiek uzturēta nozieguma izdarīšana, par ko draud brīvības atņemšanas sods, kas nepārsniedz 15 gadus, šādu ierosinājumu vari iesniegt arī tiesas sēdē, bet tikai līdz visu apsūdzēto pirmās nopratināšanas pabeigšanas brīdim. Ja Tev nav sevis izvēlēta aizstāvja, tiesa uz Tava pieteikuma pamata Tev </w:t>
      </w:r>
      <w:r w:rsidR="004258C2" w:rsidRPr="00191AA5">
        <w:rPr>
          <w:sz w:val="24"/>
        </w:rPr>
        <w:t>var</w:t>
      </w:r>
      <w:r w:rsidR="004258C2" w:rsidRPr="00191AA5">
        <w:rPr>
          <w:sz w:val="24"/>
        </w:rPr>
        <w:t xml:space="preserve"> </w:t>
      </w:r>
      <w:r w:rsidRPr="00191AA5">
        <w:rPr>
          <w:sz w:val="24"/>
        </w:rPr>
        <w:t>iecelt nodrošināto aizstāvi (387. panta pirmā daļa). Tiesa to var apmierināt tikai, ja prokurors un cietušais tam neiebildīs (387 panta otrā daļa).</w:t>
      </w:r>
    </w:p>
    <w:p w14:paraId="5AABECB2"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Tu iesniedzi šādus pieteikumus, tad apelācijas sūdzības pamatā nevar būt iebildumi par pārkāpumiem attiecībā uz kļūdu faktu konstatēšanā un soda, sodu līdzekļa, kompensācijas rupju neproporcionalitāti vai drošības līdzekļa, konfiskācijas vai cita līdzekļa nepamatotu piemērošanu vai nepiemērošanu, kas ir saistīti ar noslēgtās vienošanās saturu (447. panta piektā daļa).</w:t>
      </w:r>
    </w:p>
    <w:p w14:paraId="10A44F18" w14:textId="77777777" w:rsidR="007F544F" w:rsidRPr="00191AA5" w:rsidRDefault="00152655" w:rsidP="00EF4954">
      <w:pPr>
        <w:pStyle w:val="Nagwek40"/>
        <w:keepNext/>
        <w:keepLines/>
        <w:numPr>
          <w:ilvl w:val="0"/>
          <w:numId w:val="3"/>
        </w:numPr>
        <w:shd w:val="clear" w:color="auto" w:fill="auto"/>
        <w:tabs>
          <w:tab w:val="left" w:pos="408"/>
        </w:tabs>
        <w:spacing w:before="0" w:line="240" w:lineRule="auto"/>
        <w:jc w:val="left"/>
        <w:rPr>
          <w:sz w:val="24"/>
          <w:szCs w:val="24"/>
        </w:rPr>
      </w:pPr>
      <w:bookmarkStart w:id="11" w:name="bookmark16"/>
      <w:r w:rsidRPr="00191AA5">
        <w:rPr>
          <w:sz w:val="24"/>
        </w:rPr>
        <w:t>Dalība paātrinātajā procesā</w:t>
      </w:r>
      <w:bookmarkEnd w:id="11"/>
    </w:p>
    <w:p w14:paraId="0A7B0AD0" w14:textId="7605D158"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 xml:space="preserve">Ja paātrinātajā procesā Tu piedalīsies darbībās ar videokonferences palīdzību, policija Tev </w:t>
      </w:r>
      <w:r w:rsidR="00812406">
        <w:rPr>
          <w:sz w:val="24"/>
        </w:rPr>
        <w:t>piegādās</w:t>
      </w:r>
      <w:r w:rsidRPr="00191AA5">
        <w:rPr>
          <w:sz w:val="24"/>
        </w:rPr>
        <w:t xml:space="preserve"> pieteikuma par lietas izskatīšanu norakstu un darīs pieejamas pierādījumu materiāla dokumentu, kas ir nodotas tiesai, kopijas (517.b panta 2.a daļa un 517.e panta 1.a daļa).</w:t>
      </w:r>
    </w:p>
    <w:p w14:paraId="2D5A7ECB"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Tu piedalies procesā ar videokonferences palīdzību, tad vietā, kurā Tu uzturies, darbībā piedalās Tavs aizstāvis, ja tika iecelts, un tulks, ja nezini poļu valodu vai esi nedzirdīgs vai mēms, un nav pietiekama rakstiska sazināšanās, kā arī tad, ja vēstule, kas ir sagatavota svešvalodā ir jāiztulko poļu valodā vai otrādi, vai ja ir jāiepazīstas ar pārbaudīto pierādījumu (517.b panta 2.c un 2.d daļa).</w:t>
      </w:r>
    </w:p>
    <w:p w14:paraId="03BEF230"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Ja Tu piedalies procesā ar videokonferences palīdzību, Tu vari iesniegt pieteikumus un apliecinājumus, kā arī veikt procesuālās darbības tikai mutiski protokolā. Tiesa Tevi informēs par visu procesuālo vēstuļu, kas ir saņemtas lietā no pieteikuma par lietas izskatīšanu iesniegšanas brīža, saturu. Ja to lūgsi, tiesa nolasīs to saturu. Procesuālās vēstules, kuras nevarēja iesniegt tiesā, var nolasīt tiesas sēdē (517.ea pirmā un otrā daļa).</w:t>
      </w:r>
    </w:p>
    <w:p w14:paraId="4F5DD701" w14:textId="77777777" w:rsidR="007F544F" w:rsidRPr="00191AA5"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191AA5">
        <w:rPr>
          <w:sz w:val="24"/>
        </w:rPr>
        <w:t>Paātrinātajā procesā 3 dienu laikā no sprieduma pasludināšanas vai tā paziņošanas (ja likums paredz tā paziņošanu) dienas Tu vari iesniegt pieteikumu par sprieduma pamatojuma rakstisku sagatavošanu un paziņošanu. Pieteikumu vari iesniegt arī mutiski tiesas sēdes protokolā (517.h panta pirmā daļa).</w:t>
      </w:r>
    </w:p>
    <w:p w14:paraId="5E0E2AB6" w14:textId="77777777" w:rsidR="007F544F" w:rsidRPr="00191AA5" w:rsidRDefault="00152655" w:rsidP="00EF4954">
      <w:pPr>
        <w:pStyle w:val="Teksttreci0"/>
        <w:numPr>
          <w:ilvl w:val="0"/>
          <w:numId w:val="2"/>
        </w:numPr>
        <w:shd w:val="clear" w:color="auto" w:fill="auto"/>
        <w:tabs>
          <w:tab w:val="left" w:pos="780"/>
        </w:tabs>
        <w:spacing w:after="0" w:line="240" w:lineRule="auto"/>
        <w:ind w:left="780" w:hanging="360"/>
        <w:jc w:val="both"/>
        <w:rPr>
          <w:sz w:val="24"/>
          <w:szCs w:val="24"/>
        </w:rPr>
      </w:pPr>
      <w:r w:rsidRPr="00191AA5">
        <w:rPr>
          <w:sz w:val="24"/>
        </w:rPr>
        <w:t>Tev ir 7 dienas no sprieduma ar pamatojumu paziņošanas dienas, lai iespējami iesniegtu apelācijas sūdzību (517.h panta trešā daļa).</w:t>
      </w:r>
    </w:p>
    <w:p w14:paraId="608970CA" w14:textId="77777777" w:rsidR="007F544F" w:rsidRPr="00191AA5" w:rsidRDefault="00152655" w:rsidP="00EF4954">
      <w:pPr>
        <w:pStyle w:val="Teksttreci0"/>
        <w:shd w:val="clear" w:color="auto" w:fill="auto"/>
        <w:spacing w:after="0" w:line="240" w:lineRule="auto"/>
        <w:ind w:left="20" w:firstLine="420"/>
        <w:jc w:val="both"/>
        <w:rPr>
          <w:sz w:val="24"/>
          <w:szCs w:val="24"/>
        </w:rPr>
      </w:pPr>
      <w:r w:rsidRPr="00191AA5">
        <w:rPr>
          <w:sz w:val="24"/>
        </w:rPr>
        <w:t>Ja Tu esi aizdomās turētais kriminālprocesā, Tev ir šādi pienākumi:</w:t>
      </w:r>
    </w:p>
    <w:p w14:paraId="13B8EC12" w14:textId="77777777" w:rsidR="007F544F" w:rsidRPr="00191AA5" w:rsidRDefault="00152655" w:rsidP="00EF4954">
      <w:pPr>
        <w:pStyle w:val="Teksttreci0"/>
        <w:shd w:val="clear" w:color="auto" w:fill="auto"/>
        <w:spacing w:after="0" w:line="240" w:lineRule="auto"/>
        <w:ind w:left="20" w:right="20" w:firstLine="420"/>
        <w:jc w:val="both"/>
        <w:rPr>
          <w:sz w:val="24"/>
          <w:szCs w:val="24"/>
        </w:rPr>
      </w:pPr>
      <w:r w:rsidRPr="00191AA5">
        <w:rPr>
          <w:sz w:val="24"/>
        </w:rPr>
        <w:t>Tev nav pienākuma pierādīt savu nevainību, kā arī pienākuma iesniegt pierādījumus sev par sliktu (74. panta pirmā daļa). Tomēr Tev ir pienākums ļaut veikt:</w:t>
      </w:r>
    </w:p>
    <w:p w14:paraId="38453D97" w14:textId="77777777" w:rsidR="007F544F" w:rsidRPr="00191AA5" w:rsidRDefault="00152655" w:rsidP="00EF4954">
      <w:pPr>
        <w:pStyle w:val="Teksttreci0"/>
        <w:numPr>
          <w:ilvl w:val="0"/>
          <w:numId w:val="5"/>
        </w:numPr>
        <w:shd w:val="clear" w:color="auto" w:fill="auto"/>
        <w:tabs>
          <w:tab w:val="left" w:pos="418"/>
        </w:tabs>
        <w:spacing w:after="0" w:line="240" w:lineRule="auto"/>
        <w:ind w:left="440" w:right="20"/>
        <w:jc w:val="both"/>
        <w:rPr>
          <w:sz w:val="24"/>
          <w:szCs w:val="24"/>
        </w:rPr>
      </w:pPr>
      <w:r w:rsidRPr="00191AA5">
        <w:rPr>
          <w:sz w:val="24"/>
        </w:rPr>
        <w:lastRenderedPageBreak/>
        <w:t>ķermeņa apskati un pārbaudes, kas nav saistītas ar ķermeņa integritātes aizskaršanu, pirkstu nospiedumu izņemšanu, fotografēšanu un uzrādīšanu citām personām (74. panta otrās daļas 1. punkts);</w:t>
      </w:r>
    </w:p>
    <w:p w14:paraId="53589588" w14:textId="77777777" w:rsidR="007F544F" w:rsidRPr="00191AA5" w:rsidRDefault="00152655" w:rsidP="00EF4954">
      <w:pPr>
        <w:pStyle w:val="Teksttreci0"/>
        <w:numPr>
          <w:ilvl w:val="0"/>
          <w:numId w:val="5"/>
        </w:numPr>
        <w:shd w:val="clear" w:color="auto" w:fill="auto"/>
        <w:tabs>
          <w:tab w:val="left" w:pos="428"/>
        </w:tabs>
        <w:spacing w:after="0" w:line="240" w:lineRule="auto"/>
        <w:ind w:left="440" w:right="20"/>
        <w:jc w:val="both"/>
        <w:rPr>
          <w:sz w:val="24"/>
          <w:szCs w:val="24"/>
        </w:rPr>
      </w:pPr>
      <w:r w:rsidRPr="00191AA5">
        <w:rPr>
          <w:sz w:val="24"/>
        </w:rPr>
        <w:t>psiholoģiskās un psihiatriskās pārbaudes, kā arī pārbaudes, kas apvienotas ar procedūrām uz ķermeņa, izņemot ķirurģiskām, ar nosacījumu, ka tās neapdraud veselību, ja šādu pārbaužu veikšana ir nepieciešama (jo īpaši asins, matu vai ķermeņa sekrēta, piemēram, siekalu analīzes veikšanu); pārbaudes ir jāveic veselības aprūpes sistēmas pilnvarotai personai (74. panta otrās daļas 2. punkts);</w:t>
      </w:r>
    </w:p>
    <w:p w14:paraId="086D6DC8" w14:textId="4970FD62" w:rsidR="007F544F" w:rsidRPr="00191AA5" w:rsidRDefault="00152655" w:rsidP="00EF4954">
      <w:pPr>
        <w:pStyle w:val="Teksttreci0"/>
        <w:numPr>
          <w:ilvl w:val="0"/>
          <w:numId w:val="5"/>
        </w:numPr>
        <w:shd w:val="clear" w:color="auto" w:fill="auto"/>
        <w:tabs>
          <w:tab w:val="left" w:pos="428"/>
        </w:tabs>
        <w:spacing w:after="0" w:line="240" w:lineRule="auto"/>
        <w:ind w:left="440" w:right="20"/>
        <w:jc w:val="both"/>
        <w:rPr>
          <w:sz w:val="24"/>
          <w:szCs w:val="24"/>
        </w:rPr>
      </w:pPr>
      <w:r w:rsidRPr="00191AA5">
        <w:rPr>
          <w:sz w:val="24"/>
        </w:rPr>
        <w:t xml:space="preserve">vaigu gļotādas uztriepes izņemšanu, ko veic policists, ja tas ir nepieciešams un </w:t>
      </w:r>
      <w:r w:rsidR="005C20B0">
        <w:rPr>
          <w:sz w:val="24"/>
        </w:rPr>
        <w:t xml:space="preserve">tas </w:t>
      </w:r>
      <w:r w:rsidRPr="00191AA5">
        <w:rPr>
          <w:sz w:val="24"/>
        </w:rPr>
        <w:t>neapdraud veselību (74. panta otrās daļas 3. punkts).</w:t>
      </w:r>
    </w:p>
    <w:p w14:paraId="6919504B" w14:textId="24F1452D" w:rsidR="007F544F" w:rsidRPr="00191AA5" w:rsidRDefault="00152655" w:rsidP="00EF4954">
      <w:pPr>
        <w:pStyle w:val="Teksttreci0"/>
        <w:shd w:val="clear" w:color="auto" w:fill="auto"/>
        <w:spacing w:after="0" w:line="240" w:lineRule="auto"/>
        <w:ind w:left="20" w:right="20" w:firstLine="420"/>
        <w:jc w:val="both"/>
        <w:rPr>
          <w:sz w:val="24"/>
          <w:szCs w:val="24"/>
        </w:rPr>
      </w:pPr>
      <w:r w:rsidRPr="00191AA5">
        <w:rPr>
          <w:sz w:val="24"/>
        </w:rPr>
        <w:t>Šo pienākumu neizpilde var novest pie Tevis aizturēšanas un piespiedu atvešanas, kā arī var izraisīt fiziska spēka vai tehnisko līdzekļu, kas paredzēti atbruņošanai, izmantošanu pret Tevi (74. panta 3.a daļa).</w:t>
      </w:r>
    </w:p>
    <w:p w14:paraId="0B2A47C2" w14:textId="77777777" w:rsidR="007F544F" w:rsidRPr="00191AA5" w:rsidRDefault="00152655" w:rsidP="00EF4954">
      <w:pPr>
        <w:pStyle w:val="Teksttreci0"/>
        <w:shd w:val="clear" w:color="auto" w:fill="auto"/>
        <w:spacing w:after="0" w:line="240" w:lineRule="auto"/>
        <w:ind w:left="20" w:firstLine="420"/>
        <w:jc w:val="both"/>
        <w:rPr>
          <w:sz w:val="24"/>
          <w:szCs w:val="24"/>
        </w:rPr>
      </w:pPr>
      <w:r w:rsidRPr="00191AA5">
        <w:rPr>
          <w:sz w:val="24"/>
        </w:rPr>
        <w:t>Tev ir pienākums arī:</w:t>
      </w:r>
    </w:p>
    <w:p w14:paraId="700F9046" w14:textId="77777777" w:rsidR="007F544F" w:rsidRPr="00191AA5" w:rsidRDefault="00152655" w:rsidP="00EF4954">
      <w:pPr>
        <w:pStyle w:val="Teksttreci0"/>
        <w:numPr>
          <w:ilvl w:val="1"/>
          <w:numId w:val="5"/>
        </w:numPr>
        <w:shd w:val="clear" w:color="auto" w:fill="auto"/>
        <w:tabs>
          <w:tab w:val="left" w:pos="423"/>
        </w:tabs>
        <w:spacing w:after="0" w:line="240" w:lineRule="auto"/>
        <w:ind w:left="440" w:right="20"/>
        <w:jc w:val="both"/>
        <w:rPr>
          <w:sz w:val="24"/>
          <w:szCs w:val="24"/>
        </w:rPr>
      </w:pPr>
      <w:r w:rsidRPr="00191AA5">
        <w:rPr>
          <w:sz w:val="24"/>
        </w:rPr>
        <w:t>ierasties uz katru uzaicinājumu un paziņot procesu virzītāja iestādei par katru savas dzīvesvietas vai uzturēšanās vietas maiņu, kas ilgst virs 7 dienām, tai skaitā, arī brīvības atņemšanas (pagaidu apcietinājuma, ievietošanas ieslodzījuma iestādē soda izciešanai) citā lietā dēļ, kā arī par katru ziņu, kas ļauj ar Tevi kontaktēties (telefona numurs, elektroniskā pasta adrese, faksa numurs) maiņu; neierašanās gadījumā Tu vari tikt aizturēts un atvests piespiedu kārtā (75. pants pirmā un otrā daļa);</w:t>
      </w:r>
    </w:p>
    <w:p w14:paraId="201ED37B" w14:textId="739E8513" w:rsidR="007F544F" w:rsidRPr="00191AA5" w:rsidRDefault="00152655" w:rsidP="00EF4954">
      <w:pPr>
        <w:pStyle w:val="Teksttreci0"/>
        <w:numPr>
          <w:ilvl w:val="1"/>
          <w:numId w:val="5"/>
        </w:numPr>
        <w:shd w:val="clear" w:color="auto" w:fill="auto"/>
        <w:tabs>
          <w:tab w:val="left" w:pos="433"/>
        </w:tabs>
        <w:spacing w:after="0" w:line="240" w:lineRule="auto"/>
        <w:ind w:left="440" w:right="20"/>
        <w:jc w:val="both"/>
        <w:rPr>
          <w:sz w:val="24"/>
          <w:szCs w:val="24"/>
        </w:rPr>
      </w:pPr>
      <w:r w:rsidRPr="00191AA5">
        <w:rPr>
          <w:sz w:val="24"/>
        </w:rPr>
        <w:t>norādīt adresātu (proti, personu vai iestādi ar adresi) korespondences saņemšanai valstī vai citā Eiropas Savienības dalībvalstī, kad neuzturies valstī vai citā Eiropas Savienības dalībvalstī; pretējā gadījumā vēstules, kas būs nosūtītas uz pēdējo zināmo adresi valstī vai citā Eiropas Savienības dalībvalstī, tiks atzītas par paziņotām (138. pants)</w:t>
      </w:r>
      <w:r w:rsidR="005C20B0">
        <w:rPr>
          <w:sz w:val="24"/>
        </w:rPr>
        <w:t>;</w:t>
      </w:r>
    </w:p>
    <w:p w14:paraId="59A3C782" w14:textId="255246C7" w:rsidR="007F544F" w:rsidRPr="00191AA5" w:rsidRDefault="00152655" w:rsidP="00EF4954">
      <w:pPr>
        <w:pStyle w:val="Teksttreci0"/>
        <w:numPr>
          <w:ilvl w:val="1"/>
          <w:numId w:val="5"/>
        </w:numPr>
        <w:shd w:val="clear" w:color="auto" w:fill="auto"/>
        <w:tabs>
          <w:tab w:val="left" w:pos="428"/>
        </w:tabs>
        <w:spacing w:after="0" w:line="240" w:lineRule="auto"/>
        <w:ind w:left="440" w:right="20"/>
        <w:jc w:val="both"/>
        <w:rPr>
          <w:sz w:val="24"/>
          <w:szCs w:val="24"/>
        </w:rPr>
      </w:pPr>
      <w:r w:rsidRPr="00191AA5">
        <w:rPr>
          <w:sz w:val="24"/>
        </w:rPr>
        <w:t xml:space="preserve">norādīt jauno adresi, ja Tu mainīji dzīvesvietu vai uzturēšanās vietu, tai skaitā, arī brīvības atņemšanas citā lietā dēļ (pagaidu apcietinājuma, ievietošanas ieslodzījuma iestādē soda izciešanas nolūkā) vai mainīji pasta kastītes adresi vai beidzi to izmantot; ja </w:t>
      </w:r>
      <w:r w:rsidR="005C20B0">
        <w:rPr>
          <w:sz w:val="24"/>
        </w:rPr>
        <w:t xml:space="preserve">Tu </w:t>
      </w:r>
      <w:r w:rsidRPr="00191AA5">
        <w:rPr>
          <w:sz w:val="24"/>
        </w:rPr>
        <w:t>to neizdarīsi, vēstule, kas tiks nosūtīta uz līdzšinējo adresi (tai skaitā, uz noteiktas pasta kastītes adresi)</w:t>
      </w:r>
      <w:r w:rsidR="005C20B0">
        <w:rPr>
          <w:sz w:val="24"/>
        </w:rPr>
        <w:t>,</w:t>
      </w:r>
      <w:r w:rsidRPr="00191AA5">
        <w:rPr>
          <w:sz w:val="24"/>
        </w:rPr>
        <w:t xml:space="preserve"> tiks atzīta par paziņotu (139. pants).</w:t>
      </w:r>
    </w:p>
    <w:p w14:paraId="7B29BE69" w14:textId="13F6C75E" w:rsidR="007F544F" w:rsidRPr="00191AA5" w:rsidRDefault="00152655" w:rsidP="00EF4954">
      <w:pPr>
        <w:pStyle w:val="Teksttreci0"/>
        <w:shd w:val="clear" w:color="auto" w:fill="auto"/>
        <w:spacing w:after="0" w:line="240" w:lineRule="auto"/>
        <w:ind w:left="20" w:right="20" w:firstLine="420"/>
        <w:jc w:val="both"/>
        <w:rPr>
          <w:sz w:val="24"/>
          <w:szCs w:val="24"/>
        </w:rPr>
      </w:pPr>
      <w:r w:rsidRPr="00191AA5">
        <w:rPr>
          <w:sz w:val="24"/>
        </w:rPr>
        <w:t xml:space="preserve">Ja paziņošanu nevar izpildīt adresātam personīgi, pilngadīgam mājiniekam vai uz aizdomās turētā norādītu pasta kastītes adresi, vēstule, kas ir nosūtīta ar pasta operatora starpniecību, tiek atstāta šī operatora tuvākajā pasta iestādē, bet, kas </w:t>
      </w:r>
      <w:r w:rsidR="005C20B0">
        <w:rPr>
          <w:sz w:val="24"/>
        </w:rPr>
        <w:t xml:space="preserve">ir </w:t>
      </w:r>
      <w:r w:rsidRPr="00191AA5">
        <w:rPr>
          <w:sz w:val="24"/>
        </w:rPr>
        <w:t xml:space="preserve">nosūtīta citā veidā - tuvākajā policijas iestādē vai atbilstošajā </w:t>
      </w:r>
      <w:r w:rsidR="005C20B0">
        <w:rPr>
          <w:sz w:val="24"/>
        </w:rPr>
        <w:t>pagasta</w:t>
      </w:r>
      <w:r w:rsidRPr="00191AA5">
        <w:rPr>
          <w:sz w:val="24"/>
        </w:rPr>
        <w:t xml:space="preserve"> iestādē. Par vēstules atstāšanu piegādātājs ievieto paziņojumu adresāta pasta kastītē vai dzīvokļa durvīs</w:t>
      </w:r>
      <w:r w:rsidR="005C20B0">
        <w:rPr>
          <w:sz w:val="24"/>
        </w:rPr>
        <w:t>,</w:t>
      </w:r>
      <w:r w:rsidRPr="00191AA5">
        <w:rPr>
          <w:sz w:val="24"/>
        </w:rPr>
        <w:t xml:space="preserve"> vai citā redzamā vietā ar informāciju, kur un kad vēstule tika atstāta un ka tā ir jāsaņem 7 dienu laikā; šī termiņa notecēšanas gadījumā, paziņošanas darbība ir jāatkārto vienu reizi. Šo darbību izpildes gadījumā tiek atzīts, ka vēstule ir paziņota (133. panta otrā daļa).</w:t>
      </w:r>
    </w:p>
    <w:p w14:paraId="0B7AA979" w14:textId="77777777" w:rsidR="007F544F" w:rsidRPr="00191AA5" w:rsidRDefault="00152655" w:rsidP="00EF4954">
      <w:pPr>
        <w:pStyle w:val="Nagwek40"/>
        <w:keepNext/>
        <w:keepLines/>
        <w:shd w:val="clear" w:color="auto" w:fill="auto"/>
        <w:spacing w:before="0" w:line="240" w:lineRule="auto"/>
        <w:ind w:left="20"/>
        <w:jc w:val="both"/>
        <w:rPr>
          <w:sz w:val="24"/>
          <w:szCs w:val="24"/>
        </w:rPr>
      </w:pPr>
      <w:bookmarkStart w:id="12" w:name="bookmark17"/>
      <w:r w:rsidRPr="00191AA5">
        <w:rPr>
          <w:sz w:val="24"/>
        </w:rPr>
        <w:t>Nopratināšana, ko veic konsuls</w:t>
      </w:r>
      <w:bookmarkEnd w:id="12"/>
    </w:p>
    <w:p w14:paraId="7BC44D03" w14:textId="77777777" w:rsidR="007F544F" w:rsidRPr="00191AA5" w:rsidRDefault="00152655" w:rsidP="00EF4954">
      <w:pPr>
        <w:pStyle w:val="Teksttreci0"/>
        <w:shd w:val="clear" w:color="auto" w:fill="auto"/>
        <w:spacing w:after="0" w:line="240" w:lineRule="auto"/>
        <w:ind w:left="880" w:right="20" w:firstLine="0"/>
        <w:jc w:val="both"/>
        <w:rPr>
          <w:sz w:val="24"/>
          <w:szCs w:val="24"/>
        </w:rPr>
      </w:pPr>
      <w:r w:rsidRPr="00191AA5">
        <w:rPr>
          <w:sz w:val="24"/>
        </w:rPr>
        <w:t xml:space="preserve">Ja Tu uzturies ārvalstīs, Tevi var nopratināt konsuls. Nopratināšana var notikt tikai tad, ja Tu tam piekritīsi. Tādā gadījumā nepiemēro tiesību normas attiecībā uz pienākumu ierasties un sekām, kas ar to ir saistītas (2015. gada 25. jūnija likuma - Konsulārā dienesta likums (2020. gada </w:t>
      </w:r>
      <w:r w:rsidRPr="00191AA5">
        <w:rPr>
          <w:i/>
          <w:iCs/>
          <w:sz w:val="24"/>
        </w:rPr>
        <w:t>Dz. U.</w:t>
      </w:r>
      <w:r w:rsidRPr="00191AA5">
        <w:rPr>
          <w:sz w:val="24"/>
        </w:rPr>
        <w:t>, 195. un 1086. pozīcija) 26. panta pirmās daļas 2. punkts).</w:t>
      </w:r>
    </w:p>
    <w:p w14:paraId="34CB65ED" w14:textId="4A3348BA" w:rsidR="007F544F" w:rsidRPr="00191AA5" w:rsidRDefault="00152655" w:rsidP="00EF4954">
      <w:pPr>
        <w:pStyle w:val="Nagwek40"/>
        <w:keepNext/>
        <w:keepLines/>
        <w:shd w:val="clear" w:color="auto" w:fill="auto"/>
        <w:spacing w:before="0" w:line="240" w:lineRule="auto"/>
        <w:ind w:left="20" w:right="20"/>
        <w:jc w:val="both"/>
        <w:rPr>
          <w:sz w:val="24"/>
          <w:szCs w:val="24"/>
        </w:rPr>
      </w:pPr>
      <w:bookmarkStart w:id="13" w:name="bookmark18"/>
      <w:r w:rsidRPr="00191AA5">
        <w:rPr>
          <w:sz w:val="24"/>
        </w:rPr>
        <w:t xml:space="preserve">Atceries, ka, ja izdotā pamācība </w:t>
      </w:r>
      <w:r w:rsidR="005C20B0" w:rsidRPr="00191AA5">
        <w:rPr>
          <w:sz w:val="24"/>
        </w:rPr>
        <w:t xml:space="preserve">Tev </w:t>
      </w:r>
      <w:r w:rsidRPr="00191AA5">
        <w:rPr>
          <w:sz w:val="24"/>
        </w:rPr>
        <w:t>ir neskaidra vai nepilnīga, Tu vari lūgt no procesa virzītāja papildus, detalizētu informāciju par Tavām tiesībām un pienākumiem.</w:t>
      </w:r>
      <w:bookmarkEnd w:id="13"/>
    </w:p>
    <w:p w14:paraId="7A11F60F" w14:textId="77777777" w:rsidR="007F544F" w:rsidRPr="00191AA5" w:rsidRDefault="00152655" w:rsidP="00EF4954">
      <w:pPr>
        <w:pStyle w:val="Nagwek40"/>
        <w:keepNext/>
        <w:keepLines/>
        <w:shd w:val="clear" w:color="auto" w:fill="auto"/>
        <w:spacing w:before="0" w:line="240" w:lineRule="auto"/>
        <w:ind w:left="20"/>
        <w:jc w:val="both"/>
        <w:rPr>
          <w:sz w:val="24"/>
          <w:szCs w:val="24"/>
        </w:rPr>
        <w:sectPr w:rsidR="007F544F" w:rsidRPr="00191AA5">
          <w:footnotePr>
            <w:numRestart w:val="eachPage"/>
          </w:footnotePr>
          <w:type w:val="continuous"/>
          <w:pgSz w:w="11905" w:h="16837"/>
          <w:pgMar w:top="1252" w:right="911" w:bottom="1053" w:left="947" w:header="0" w:footer="3" w:gutter="0"/>
          <w:cols w:space="720"/>
          <w:noEndnote/>
          <w:titlePg/>
          <w:docGrid w:linePitch="360"/>
        </w:sectPr>
      </w:pPr>
      <w:bookmarkStart w:id="14" w:name="bookmark19"/>
      <w:r w:rsidRPr="00191AA5">
        <w:rPr>
          <w:sz w:val="24"/>
        </w:rPr>
        <w:t>Tev ir pienākums iesniegt lietas materiālos apliecinājumu, ar ko Tu apstiprini šīs pamācības saņemšanu.</w:t>
      </w:r>
      <w:bookmarkEnd w:id="14"/>
    </w:p>
    <w:p w14:paraId="1E1989CC" w14:textId="77777777" w:rsidR="007F544F" w:rsidRPr="00191AA5" w:rsidRDefault="007F544F" w:rsidP="00EF4954">
      <w:pPr>
        <w:pStyle w:val="Stopka1"/>
        <w:shd w:val="clear" w:color="auto" w:fill="auto"/>
        <w:tabs>
          <w:tab w:val="left" w:pos="279"/>
        </w:tabs>
        <w:spacing w:line="240" w:lineRule="auto"/>
        <w:ind w:left="280" w:right="180" w:hanging="260"/>
        <w:rPr>
          <w:sz w:val="24"/>
          <w:szCs w:val="24"/>
        </w:rPr>
      </w:pPr>
    </w:p>
    <w:sectPr w:rsidR="007F544F" w:rsidRPr="00191AA5">
      <w:type w:val="continuous"/>
      <w:pgSz w:w="11905" w:h="16837"/>
      <w:pgMar w:top="1252" w:right="911" w:bottom="1053" w:left="9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7A9A0" w14:textId="77777777" w:rsidR="00F1206E" w:rsidRDefault="00F1206E">
      <w:r>
        <w:separator/>
      </w:r>
    </w:p>
  </w:endnote>
  <w:endnote w:type="continuationSeparator" w:id="0">
    <w:p w14:paraId="3668114D" w14:textId="77777777" w:rsidR="00F1206E" w:rsidRDefault="00F1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43072" w14:textId="77777777" w:rsidR="00F1206E" w:rsidRDefault="00F1206E">
      <w:r>
        <w:separator/>
      </w:r>
    </w:p>
  </w:footnote>
  <w:footnote w:type="continuationSeparator" w:id="0">
    <w:p w14:paraId="42E721DC" w14:textId="77777777" w:rsidR="00F1206E" w:rsidRDefault="00F1206E">
      <w:r>
        <w:continuationSeparator/>
      </w:r>
    </w:p>
  </w:footnote>
  <w:footnote w:id="1">
    <w:p w14:paraId="3582EFA8" w14:textId="77777777" w:rsidR="00EF4954" w:rsidRPr="00EF4954" w:rsidRDefault="00EF4954">
      <w:pPr>
        <w:pStyle w:val="Tekstprzypisudolnego"/>
        <w:rPr>
          <w:sz w:val="16"/>
          <w:szCs w:val="16"/>
        </w:rPr>
      </w:pPr>
      <w:r>
        <w:rPr>
          <w:rStyle w:val="Odwoanieprzypisudolnego"/>
          <w:sz w:val="16"/>
          <w:szCs w:val="16"/>
        </w:rPr>
        <w:footnoteRef/>
      </w:r>
      <w:r>
        <w:rPr>
          <w:sz w:val="16"/>
        </w:rPr>
        <w:t xml:space="preserve"> Ja nav norādīts cits tiesību akts, tiesību normas iekavās nozīmē 1997. gada 6. jūnija likuma - Kriminālprocesa kodekss (2020. gada </w:t>
      </w:r>
      <w:r>
        <w:rPr>
          <w:i/>
          <w:iCs/>
          <w:sz w:val="16"/>
        </w:rPr>
        <w:t>Dz. U.</w:t>
      </w:r>
      <w:r>
        <w:rPr>
          <w:sz w:val="16"/>
        </w:rPr>
        <w:t>, 30., 413, 568, 1086. un 1458. pozīcija) atbilstošos pantus.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162"/>
    <w:multiLevelType w:val="multilevel"/>
    <w:tmpl w:val="B65C8C2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A468D"/>
    <w:multiLevelType w:val="multilevel"/>
    <w:tmpl w:val="B1686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C2C7A"/>
    <w:multiLevelType w:val="multilevel"/>
    <w:tmpl w:val="FC666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F7730"/>
    <w:multiLevelType w:val="multilevel"/>
    <w:tmpl w:val="7FAA3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941C86"/>
    <w:multiLevelType w:val="multilevel"/>
    <w:tmpl w:val="CC6CFA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4F"/>
    <w:rsid w:val="00152655"/>
    <w:rsid w:val="00191AA5"/>
    <w:rsid w:val="001C694A"/>
    <w:rsid w:val="002855AA"/>
    <w:rsid w:val="003325E6"/>
    <w:rsid w:val="004258C2"/>
    <w:rsid w:val="004A3F6B"/>
    <w:rsid w:val="005C20B0"/>
    <w:rsid w:val="005F2B93"/>
    <w:rsid w:val="00611136"/>
    <w:rsid w:val="007F544F"/>
    <w:rsid w:val="00812406"/>
    <w:rsid w:val="00DC7E6F"/>
    <w:rsid w:val="00EF4954"/>
    <w:rsid w:val="00F12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8FE"/>
  <w15:docId w15:val="{7CDBB064-A693-4CF1-B802-99A9ADD8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lv-LV"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pacing w:val="0"/>
      <w:sz w:val="17"/>
      <w:szCs w:val="17"/>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9"/>
      <w:szCs w:val="19"/>
    </w:rPr>
  </w:style>
  <w:style w:type="paragraph" w:customStyle="1" w:styleId="Stopka1">
    <w:name w:val="Stopka1"/>
    <w:basedOn w:val="Normalny"/>
    <w:link w:val="Stopka"/>
    <w:pPr>
      <w:shd w:val="clear" w:color="auto" w:fill="FFFFFF"/>
      <w:spacing w:line="221" w:lineRule="exact"/>
      <w:ind w:hanging="280"/>
    </w:pPr>
    <w:rPr>
      <w:rFonts w:ascii="Times New Roman" w:eastAsia="Times New Roman" w:hAnsi="Times New Roman" w:cs="Times New Roman"/>
      <w:sz w:val="17"/>
      <w:szCs w:val="17"/>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42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after="36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before="360" w:after="360" w:line="0" w:lineRule="atLeast"/>
      <w:jc w:val="center"/>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EF4954"/>
    <w:rPr>
      <w:sz w:val="20"/>
      <w:szCs w:val="20"/>
    </w:rPr>
  </w:style>
  <w:style w:type="character" w:customStyle="1" w:styleId="TekstprzypisudolnegoZnak">
    <w:name w:val="Tekst przypisu dolnego Znak"/>
    <w:basedOn w:val="Domylnaczcionkaakapitu"/>
    <w:link w:val="Tekstprzypisudolnego"/>
    <w:uiPriority w:val="99"/>
    <w:semiHidden/>
    <w:rsid w:val="00EF4954"/>
    <w:rPr>
      <w:color w:val="000000"/>
      <w:sz w:val="20"/>
      <w:szCs w:val="20"/>
    </w:rPr>
  </w:style>
  <w:style w:type="character" w:styleId="Odwoanieprzypisudolnego">
    <w:name w:val="footnote reference"/>
    <w:basedOn w:val="Domylnaczcionkaakapitu"/>
    <w:uiPriority w:val="99"/>
    <w:semiHidden/>
    <w:unhideWhenUsed/>
    <w:rsid w:val="00EF4954"/>
    <w:rPr>
      <w:vertAlign w:val="superscript"/>
    </w:rPr>
  </w:style>
  <w:style w:type="paragraph" w:styleId="Nagwek">
    <w:name w:val="header"/>
    <w:basedOn w:val="Normalny"/>
    <w:link w:val="NagwekZnak"/>
    <w:uiPriority w:val="99"/>
    <w:unhideWhenUsed/>
    <w:rsid w:val="00EF4954"/>
    <w:pPr>
      <w:tabs>
        <w:tab w:val="center" w:pos="4536"/>
        <w:tab w:val="right" w:pos="9072"/>
      </w:tabs>
    </w:pPr>
  </w:style>
  <w:style w:type="character" w:customStyle="1" w:styleId="NagwekZnak">
    <w:name w:val="Nagłówek Znak"/>
    <w:basedOn w:val="Domylnaczcionkaakapitu"/>
    <w:link w:val="Nagwek"/>
    <w:uiPriority w:val="99"/>
    <w:rsid w:val="00EF4954"/>
    <w:rPr>
      <w:color w:val="000000"/>
    </w:rPr>
  </w:style>
  <w:style w:type="paragraph" w:styleId="Stopka0">
    <w:name w:val="footer"/>
    <w:basedOn w:val="Normalny"/>
    <w:link w:val="StopkaZnak"/>
    <w:uiPriority w:val="99"/>
    <w:unhideWhenUsed/>
    <w:rsid w:val="00EF4954"/>
    <w:pPr>
      <w:tabs>
        <w:tab w:val="center" w:pos="4536"/>
        <w:tab w:val="right" w:pos="9072"/>
      </w:tabs>
    </w:pPr>
  </w:style>
  <w:style w:type="character" w:customStyle="1" w:styleId="StopkaZnak">
    <w:name w:val="Stopka Znak"/>
    <w:basedOn w:val="Domylnaczcionkaakapitu"/>
    <w:link w:val="Stopka0"/>
    <w:uiPriority w:val="99"/>
    <w:rsid w:val="00EF495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780C-2A66-4CBC-A748-B375451E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2119</Words>
  <Characters>12717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Dace Kadakovska</cp:lastModifiedBy>
  <cp:revision>7</cp:revision>
  <dcterms:created xsi:type="dcterms:W3CDTF">2020-11-20T14:50:00Z</dcterms:created>
  <dcterms:modified xsi:type="dcterms:W3CDTF">2020-11-20T17:10:00Z</dcterms:modified>
</cp:coreProperties>
</file>