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A40D" w14:textId="77DEFC23" w:rsidR="00224125" w:rsidRPr="00C01871" w:rsidRDefault="00F1556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 ścieżek dla naboru</w:t>
      </w:r>
      <w:r w:rsidR="00984140" w:rsidRPr="00C01871">
        <w:rPr>
          <w:b/>
          <w:bCs/>
          <w:sz w:val="28"/>
          <w:szCs w:val="28"/>
        </w:rPr>
        <w:t xml:space="preserve"> „</w:t>
      </w:r>
      <w:bookmarkStart w:id="0" w:name="_Hlk144045339"/>
      <w:r w:rsidR="00984140" w:rsidRPr="00C01871">
        <w:rPr>
          <w:b/>
          <w:bCs/>
          <w:sz w:val="28"/>
          <w:szCs w:val="28"/>
        </w:rPr>
        <w:t>Uczelnie coraz bardziej dostępne</w:t>
      </w:r>
      <w:bookmarkEnd w:id="0"/>
      <w:r w:rsidR="00984140" w:rsidRPr="00C01871">
        <w:rPr>
          <w:b/>
          <w:bCs/>
          <w:sz w:val="28"/>
          <w:szCs w:val="28"/>
        </w:rPr>
        <w:t>”</w:t>
      </w:r>
    </w:p>
    <w:sdt>
      <w:sdtPr>
        <w:rPr>
          <w:rFonts w:ascii="Calibri" w:eastAsia="Arial Unicode MS" w:hAnsi="Calibri" w:cs="Arial Unicode MS"/>
          <w:color w:val="000000"/>
          <w:kern w:val="2"/>
          <w:sz w:val="22"/>
          <w:szCs w:val="22"/>
          <w:bdr w:val="nil"/>
        </w:rPr>
        <w:id w:val="-713416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5B3C84" w14:textId="55D1BFF4" w:rsidR="00C01871" w:rsidRPr="001938AA" w:rsidRDefault="00C01871" w:rsidP="00C01871">
          <w:pPr>
            <w:pStyle w:val="Nagwekspisutreci"/>
            <w:jc w:val="center"/>
            <w:rPr>
              <w:sz w:val="26"/>
              <w:szCs w:val="26"/>
            </w:rPr>
          </w:pPr>
          <w:r w:rsidRPr="001938AA">
            <w:rPr>
              <w:rFonts w:ascii="Calibri" w:hAnsi="Calibri" w:cs="Calibri"/>
              <w:sz w:val="26"/>
              <w:szCs w:val="26"/>
            </w:rPr>
            <w:t>Spis treści</w:t>
          </w:r>
        </w:p>
        <w:p w14:paraId="0FB3563A" w14:textId="138ABE34" w:rsidR="009452D2" w:rsidRDefault="00C01871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76027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1.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Autorki i autorzy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_Toc144976027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6DFF9B0D" w14:textId="40C294F5" w:rsidR="009452D2" w:rsidRDefault="00B25BE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28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2.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Definicje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_Toc144976028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01EC3378" w14:textId="2E92FA83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29" w:history="1">
            <w:r w:rsidR="009452D2" w:rsidRPr="00FD091F">
              <w:rPr>
                <w:rStyle w:val="Hipercze"/>
                <w:b/>
                <w:bCs/>
                <w:noProof/>
              </w:rPr>
              <w:t>Osoby ze szczególnymi potrzebami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_Toc144976029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5D7F2BE1" w14:textId="6CF81596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0" w:history="1">
            <w:r w:rsidR="009452D2" w:rsidRPr="00FD091F">
              <w:rPr>
                <w:rStyle w:val="Hipercze"/>
                <w:b/>
                <w:bCs/>
                <w:noProof/>
              </w:rPr>
              <w:t>Społeczność akademicka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_Toc144976030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72C333CC" w14:textId="20A25A0B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1" w:history="1">
            <w:r w:rsidR="009452D2" w:rsidRPr="00FD091F">
              <w:rPr>
                <w:rStyle w:val="Hipercze"/>
                <w:b/>
                <w:bCs/>
                <w:noProof/>
              </w:rPr>
              <w:t>Bariera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_Toc144976031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45A720E1" w14:textId="147D12D9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2" w:history="1">
            <w:r w:rsidR="009452D2" w:rsidRPr="00FD091F">
              <w:rPr>
                <w:rStyle w:val="Hipercze"/>
                <w:b/>
                <w:bCs/>
                <w:noProof/>
              </w:rPr>
              <w:t>Uniwersalne projektowanie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_Toc144976032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7A536AC" w14:textId="6D575C4D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3" w:history="1">
            <w:r w:rsidR="009452D2" w:rsidRPr="00FD091F">
              <w:rPr>
                <w:rStyle w:val="Hipercze"/>
                <w:b/>
                <w:bCs/>
                <w:noProof/>
              </w:rPr>
              <w:t>Racjonalne dostosowanie/usprawnienie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_Toc144976033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582F43A4" w14:textId="56C973DA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4" w:history="1">
            <w:r w:rsidR="009452D2" w:rsidRPr="00FD091F">
              <w:rPr>
                <w:rStyle w:val="Hipercze"/>
                <w:b/>
                <w:bCs/>
                <w:noProof/>
              </w:rPr>
              <w:t>Dostęp alternatywny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_Toc144976034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2842DEA5" w14:textId="112AA37C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5" w:history="1">
            <w:r w:rsidR="009452D2" w:rsidRPr="00FD091F">
              <w:rPr>
                <w:rStyle w:val="Hipercze"/>
                <w:b/>
                <w:bCs/>
                <w:noProof/>
              </w:rPr>
              <w:t>Dostępność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_Toc144976035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28642148" w14:textId="66DCC0BC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6" w:history="1">
            <w:r w:rsidR="009452D2" w:rsidRPr="00FD091F">
              <w:rPr>
                <w:rStyle w:val="Hipercze"/>
                <w:b/>
                <w:bCs/>
                <w:noProof/>
              </w:rPr>
              <w:t>Społeczny model niepełnosprawności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_Toc144976036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245D899F" w14:textId="6755587A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7" w:history="1">
            <w:r w:rsidR="009452D2" w:rsidRPr="00FD091F">
              <w:rPr>
                <w:rStyle w:val="Hipercze"/>
                <w:b/>
                <w:bCs/>
                <w:noProof/>
              </w:rPr>
              <w:t>Polityka zapewniania dostępności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_Toc144976037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3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37550A9" w14:textId="6363AC85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8" w:history="1">
            <w:r w:rsidR="009452D2" w:rsidRPr="00FD091F">
              <w:rPr>
                <w:rStyle w:val="Hipercze"/>
                <w:b/>
                <w:bCs/>
                <w:noProof/>
              </w:rPr>
              <w:t>Modelowy/ systemowy charakter działań/ rozwiązań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_Toc144976038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6A42A34" w14:textId="0AF80E52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39" w:history="1">
            <w:r w:rsidR="009452D2" w:rsidRPr="00FD091F">
              <w:rPr>
                <w:rStyle w:val="Hipercze"/>
                <w:b/>
                <w:bCs/>
                <w:noProof/>
              </w:rPr>
              <w:t>Laboratorium partycypacji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_Toc144976039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52F3D951" w14:textId="52D81434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0" w:history="1">
            <w:r w:rsidR="009452D2" w:rsidRPr="00FD091F">
              <w:rPr>
                <w:rStyle w:val="Hipercze"/>
                <w:b/>
                <w:bCs/>
                <w:noProof/>
              </w:rPr>
              <w:t>Panel ekspercki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_Toc144976040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6FE4DCC1" w14:textId="14180630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1" w:history="1">
            <w:r w:rsidR="009452D2" w:rsidRPr="00FD091F">
              <w:rPr>
                <w:rStyle w:val="Hipercze"/>
                <w:b/>
                <w:bCs/>
                <w:noProof/>
              </w:rPr>
              <w:t>Trzecia misja uczelni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_Toc144976041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9F5BA45" w14:textId="1E628C61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2" w:history="1">
            <w:r w:rsidR="009452D2" w:rsidRPr="00FD091F">
              <w:rPr>
                <w:rStyle w:val="Hipercze"/>
                <w:b/>
                <w:bCs/>
                <w:noProof/>
              </w:rPr>
              <w:t>Technologie wspierające (Ang. Assistive Technologies)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_Toc144976042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22F7C11C" w14:textId="4DA0C78B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3" w:history="1">
            <w:r w:rsidR="009452D2" w:rsidRPr="00FD091F">
              <w:rPr>
                <w:rStyle w:val="Hipercze"/>
                <w:b/>
                <w:bCs/>
                <w:noProof/>
              </w:rPr>
              <w:t>Centrum dostępności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_Toc144976043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15B8130F" w14:textId="1688760B" w:rsidR="009452D2" w:rsidRDefault="00B25BE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4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3.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Podstawy prawne zapewniania dostępności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_Toc144976044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51BFEFA7" w14:textId="14125901" w:rsidR="009452D2" w:rsidRDefault="00B25BE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5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4.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Obszary dostępności obowiązujące w ścieżkach konkursowych „Zaawansowani w dostępności” oraz „Liderzy dostępności” – opisy i przykładowe działania.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_Toc144976045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5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4B59C544" w14:textId="4648CB2F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6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4.1.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architektoniczna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_Toc144976046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5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4DF1953F" w14:textId="4963F2F8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7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4.2.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cyfrowa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_Toc144976047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6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47F78008" w14:textId="6BEC945D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8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4.3.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informacyjno-komunikacyjna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_Toc144976048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7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7CF78D31" w14:textId="71F0CCC4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49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4.4.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rekrutacji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_Toc144976049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8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FF08C48" w14:textId="6E6D211A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0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4.5.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procesu kształcenia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_Toc144976050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8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0A428D30" w14:textId="11CBB631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1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4.6.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prowadzenia badań naukowych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_Toc144976051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9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62F148C" w14:textId="2ABDF6A2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2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4.7.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Procedury i procesy na rzecz dostępności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_Toc144976052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10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47341BD8" w14:textId="31CFA58A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3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4.8.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Dostępność środowiska pracy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_Toc144976053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11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51D1745" w14:textId="667FD5EB" w:rsidR="009452D2" w:rsidRDefault="00B25BE0">
          <w:pPr>
            <w:pStyle w:val="Spistreci3"/>
            <w:tabs>
              <w:tab w:val="left" w:pos="1100"/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4" w:history="1">
            <w:r w:rsidR="009452D2" w:rsidRPr="00FD091F">
              <w:rPr>
                <w:rStyle w:val="Hipercze"/>
                <w:rFonts w:eastAsia="Calibri" w:hAnsi="Arial Unicode MS" w:cs="Calibri"/>
                <w:b/>
                <w:bCs/>
                <w:noProof/>
                <w:kern w:val="0"/>
              </w:rPr>
              <w:t>4.9.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b/>
                <w:bCs/>
                <w:noProof/>
              </w:rPr>
              <w:t>Współpraca z otoczeniem na rzecz dostępności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_Toc144976054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11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81277D3" w14:textId="4E0D3480" w:rsidR="009452D2" w:rsidRDefault="00B25BE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5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5.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Rezultaty projektów w ścieżkach „Zaawansowani w dostępności” i „Liderzy dostępności”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_Toc144976055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78BB79D" w14:textId="77FE1B40" w:rsidR="009452D2" w:rsidRDefault="00B25BE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6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6.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„Zaawansowani w dostępności”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_Toc144976056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060FD356" w14:textId="410AC5B8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7" w:history="1">
            <w:r w:rsidR="009452D2" w:rsidRPr="00FD091F">
              <w:rPr>
                <w:rStyle w:val="Hipercze"/>
                <w:b/>
                <w:bCs/>
                <w:noProof/>
              </w:rPr>
              <w:t>Charakterystyka ścieżki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_Toc144976057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12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282B40CB" w14:textId="4186673A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8" w:history="1">
            <w:r w:rsidR="009452D2" w:rsidRPr="00FD091F">
              <w:rPr>
                <w:rStyle w:val="Hipercze"/>
                <w:b/>
                <w:bCs/>
                <w:noProof/>
              </w:rPr>
              <w:t>Monitoring jakości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_Toc144976058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1E616837" w14:textId="64E0A6FE" w:rsidR="009452D2" w:rsidRDefault="00B25BE0">
          <w:pPr>
            <w:pStyle w:val="Spistreci2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59" w:history="1">
            <w:r w:rsidR="009452D2" w:rsidRPr="00FD091F">
              <w:rPr>
                <w:rStyle w:val="Hipercze"/>
                <w:rFonts w:hAnsi="Arial Unicode MS"/>
                <w:noProof/>
                <w:kern w:val="0"/>
              </w:rPr>
              <w:t>7.</w:t>
            </w:r>
            <w:r w:rsidR="009452D2">
              <w:rPr>
                <w:rFonts w:asciiTheme="minorHAnsi" w:eastAsiaTheme="minorEastAsia" w:hAnsiTheme="minorHAnsi" w:cstheme="minorBidi"/>
                <w:noProof/>
                <w:color w:val="auto"/>
                <w:bdr w:val="none" w:sz="0" w:space="0" w:color="auto"/>
                <w14:ligatures w14:val="standardContextual"/>
              </w:rPr>
              <w:tab/>
            </w:r>
            <w:r w:rsidR="009452D2" w:rsidRPr="00FD091F">
              <w:rPr>
                <w:rStyle w:val="Hipercze"/>
                <w:noProof/>
              </w:rPr>
              <w:t>„Liderzy dostępności”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_Toc144976059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19E7CFDD" w14:textId="169B1D71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60" w:history="1">
            <w:r w:rsidR="009452D2" w:rsidRPr="00FD091F">
              <w:rPr>
                <w:rStyle w:val="Hipercze"/>
                <w:b/>
                <w:bCs/>
                <w:noProof/>
              </w:rPr>
              <w:t>Charakterystyka ścieżki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_Toc144976060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14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6D1E0881" w14:textId="75622F4C" w:rsidR="009452D2" w:rsidRDefault="00B25BE0">
          <w:pPr>
            <w:pStyle w:val="Spistreci3"/>
            <w:tabs>
              <w:tab w:val="right" w:leader="dot" w:pos="9010"/>
            </w:tabs>
            <w:rPr>
              <w:rFonts w:asciiTheme="minorHAnsi" w:eastAsiaTheme="minorEastAsia" w:hAnsiTheme="minorHAnsi" w:cstheme="minorBidi"/>
              <w:noProof/>
              <w:color w:val="auto"/>
              <w:bdr w:val="none" w:sz="0" w:space="0" w:color="auto"/>
              <w14:ligatures w14:val="standardContextual"/>
            </w:rPr>
          </w:pPr>
          <w:hyperlink w:anchor="_Toc144976061" w:history="1">
            <w:r w:rsidR="009452D2" w:rsidRPr="00FD091F">
              <w:rPr>
                <w:rStyle w:val="Hipercze"/>
                <w:b/>
                <w:bCs/>
                <w:noProof/>
              </w:rPr>
              <w:t>Monitoring jakości</w:t>
            </w:r>
            <w:r w:rsidR="009452D2">
              <w:rPr>
                <w:noProof/>
                <w:webHidden/>
              </w:rPr>
              <w:tab/>
            </w:r>
            <w:r w:rsidR="009452D2">
              <w:rPr>
                <w:noProof/>
                <w:webHidden/>
              </w:rPr>
              <w:fldChar w:fldCharType="begin"/>
            </w:r>
            <w:r w:rsidR="009452D2">
              <w:rPr>
                <w:noProof/>
                <w:webHidden/>
              </w:rPr>
              <w:instrText xml:space="preserve"> PAGEREF _Toc144976061 \h </w:instrText>
            </w:r>
            <w:r w:rsidR="009452D2">
              <w:rPr>
                <w:noProof/>
                <w:webHidden/>
              </w:rPr>
            </w:r>
            <w:r w:rsidR="009452D2">
              <w:rPr>
                <w:noProof/>
                <w:webHidden/>
              </w:rPr>
              <w:fldChar w:fldCharType="separate"/>
            </w:r>
            <w:r w:rsidR="00681452">
              <w:rPr>
                <w:noProof/>
                <w:webHidden/>
              </w:rPr>
              <w:t>18</w:t>
            </w:r>
            <w:r w:rsidR="009452D2">
              <w:rPr>
                <w:noProof/>
                <w:webHidden/>
              </w:rPr>
              <w:fldChar w:fldCharType="end"/>
            </w:r>
          </w:hyperlink>
        </w:p>
        <w:p w14:paraId="3EB52C41" w14:textId="3439380C" w:rsidR="00224125" w:rsidRPr="001938AA" w:rsidRDefault="00C01871" w:rsidP="001938A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76FA283" w14:textId="033EE960" w:rsidR="00224125" w:rsidRPr="00C01871" w:rsidRDefault="00984140" w:rsidP="00B236AF">
      <w:pPr>
        <w:spacing w:line="276" w:lineRule="auto"/>
        <w:rPr>
          <w:sz w:val="24"/>
          <w:szCs w:val="24"/>
        </w:rPr>
      </w:pPr>
      <w:r w:rsidRPr="00C01871">
        <w:rPr>
          <w:sz w:val="24"/>
          <w:szCs w:val="24"/>
        </w:rPr>
        <w:t>Dokument opisuje warunki przystąpienia do konkursu</w:t>
      </w:r>
      <w:r w:rsidR="00705520">
        <w:rPr>
          <w:sz w:val="24"/>
          <w:szCs w:val="24"/>
        </w:rPr>
        <w:t xml:space="preserve"> pt. </w:t>
      </w:r>
      <w:r w:rsidR="00797F2D">
        <w:rPr>
          <w:sz w:val="24"/>
          <w:szCs w:val="24"/>
        </w:rPr>
        <w:t>„</w:t>
      </w:r>
      <w:r w:rsidR="00705520" w:rsidRPr="00705520">
        <w:rPr>
          <w:sz w:val="24"/>
          <w:szCs w:val="24"/>
        </w:rPr>
        <w:t>Uczelnie coraz bardziej dostępne</w:t>
      </w:r>
      <w:r w:rsidR="00797F2D">
        <w:rPr>
          <w:sz w:val="24"/>
          <w:szCs w:val="24"/>
        </w:rPr>
        <w:t>”</w:t>
      </w:r>
      <w:r w:rsidRPr="00C01871">
        <w:rPr>
          <w:sz w:val="24"/>
          <w:szCs w:val="24"/>
        </w:rPr>
        <w:t>, omawia obowiązujące obszary dostępności, precyzuje kryteria dostępu oraz wskazuje na planowane procesy monitoringu jakości rezultatów projektów. Integralną jego częścią są załączone w osobnych plikach karty oceny na wejściu i po zakończeniu realizacji projektu.</w:t>
      </w:r>
    </w:p>
    <w:p w14:paraId="20BA60D2" w14:textId="6DBACDB7" w:rsidR="00224125" w:rsidRPr="00C01871" w:rsidRDefault="00984140" w:rsidP="00984140">
      <w:pPr>
        <w:pStyle w:val="Nagwek2"/>
        <w:numPr>
          <w:ilvl w:val="0"/>
          <w:numId w:val="2"/>
        </w:numPr>
        <w:spacing w:line="276" w:lineRule="auto"/>
      </w:pPr>
      <w:bookmarkStart w:id="1" w:name="_Toc"/>
      <w:bookmarkStart w:id="2" w:name="_Toc144976027"/>
      <w:r w:rsidRPr="00C01871">
        <w:t>Autorki i autorzy</w:t>
      </w:r>
      <w:bookmarkEnd w:id="1"/>
      <w:bookmarkEnd w:id="2"/>
    </w:p>
    <w:p w14:paraId="29211AFA" w14:textId="77777777" w:rsidR="00224125" w:rsidRPr="00C01871" w:rsidRDefault="00984140" w:rsidP="00984140">
      <w:pPr>
        <w:pStyle w:val="Akapitzlist"/>
        <w:widowControl w:val="0"/>
        <w:numPr>
          <w:ilvl w:val="0"/>
          <w:numId w:val="4"/>
        </w:numPr>
        <w:spacing w:before="100" w:after="120" w:line="276" w:lineRule="auto"/>
        <w:rPr>
          <w:sz w:val="24"/>
          <w:szCs w:val="24"/>
        </w:rPr>
      </w:pPr>
      <w:r w:rsidRPr="00C01871">
        <w:rPr>
          <w:kern w:val="0"/>
          <w:sz w:val="24"/>
          <w:szCs w:val="24"/>
        </w:rPr>
        <w:t>Ireneusz Białek, Dyrektor Centrum Dostępności Uniwersytetu Jagiellońskiego, członek Komisji ds. Wyrównywania Szans Edukacyjnych przy KRASP,</w:t>
      </w:r>
    </w:p>
    <w:p w14:paraId="7614B59E" w14:textId="77777777" w:rsidR="00224125" w:rsidRPr="00C01871" w:rsidRDefault="00984140" w:rsidP="00984140">
      <w:pPr>
        <w:pStyle w:val="Akapitzlist"/>
        <w:widowControl w:val="0"/>
        <w:numPr>
          <w:ilvl w:val="0"/>
          <w:numId w:val="4"/>
        </w:numPr>
        <w:spacing w:before="100" w:after="120" w:line="276" w:lineRule="auto"/>
        <w:rPr>
          <w:sz w:val="24"/>
          <w:szCs w:val="24"/>
        </w:rPr>
      </w:pPr>
      <w:r w:rsidRPr="00C01871">
        <w:rPr>
          <w:kern w:val="0"/>
          <w:sz w:val="24"/>
          <w:szCs w:val="24"/>
        </w:rPr>
        <w:t>prof. Janina Filek, Uniwersytet Ekonomiczny w Krakowie, członkini Komisji ds. Wyrównywania Szans Edukacyjnych przy KRASP, ekspertka Komisji KRASP ds. Komunikacji i Odpowiedzialności,</w:t>
      </w:r>
    </w:p>
    <w:p w14:paraId="13887592" w14:textId="77777777" w:rsidR="00224125" w:rsidRPr="00C01871" w:rsidRDefault="00984140" w:rsidP="00984140">
      <w:pPr>
        <w:pStyle w:val="Akapitzlist"/>
        <w:widowControl w:val="0"/>
        <w:numPr>
          <w:ilvl w:val="0"/>
          <w:numId w:val="4"/>
        </w:numPr>
        <w:spacing w:before="100" w:after="120" w:line="276" w:lineRule="auto"/>
        <w:rPr>
          <w:sz w:val="24"/>
          <w:szCs w:val="24"/>
        </w:rPr>
      </w:pPr>
      <w:r w:rsidRPr="00C01871">
        <w:rPr>
          <w:kern w:val="0"/>
          <w:sz w:val="24"/>
          <w:szCs w:val="24"/>
        </w:rPr>
        <w:t>dr Lech Kolasiński, Uniwersytet Pedagogiczny w Krakowie, ekspert w zakresie projektowania uniwersalnego i metodyki projektowania,</w:t>
      </w:r>
    </w:p>
    <w:p w14:paraId="75132F96" w14:textId="77777777" w:rsidR="00224125" w:rsidRPr="00C01871" w:rsidRDefault="00984140" w:rsidP="00984140">
      <w:pPr>
        <w:pStyle w:val="Akapitzlist"/>
        <w:widowControl w:val="0"/>
        <w:numPr>
          <w:ilvl w:val="0"/>
          <w:numId w:val="4"/>
        </w:numPr>
        <w:spacing w:before="100" w:after="120" w:line="276" w:lineRule="auto"/>
        <w:rPr>
          <w:sz w:val="24"/>
          <w:szCs w:val="24"/>
        </w:rPr>
      </w:pPr>
      <w:r w:rsidRPr="00C01871">
        <w:rPr>
          <w:kern w:val="0"/>
          <w:sz w:val="24"/>
          <w:szCs w:val="24"/>
        </w:rPr>
        <w:t>Anna Rutz, Kierowniczka Biura Wsparcia Osób z Niepełnosprawnościami, UAM, przewodnicząca Komisji ds. Wyrównywania Szans Edukacyjnych przy KRASP,</w:t>
      </w:r>
    </w:p>
    <w:p w14:paraId="7C158D9E" w14:textId="77777777" w:rsidR="00224125" w:rsidRPr="00C01871" w:rsidRDefault="00984140" w:rsidP="00984140">
      <w:pPr>
        <w:pStyle w:val="Akapitzlist"/>
        <w:widowControl w:val="0"/>
        <w:numPr>
          <w:ilvl w:val="0"/>
          <w:numId w:val="4"/>
        </w:numPr>
        <w:spacing w:before="100" w:after="120" w:line="276" w:lineRule="auto"/>
        <w:rPr>
          <w:sz w:val="24"/>
          <w:szCs w:val="24"/>
        </w:rPr>
      </w:pPr>
      <w:r w:rsidRPr="00C01871">
        <w:rPr>
          <w:kern w:val="0"/>
          <w:sz w:val="24"/>
          <w:szCs w:val="24"/>
        </w:rPr>
        <w:t>dr Joanna Sztobryn-Giercuszkiewicz, Pełnomocniczka Rektora Politechniki Łódzkiej ds. osób z niepełnosprawnościami.</w:t>
      </w:r>
    </w:p>
    <w:p w14:paraId="61E6D79D" w14:textId="6697EF0E" w:rsidR="00224125" w:rsidRPr="00C01871" w:rsidRDefault="00984140" w:rsidP="00984140">
      <w:pPr>
        <w:pStyle w:val="Nagwek2"/>
        <w:numPr>
          <w:ilvl w:val="0"/>
          <w:numId w:val="5"/>
        </w:numPr>
        <w:spacing w:line="276" w:lineRule="auto"/>
      </w:pPr>
      <w:bookmarkStart w:id="3" w:name="_Toc1"/>
      <w:bookmarkStart w:id="4" w:name="_Toc144976028"/>
      <w:r w:rsidRPr="00C01871">
        <w:t>Definicje</w:t>
      </w:r>
      <w:bookmarkEnd w:id="3"/>
      <w:bookmarkEnd w:id="4"/>
    </w:p>
    <w:p w14:paraId="6FEA8D8E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5" w:name="_Toc144976029"/>
      <w:bookmarkStart w:id="6" w:name="_Toc2"/>
      <w:r w:rsidRPr="00C01871">
        <w:rPr>
          <w:rFonts w:ascii="Calibri" w:hAnsi="Calibri"/>
          <w:b/>
          <w:bCs/>
        </w:rPr>
        <w:t>Osoby ze szczególnymi potrzebami</w:t>
      </w:r>
      <w:bookmarkEnd w:id="5"/>
      <w:r w:rsidRPr="00C01871">
        <w:rPr>
          <w:rFonts w:ascii="Calibri" w:hAnsi="Calibri"/>
          <w:b/>
          <w:bCs/>
        </w:rPr>
        <w:t xml:space="preserve"> </w:t>
      </w:r>
      <w:bookmarkEnd w:id="6"/>
    </w:p>
    <w:p w14:paraId="14457387" w14:textId="52C3BEF1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osoby, które ze względu na swoje cechy wewnętrzne, zewnętrzne lub na okoliczności, w jakich się znajdują, napotykają na bariery w otoczeniu, utrudniające lub uniemożliwiające pełny udział w życiu społecznym i zawodowym. Należy przez to rozumieć osoby z niepełnosprawnościami, osoby starsze, osoby neuroróżnorodne, osoby ze szczególnymi potrzebami w zakresie uczenia się, osoby z trudnościami w obszarze zdrowia psychicznego, osoby chorujące przewlekle, kobiety w ciąży, matki karmiące, rodziców małych dzieci, opiekunów osób zależnych itp.</w:t>
      </w:r>
      <w:r w:rsidR="00FB77B2">
        <w:rPr>
          <w:kern w:val="0"/>
          <w:sz w:val="24"/>
          <w:szCs w:val="24"/>
        </w:rPr>
        <w:t xml:space="preserve"> w kontekście funkcjonowania uczelni.</w:t>
      </w:r>
    </w:p>
    <w:p w14:paraId="476DCE18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7" w:name="_Toc3"/>
      <w:bookmarkStart w:id="8" w:name="_Toc144976030"/>
      <w:r w:rsidRPr="00C01871">
        <w:rPr>
          <w:rFonts w:ascii="Calibri" w:hAnsi="Calibri"/>
          <w:b/>
          <w:bCs/>
        </w:rPr>
        <w:t>Społeczność akademicka</w:t>
      </w:r>
      <w:bookmarkEnd w:id="7"/>
      <w:bookmarkEnd w:id="8"/>
    </w:p>
    <w:p w14:paraId="5A885691" w14:textId="555666E3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 xml:space="preserve">osoby, które tworzą </w:t>
      </w:r>
      <w:r w:rsidR="001938AA">
        <w:rPr>
          <w:kern w:val="0"/>
          <w:sz w:val="24"/>
          <w:szCs w:val="24"/>
        </w:rPr>
        <w:t>u</w:t>
      </w:r>
      <w:r w:rsidRPr="00C01871">
        <w:rPr>
          <w:kern w:val="0"/>
          <w:sz w:val="24"/>
          <w:szCs w:val="24"/>
        </w:rPr>
        <w:t xml:space="preserve">czelnię zgodnie ze wspólnie przyjętymi wartościami. Są to w szczególności: osoby studiujące z obywatelstwem polskim, </w:t>
      </w:r>
      <w:r w:rsidR="00FB77B2">
        <w:rPr>
          <w:kern w:val="0"/>
          <w:sz w:val="24"/>
          <w:szCs w:val="24"/>
        </w:rPr>
        <w:t>osoby</w:t>
      </w:r>
      <w:r w:rsidR="00ED2C6A">
        <w:rPr>
          <w:kern w:val="0"/>
          <w:sz w:val="24"/>
          <w:szCs w:val="24"/>
        </w:rPr>
        <w:t xml:space="preserve"> studiujące</w:t>
      </w:r>
      <w:r w:rsidR="00FB77B2">
        <w:rPr>
          <w:kern w:val="0"/>
          <w:sz w:val="24"/>
          <w:szCs w:val="24"/>
        </w:rPr>
        <w:t xml:space="preserve"> z doświadczeniem </w:t>
      </w:r>
      <w:r w:rsidR="009C454A" w:rsidRPr="00C01871">
        <w:rPr>
          <w:kern w:val="0"/>
          <w:sz w:val="24"/>
          <w:szCs w:val="24"/>
        </w:rPr>
        <w:t>uchod</w:t>
      </w:r>
      <w:r w:rsidR="009C454A">
        <w:rPr>
          <w:kern w:val="0"/>
          <w:sz w:val="24"/>
          <w:szCs w:val="24"/>
        </w:rPr>
        <w:t>źczym</w:t>
      </w:r>
      <w:r w:rsidRPr="00C01871">
        <w:rPr>
          <w:kern w:val="0"/>
          <w:sz w:val="24"/>
          <w:szCs w:val="24"/>
        </w:rPr>
        <w:t xml:space="preserve">, </w:t>
      </w:r>
      <w:r w:rsidR="00ED2C6A">
        <w:rPr>
          <w:kern w:val="0"/>
          <w:sz w:val="24"/>
          <w:szCs w:val="24"/>
        </w:rPr>
        <w:t>osoby studiujące</w:t>
      </w:r>
      <w:r w:rsidRPr="00C01871">
        <w:rPr>
          <w:kern w:val="0"/>
          <w:sz w:val="24"/>
          <w:szCs w:val="24"/>
        </w:rPr>
        <w:t xml:space="preserve"> </w:t>
      </w:r>
      <w:r w:rsidR="00FB77B2">
        <w:rPr>
          <w:kern w:val="0"/>
          <w:sz w:val="24"/>
          <w:szCs w:val="24"/>
        </w:rPr>
        <w:t xml:space="preserve">z </w:t>
      </w:r>
      <w:r w:rsidRPr="00C01871">
        <w:rPr>
          <w:kern w:val="0"/>
          <w:sz w:val="24"/>
          <w:szCs w:val="24"/>
        </w:rPr>
        <w:t>zagranic</w:t>
      </w:r>
      <w:r w:rsidR="00FB77B2">
        <w:rPr>
          <w:kern w:val="0"/>
          <w:sz w:val="24"/>
          <w:szCs w:val="24"/>
        </w:rPr>
        <w:t>y</w:t>
      </w:r>
      <w:r w:rsidRPr="00C01871">
        <w:rPr>
          <w:kern w:val="0"/>
          <w:sz w:val="24"/>
          <w:szCs w:val="24"/>
        </w:rPr>
        <w:t>, słuchacze</w:t>
      </w:r>
      <w:r w:rsidR="0008560B">
        <w:rPr>
          <w:kern w:val="0"/>
          <w:sz w:val="24"/>
          <w:szCs w:val="24"/>
        </w:rPr>
        <w:t xml:space="preserve"> i słuchaczki</w:t>
      </w:r>
      <w:r w:rsidRPr="00C01871">
        <w:rPr>
          <w:kern w:val="0"/>
          <w:sz w:val="24"/>
          <w:szCs w:val="24"/>
        </w:rPr>
        <w:t xml:space="preserve"> studiów podyplomowych, doktoranci</w:t>
      </w:r>
      <w:r w:rsidR="0008560B">
        <w:rPr>
          <w:kern w:val="0"/>
          <w:sz w:val="24"/>
          <w:szCs w:val="24"/>
        </w:rPr>
        <w:t xml:space="preserve"> i doktorantki</w:t>
      </w:r>
      <w:r w:rsidRPr="00C01871">
        <w:rPr>
          <w:kern w:val="0"/>
          <w:sz w:val="24"/>
          <w:szCs w:val="24"/>
        </w:rPr>
        <w:t>, osoby uczestniczące w zajęciach Uniwersytetu Trzeciego Wieku, Uniwersytety Dziecięce, przedszkola i szkoły uniwersyteckie, kadra naukowa, dydaktyczna, administracyjna, inżynieryjno-techniczna, personel obsługowy, bibliotekarze, kustosze muzealni, pracownicy emerytowani.</w:t>
      </w:r>
    </w:p>
    <w:p w14:paraId="3B6DEF70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9" w:name="_Toc4"/>
      <w:bookmarkStart w:id="10" w:name="_Toc144976031"/>
      <w:r w:rsidRPr="00C01871">
        <w:rPr>
          <w:rFonts w:ascii="Calibri" w:hAnsi="Calibri"/>
          <w:b/>
          <w:bCs/>
        </w:rPr>
        <w:lastRenderedPageBreak/>
        <w:t>Bariera</w:t>
      </w:r>
      <w:bookmarkEnd w:id="9"/>
      <w:bookmarkEnd w:id="10"/>
    </w:p>
    <w:p w14:paraId="038771B6" w14:textId="77777777" w:rsidR="00224125" w:rsidRPr="00C01871" w:rsidRDefault="00984140" w:rsidP="00B236AF">
      <w:pPr>
        <w:widowControl w:val="0"/>
        <w:spacing w:before="100" w:after="120" w:line="276" w:lineRule="auto"/>
        <w:rPr>
          <w:b/>
          <w:bCs/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właściwość środowiska fizycznego, cyfrowego, informacyjno-komunikacyjnego, realizowane procesy i przyjęte metody działania, które sprawiają, że w ich obliczu ujawniają się szczególne potrzeby, co utrudnia lub uniemożliwia pełny udział w życiu społecznym i zawodowym.</w:t>
      </w:r>
      <w:r w:rsidRPr="00C01871">
        <w:rPr>
          <w:b/>
          <w:bCs/>
          <w:kern w:val="0"/>
          <w:sz w:val="24"/>
          <w:szCs w:val="24"/>
        </w:rPr>
        <w:t> </w:t>
      </w:r>
    </w:p>
    <w:p w14:paraId="7E21F44F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11" w:name="_Toc5"/>
      <w:bookmarkStart w:id="12" w:name="_Toc144976032"/>
      <w:r w:rsidRPr="00C01871">
        <w:rPr>
          <w:rFonts w:ascii="Calibri" w:hAnsi="Calibri"/>
          <w:b/>
          <w:bCs/>
        </w:rPr>
        <w:t>Uniwersalne projektowanie</w:t>
      </w:r>
      <w:bookmarkEnd w:id="11"/>
      <w:bookmarkEnd w:id="12"/>
    </w:p>
    <w:p w14:paraId="77A66671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oznacza projektowanie produktów, środowiska, programów i usług w taki sposób, by były użyteczne dla wszystkich, w możliwie największym stopniu, bez potrzeby adaptacji lub specjalistycznego projektowania. Uniwersalne projektowanie dotyczy wszystkich obszarów dostępności.</w:t>
      </w:r>
    </w:p>
    <w:p w14:paraId="45B5050C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13" w:name="_Toc6"/>
      <w:bookmarkStart w:id="14" w:name="_Toc144976033"/>
      <w:r w:rsidRPr="00C01871">
        <w:rPr>
          <w:rFonts w:ascii="Calibri" w:hAnsi="Calibri"/>
          <w:b/>
          <w:bCs/>
        </w:rPr>
        <w:t>Racjonalne dostosowanie/usprawnienie</w:t>
      </w:r>
      <w:bookmarkEnd w:id="13"/>
      <w:bookmarkEnd w:id="14"/>
    </w:p>
    <w:p w14:paraId="4C8F6AE9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konieczne i adekwatne do potrzeb adaptacje w celu zapewnienia równego dostępu do środowiska fizycznego, cyfrowego i procesów, nienakładające nadmiernego lub nieproporcjonalnego obciążenia (np. ekonomicznego).</w:t>
      </w:r>
    </w:p>
    <w:p w14:paraId="35054669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15" w:name="_Toc7"/>
      <w:bookmarkStart w:id="16" w:name="_Toc144976034"/>
      <w:r w:rsidRPr="00C01871">
        <w:rPr>
          <w:rFonts w:ascii="Calibri" w:hAnsi="Calibri"/>
          <w:b/>
          <w:bCs/>
        </w:rPr>
        <w:t>Dostęp alternatywny</w:t>
      </w:r>
      <w:bookmarkEnd w:id="15"/>
      <w:bookmarkEnd w:id="16"/>
    </w:p>
    <w:p w14:paraId="266AF4DA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rozwiązanie, które nie jest uniwersalne, ale ze względu na przesłanki techniczne lub prawne, jest jedynym możliwym do wdrożenia. Każdorazowe zastosowanie dostępu alternatywnego wymaga analizy i uzasadnienia.</w:t>
      </w:r>
    </w:p>
    <w:p w14:paraId="70400657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17" w:name="_Toc8"/>
      <w:bookmarkStart w:id="18" w:name="_Toc144976035"/>
      <w:r w:rsidRPr="00C01871">
        <w:rPr>
          <w:rFonts w:ascii="Calibri" w:hAnsi="Calibri"/>
          <w:b/>
          <w:bCs/>
        </w:rPr>
        <w:t>Dostępność</w:t>
      </w:r>
      <w:bookmarkEnd w:id="17"/>
      <w:bookmarkEnd w:id="18"/>
    </w:p>
    <w:p w14:paraId="63402BD1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 xml:space="preserve">taka właściwość środowiska fizycznego, środowiska cyfrowego, procesów organizacyjnych i zarządczych, która sprawia, że każda osoba, niezależnie od swoich cech lub okoliczności, w jakich się znajduje, może w pełni realizować swój potencjał, prawa i obowiązki. Dostępność to zapewnienie możliwie maksymalnej samodzielności, niezależności wyboru i bezpieczeństwa. Dostępność jest rozumiana jako prawo człowieka. </w:t>
      </w:r>
    </w:p>
    <w:p w14:paraId="2FDDE6A4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19" w:name="_Toc9"/>
      <w:bookmarkStart w:id="20" w:name="_Toc144976036"/>
      <w:r w:rsidRPr="00C01871">
        <w:rPr>
          <w:rFonts w:ascii="Calibri" w:hAnsi="Calibri"/>
          <w:b/>
          <w:bCs/>
        </w:rPr>
        <w:t>Społeczny model niepełnosprawności</w:t>
      </w:r>
      <w:bookmarkEnd w:id="19"/>
      <w:bookmarkEnd w:id="20"/>
    </w:p>
    <w:p w14:paraId="6EE5E2C3" w14:textId="06C248AB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 xml:space="preserve">podejście do niepełnosprawności w świetle zapisów </w:t>
      </w:r>
      <w:r w:rsidRPr="001938AA">
        <w:rPr>
          <w:i/>
          <w:iCs/>
          <w:kern w:val="0"/>
          <w:sz w:val="24"/>
          <w:szCs w:val="24"/>
        </w:rPr>
        <w:t xml:space="preserve">Konwencji ONZ o </w:t>
      </w:r>
      <w:r w:rsidR="001144E6">
        <w:rPr>
          <w:i/>
          <w:iCs/>
          <w:kern w:val="0"/>
          <w:sz w:val="24"/>
          <w:szCs w:val="24"/>
        </w:rPr>
        <w:t>p</w:t>
      </w:r>
      <w:r w:rsidRPr="001938AA">
        <w:rPr>
          <w:i/>
          <w:iCs/>
          <w:kern w:val="0"/>
          <w:sz w:val="24"/>
          <w:szCs w:val="24"/>
        </w:rPr>
        <w:t xml:space="preserve">rawach </w:t>
      </w:r>
      <w:r w:rsidR="001144E6">
        <w:rPr>
          <w:i/>
          <w:iCs/>
          <w:kern w:val="0"/>
          <w:sz w:val="24"/>
          <w:szCs w:val="24"/>
        </w:rPr>
        <w:t>o</w:t>
      </w:r>
      <w:r w:rsidRPr="001938AA">
        <w:rPr>
          <w:i/>
          <w:iCs/>
          <w:kern w:val="0"/>
          <w:sz w:val="24"/>
          <w:szCs w:val="24"/>
        </w:rPr>
        <w:t xml:space="preserve">sób </w:t>
      </w:r>
      <w:r w:rsidR="001144E6">
        <w:rPr>
          <w:i/>
          <w:iCs/>
          <w:kern w:val="0"/>
          <w:sz w:val="24"/>
          <w:szCs w:val="24"/>
        </w:rPr>
        <w:t>n</w:t>
      </w:r>
      <w:r w:rsidRPr="001938AA">
        <w:rPr>
          <w:i/>
          <w:iCs/>
          <w:kern w:val="0"/>
          <w:sz w:val="24"/>
          <w:szCs w:val="24"/>
        </w:rPr>
        <w:t>iepełnosprawnych</w:t>
      </w:r>
      <w:r w:rsidRPr="00C01871">
        <w:rPr>
          <w:kern w:val="0"/>
          <w:sz w:val="24"/>
          <w:szCs w:val="24"/>
        </w:rPr>
        <w:t>, wywodzące prawa tych osób z praw człowieka. Model społeczny stawia osobę z niepełnosprawnością w centrum wszelkich oddziaływań jej dotyczących i czyni tę osobę współdecydującą o sprawach związanych z jej codziennym funkcjonowaniem w społeczeństwie, a co za tym idzie, także w społeczności akademickiej.</w:t>
      </w:r>
    </w:p>
    <w:p w14:paraId="04395418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21" w:name="_Toc10"/>
      <w:bookmarkStart w:id="22" w:name="_Toc144976037"/>
      <w:r w:rsidRPr="00C01871">
        <w:rPr>
          <w:rFonts w:ascii="Calibri" w:hAnsi="Calibri"/>
          <w:b/>
          <w:bCs/>
        </w:rPr>
        <w:t>Polityka zapewniania dostępności</w:t>
      </w:r>
      <w:bookmarkEnd w:id="21"/>
      <w:bookmarkEnd w:id="22"/>
    </w:p>
    <w:p w14:paraId="265BDCEF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przyjęte w uczelni, spisane i publicznie dostępne zasady zapewniania dostępności, struktura, sposoby działania na rzecz zapewniania dostępności dla osób ze szczególnymi potrzebami tworzących społeczność akademicką. Dostępność ma swoje odzwierciedlenie w dokumentach strategicznych uczelni np. w strategii rozwoju, strategii/polityce zapewniania dostępności itp.</w:t>
      </w:r>
    </w:p>
    <w:p w14:paraId="2D3789DA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23" w:name="_Toc11"/>
      <w:bookmarkStart w:id="24" w:name="_Toc144976038"/>
      <w:r w:rsidRPr="00C01871">
        <w:rPr>
          <w:rFonts w:ascii="Calibri" w:hAnsi="Calibri"/>
          <w:b/>
          <w:bCs/>
        </w:rPr>
        <w:t>Modelowy/ systemowy charakter działań/ rozwiązań</w:t>
      </w:r>
      <w:bookmarkEnd w:id="23"/>
      <w:bookmarkEnd w:id="24"/>
    </w:p>
    <w:p w14:paraId="46B03F8B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to rozwiązania/działania tworzące podmiotowe, bezpieczne, transparentne środowisko, dalekie od uznaniowości, to także rozwiązania i działania, które nie są tylko doraźne, ich trwałość nie zależy jedynie od zaangażowania aktualnie pracujących osób, lecz wpisują się one na stałe w kulturę organizacyjną uczelni.</w:t>
      </w:r>
    </w:p>
    <w:p w14:paraId="72829F0B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25" w:name="_Toc12"/>
      <w:bookmarkStart w:id="26" w:name="_Toc144976039"/>
      <w:r w:rsidRPr="00C01871">
        <w:rPr>
          <w:rFonts w:ascii="Calibri" w:hAnsi="Calibri"/>
          <w:b/>
          <w:bCs/>
        </w:rPr>
        <w:t>Laboratorium partycypacji</w:t>
      </w:r>
      <w:bookmarkEnd w:id="25"/>
      <w:bookmarkEnd w:id="26"/>
    </w:p>
    <w:p w14:paraId="4E4D55EF" w14:textId="77777777" w:rsidR="00F608D7" w:rsidRPr="00C01871" w:rsidRDefault="00984140" w:rsidP="00F608D7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 xml:space="preserve">mechanizm wspólnego uczenia się oraz monitoringu jakości </w:t>
      </w:r>
      <w:r w:rsidR="00705520">
        <w:rPr>
          <w:kern w:val="0"/>
          <w:sz w:val="24"/>
          <w:szCs w:val="24"/>
        </w:rPr>
        <w:t xml:space="preserve">działań </w:t>
      </w:r>
      <w:r w:rsidRPr="00C01871">
        <w:rPr>
          <w:kern w:val="0"/>
          <w:sz w:val="24"/>
          <w:szCs w:val="24"/>
        </w:rPr>
        <w:t xml:space="preserve">w projektach. Seminarium, pod patronatem Narodowego Centrum Badań i Rozwoju, organizowane przez uczelnie, których projekty zostały zakwalifikowane w ścieżce „Liderzy dostępności”, otwarte dla uczelni, </w:t>
      </w:r>
      <w:bookmarkStart w:id="27" w:name="_Toc13"/>
      <w:bookmarkStart w:id="28" w:name="_Toc144976040"/>
      <w:r w:rsidR="00F608D7" w:rsidRPr="00C01871">
        <w:rPr>
          <w:rStyle w:val="Brak"/>
          <w:kern w:val="0"/>
          <w:sz w:val="24"/>
          <w:szCs w:val="24"/>
        </w:rPr>
        <w:t>realizujących projekty w konkursie „Uczelnie coraz bardziej dostępne”</w:t>
      </w:r>
      <w:r w:rsidR="00F608D7">
        <w:rPr>
          <w:rStyle w:val="Brak"/>
          <w:kern w:val="0"/>
          <w:sz w:val="24"/>
          <w:szCs w:val="24"/>
        </w:rPr>
        <w:t xml:space="preserve"> oraz projekty w konkursie „</w:t>
      </w:r>
      <w:r w:rsidR="00F608D7" w:rsidRPr="0008560B">
        <w:rPr>
          <w:kern w:val="0"/>
          <w:sz w:val="24"/>
          <w:szCs w:val="24"/>
        </w:rPr>
        <w:t>Dostępność podmiotów szkolnictwa wyższego</w:t>
      </w:r>
      <w:r w:rsidR="00F608D7">
        <w:rPr>
          <w:kern w:val="0"/>
          <w:sz w:val="24"/>
          <w:szCs w:val="24"/>
        </w:rPr>
        <w:t>”</w:t>
      </w:r>
      <w:r w:rsidR="00F608D7">
        <w:rPr>
          <w:rStyle w:val="cf01"/>
        </w:rPr>
        <w:t>.</w:t>
      </w:r>
    </w:p>
    <w:p w14:paraId="1524D977" w14:textId="07E68094" w:rsidR="00224125" w:rsidRPr="00F608D7" w:rsidRDefault="00984140" w:rsidP="00F608D7">
      <w:pPr>
        <w:pStyle w:val="Nagwek3"/>
        <w:spacing w:before="100" w:after="120" w:line="276" w:lineRule="auto"/>
        <w:rPr>
          <w:rFonts w:ascii="Calibri" w:hAnsi="Calibri"/>
          <w:b/>
          <w:bCs/>
        </w:rPr>
      </w:pPr>
      <w:r w:rsidRPr="00C01871">
        <w:rPr>
          <w:rFonts w:ascii="Calibri" w:hAnsi="Calibri"/>
          <w:b/>
          <w:bCs/>
        </w:rPr>
        <w:t>Panel ekspercki</w:t>
      </w:r>
      <w:bookmarkEnd w:id="27"/>
      <w:bookmarkEnd w:id="28"/>
    </w:p>
    <w:p w14:paraId="41B77742" w14:textId="5EB72461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 xml:space="preserve">mechanizm monitoringu jakości wniosków składanych w ścieżce „Liderzy dostępności”. W skład panelu wchodzą: </w:t>
      </w:r>
      <w:r w:rsidRPr="00DA7112">
        <w:rPr>
          <w:kern w:val="0"/>
          <w:sz w:val="24"/>
          <w:szCs w:val="24"/>
        </w:rPr>
        <w:t>eksper</w:t>
      </w:r>
      <w:r w:rsidR="0008560B" w:rsidRPr="00DA7112">
        <w:rPr>
          <w:kern w:val="0"/>
          <w:sz w:val="24"/>
          <w:szCs w:val="24"/>
        </w:rPr>
        <w:t>t/ka ze</w:t>
      </w:r>
      <w:r w:rsidRPr="00DA7112">
        <w:rPr>
          <w:kern w:val="0"/>
          <w:sz w:val="24"/>
          <w:szCs w:val="24"/>
        </w:rPr>
        <w:t xml:space="preserve"> środowiska akademickiego w zakresie dostępności uczelni, przedstawiciel</w:t>
      </w:r>
      <w:r w:rsidR="0008560B" w:rsidRPr="00DA7112">
        <w:rPr>
          <w:kern w:val="0"/>
          <w:sz w:val="24"/>
          <w:szCs w:val="24"/>
        </w:rPr>
        <w:t>/ka</w:t>
      </w:r>
      <w:r w:rsidRPr="00DA7112">
        <w:rPr>
          <w:kern w:val="0"/>
          <w:sz w:val="24"/>
          <w:szCs w:val="24"/>
        </w:rPr>
        <w:t xml:space="preserve"> Narodowego Centrum Badań i Rozwoju, przedstawiciel</w:t>
      </w:r>
      <w:r w:rsidR="0008560B" w:rsidRPr="00DA7112">
        <w:rPr>
          <w:kern w:val="0"/>
          <w:sz w:val="24"/>
          <w:szCs w:val="24"/>
        </w:rPr>
        <w:t>/ka</w:t>
      </w:r>
      <w:r w:rsidRPr="00DA7112">
        <w:rPr>
          <w:kern w:val="0"/>
          <w:sz w:val="24"/>
          <w:szCs w:val="24"/>
        </w:rPr>
        <w:t xml:space="preserve"> Komisji ds. Wyrównywania Szans Edukacyjnych przy Komisji Rektorów Akademickich Szkół Polskich</w:t>
      </w:r>
      <w:r w:rsidR="00DA7112" w:rsidRPr="00DA7112">
        <w:rPr>
          <w:kern w:val="0"/>
          <w:sz w:val="24"/>
          <w:szCs w:val="24"/>
        </w:rPr>
        <w:t>.</w:t>
      </w:r>
    </w:p>
    <w:p w14:paraId="3666EE54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29" w:name="_Toc14"/>
      <w:bookmarkStart w:id="30" w:name="_Toc144976041"/>
      <w:r w:rsidRPr="00C01871">
        <w:rPr>
          <w:rFonts w:ascii="Calibri" w:hAnsi="Calibri"/>
          <w:b/>
          <w:bCs/>
        </w:rPr>
        <w:t>Trzecia misja uczelni</w:t>
      </w:r>
      <w:bookmarkEnd w:id="29"/>
      <w:bookmarkEnd w:id="30"/>
    </w:p>
    <w:p w14:paraId="25D1CDB5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podejmowanie przez uczelnię działań na rzecz otoczenia lokalnego i regionalnego, o charakterze społeczno-edukacyjno-ekologicznym, poprzez bezpośrednie wsparcie lub przygotowanie rozwiązań systemowych pozwalających na dalszy, harmonijny rozwój społeczny, ze szczególnym uwzględnieniem idei dostępności.</w:t>
      </w:r>
    </w:p>
    <w:p w14:paraId="7CCD4D46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31" w:name="_Toc15"/>
      <w:bookmarkStart w:id="32" w:name="_Toc144976042"/>
      <w:r w:rsidRPr="00C01871">
        <w:rPr>
          <w:rFonts w:ascii="Calibri" w:hAnsi="Calibri"/>
          <w:b/>
          <w:bCs/>
        </w:rPr>
        <w:t>Technologie wspierające (Ang. Assistive Technologies)</w:t>
      </w:r>
      <w:bookmarkEnd w:id="31"/>
      <w:bookmarkEnd w:id="32"/>
    </w:p>
    <w:p w14:paraId="6B1A834B" w14:textId="77777777" w:rsidR="00224125" w:rsidRPr="00C01871" w:rsidRDefault="00984140" w:rsidP="00B236AF">
      <w:pPr>
        <w:widowControl w:val="0"/>
        <w:spacing w:before="10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 xml:space="preserve">to wszelkie urządzenia, sprzęt, oprogramowanie, systemy i usługi, które pomagają osobom z niepełnosprawnościami i szczególnymi potrzebami zwiększyć, zachować lub poprawić ich zdolności funkcjonalne. </w:t>
      </w:r>
    </w:p>
    <w:p w14:paraId="732BC0AA" w14:textId="77777777" w:rsidR="00224125" w:rsidRPr="00C01871" w:rsidRDefault="00984140" w:rsidP="00B236AF">
      <w:pPr>
        <w:pStyle w:val="Nagwek3"/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33" w:name="_Toc16"/>
      <w:bookmarkStart w:id="34" w:name="_Toc144976043"/>
      <w:r w:rsidRPr="00C01871">
        <w:rPr>
          <w:rFonts w:ascii="Calibri" w:hAnsi="Calibri"/>
          <w:b/>
          <w:bCs/>
        </w:rPr>
        <w:t>Centrum dostępności</w:t>
      </w:r>
      <w:bookmarkEnd w:id="33"/>
      <w:bookmarkEnd w:id="34"/>
    </w:p>
    <w:p w14:paraId="708B33AA" w14:textId="51178F7D" w:rsidR="00224125" w:rsidRPr="00C01871" w:rsidRDefault="00984140" w:rsidP="00B236AF">
      <w:pPr>
        <w:widowControl w:val="0"/>
        <w:spacing w:before="240" w:after="120" w:line="276" w:lineRule="auto"/>
        <w:rPr>
          <w:kern w:val="0"/>
          <w:sz w:val="24"/>
          <w:szCs w:val="24"/>
        </w:rPr>
      </w:pPr>
      <w:r w:rsidRPr="00C01871">
        <w:rPr>
          <w:kern w:val="0"/>
          <w:sz w:val="24"/>
          <w:szCs w:val="24"/>
        </w:rPr>
        <w:t>to jednostka organizacyjna uczelni gromadząca wiedzę w dziedzinie dostępności i uniwersalnego projektowania na najwyższym poziomie merytorycznym. Celem działania i rozwoju centrów jest opracowywanie, wdrażanie</w:t>
      </w:r>
      <w:r w:rsidR="0002133C">
        <w:rPr>
          <w:kern w:val="0"/>
          <w:sz w:val="24"/>
          <w:szCs w:val="24"/>
        </w:rPr>
        <w:t xml:space="preserve"> rozwiązań w zakresie</w:t>
      </w:r>
      <w:r w:rsidRPr="00C01871">
        <w:rPr>
          <w:kern w:val="0"/>
          <w:sz w:val="24"/>
          <w:szCs w:val="24"/>
        </w:rPr>
        <w:t xml:space="preserve"> dostępności we współpracy z innymi jednostkami uczelni i dążenie do doskonałości w tej dziedzinie w oparciu o najlepsze praktyki i doświadczenia krajowe oraz międzynarodowe. Centra tworzą wzorce i metody działania w obszarach dostępności, standaryzują je i przekazują innym uczelniom oraz </w:t>
      </w:r>
      <w:bookmarkStart w:id="35" w:name="_Hlk144904650"/>
      <w:r w:rsidRPr="00C01871">
        <w:rPr>
          <w:kern w:val="0"/>
          <w:sz w:val="24"/>
          <w:szCs w:val="24"/>
        </w:rPr>
        <w:t>oddziałują na swoje otoczenie społeczne i biznesowe, realizując trzecią misję.</w:t>
      </w:r>
    </w:p>
    <w:p w14:paraId="2749EEFB" w14:textId="77777777" w:rsidR="00224125" w:rsidRPr="00C01871" w:rsidRDefault="00984140" w:rsidP="00984140">
      <w:pPr>
        <w:pStyle w:val="Nagwek2"/>
        <w:numPr>
          <w:ilvl w:val="0"/>
          <w:numId w:val="2"/>
        </w:numPr>
        <w:spacing w:line="276" w:lineRule="auto"/>
      </w:pPr>
      <w:bookmarkStart w:id="36" w:name="_Toc17"/>
      <w:bookmarkStart w:id="37" w:name="_Toc144976044"/>
      <w:bookmarkEnd w:id="35"/>
      <w:r w:rsidRPr="00C01871">
        <w:t>Podstawy prawne zapewniania dostępności</w:t>
      </w:r>
      <w:bookmarkEnd w:id="36"/>
      <w:bookmarkEnd w:id="37"/>
    </w:p>
    <w:p w14:paraId="5A61CE27" w14:textId="5D125BF5" w:rsidR="00224125" w:rsidRPr="00C01871" w:rsidRDefault="00984140" w:rsidP="00984140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C01871">
        <w:rPr>
          <w:rStyle w:val="Hyperlink0"/>
          <w:sz w:val="24"/>
          <w:szCs w:val="24"/>
        </w:rPr>
        <w:t>Konwencja ONZ o prawach osób niepełnosprawn</w:t>
      </w:r>
      <w:r w:rsidR="001144E6">
        <w:rPr>
          <w:rStyle w:val="Hyperlink0"/>
          <w:sz w:val="24"/>
          <w:szCs w:val="24"/>
        </w:rPr>
        <w:t>ych</w:t>
      </w:r>
      <w:r w:rsidRPr="00C01871">
        <w:rPr>
          <w:rStyle w:val="Brak"/>
          <w:sz w:val="24"/>
          <w:szCs w:val="24"/>
        </w:rPr>
        <w:t xml:space="preserve"> (Dz.U.2012 poz. 1169),</w:t>
      </w:r>
    </w:p>
    <w:p w14:paraId="752E8622" w14:textId="77777777" w:rsidR="00224125" w:rsidRPr="00C01871" w:rsidRDefault="00B25BE0" w:rsidP="00984140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hyperlink r:id="rId8" w:history="1">
        <w:r w:rsidR="00984140" w:rsidRPr="00C01871">
          <w:rPr>
            <w:rStyle w:val="Hyperlink0"/>
            <w:sz w:val="24"/>
            <w:szCs w:val="24"/>
          </w:rPr>
          <w:t>Ustawa Prawo o szkolnictwie wyższym i nauce z dnia 20 lipca 2018 r. z późniejszymi zmianami</w:t>
        </w:r>
      </w:hyperlink>
      <w:r w:rsidR="00984140" w:rsidRPr="00C01871">
        <w:rPr>
          <w:rStyle w:val="Brak"/>
          <w:color w:val="2F5496"/>
          <w:sz w:val="24"/>
          <w:szCs w:val="24"/>
          <w:u w:color="2F5496"/>
        </w:rPr>
        <w:t xml:space="preserve"> </w:t>
      </w:r>
      <w:r w:rsidR="00984140" w:rsidRPr="00C01871">
        <w:rPr>
          <w:rStyle w:val="Brak"/>
          <w:sz w:val="24"/>
          <w:szCs w:val="24"/>
        </w:rPr>
        <w:t>(Dz. U. 2023 poz. 742),</w:t>
      </w:r>
    </w:p>
    <w:p w14:paraId="14DCA9A2" w14:textId="77777777" w:rsidR="00224125" w:rsidRPr="00C01871" w:rsidRDefault="00B25BE0" w:rsidP="00984140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hyperlink r:id="rId9" w:history="1">
        <w:r w:rsidR="00984140" w:rsidRPr="00C01871">
          <w:rPr>
            <w:rStyle w:val="Hyperlink0"/>
            <w:sz w:val="24"/>
            <w:szCs w:val="24"/>
          </w:rPr>
          <w:t>Ustawa o zapewnianiu dostępności podmiotów publicznych osobom ze szczególnymi potrzebami z 19 lipca 2019 roku</w:t>
        </w:r>
      </w:hyperlink>
      <w:r w:rsidR="00984140" w:rsidRPr="00C01871">
        <w:rPr>
          <w:rStyle w:val="Brak"/>
          <w:sz w:val="24"/>
          <w:szCs w:val="24"/>
        </w:rPr>
        <w:t xml:space="preserve"> (Dz. U. 2019 poz. 1696),</w:t>
      </w:r>
    </w:p>
    <w:p w14:paraId="70647940" w14:textId="77777777" w:rsidR="00224125" w:rsidRPr="00C01871" w:rsidRDefault="00B25BE0" w:rsidP="00984140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hyperlink r:id="rId10" w:history="1">
        <w:r w:rsidR="00984140" w:rsidRPr="00C01871">
          <w:rPr>
            <w:rStyle w:val="Hyperlink0"/>
            <w:sz w:val="24"/>
            <w:szCs w:val="24"/>
          </w:rPr>
          <w:t>Ustawa o dostępności cyfrowej stron internetowych i aplikacji mobilnych z 4 kwietnia 2019 roku</w:t>
        </w:r>
      </w:hyperlink>
      <w:r w:rsidR="00984140" w:rsidRPr="00C01871">
        <w:rPr>
          <w:rStyle w:val="Brak"/>
          <w:sz w:val="24"/>
          <w:szCs w:val="24"/>
        </w:rPr>
        <w:t xml:space="preserve"> (Dz. U. 2019 poz. 848) z późniejszymi zmianami tj. </w:t>
      </w:r>
      <w:hyperlink r:id="rId11" w:history="1">
        <w:r w:rsidR="00984140" w:rsidRPr="00C01871">
          <w:rPr>
            <w:rStyle w:val="Hyperlink0"/>
            <w:sz w:val="24"/>
            <w:szCs w:val="24"/>
          </w:rPr>
          <w:t>Ustawą o zmianie ustawy o dostępności cyfrowej stron internetowych i aplikacji mobilnych podmiotów publicznych z 9 marca 2023 r.</w:t>
        </w:r>
      </w:hyperlink>
      <w:r w:rsidR="00984140" w:rsidRPr="00C01871">
        <w:rPr>
          <w:rStyle w:val="Brak"/>
          <w:sz w:val="24"/>
          <w:szCs w:val="24"/>
        </w:rPr>
        <w:t xml:space="preserve"> (Dz.U. 2023 poz. 511),</w:t>
      </w:r>
    </w:p>
    <w:p w14:paraId="598C7E71" w14:textId="55E33A6E" w:rsidR="00224125" w:rsidRPr="00C01871" w:rsidRDefault="00B25BE0" w:rsidP="00984140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hyperlink r:id="rId12" w:history="1">
        <w:r w:rsidR="00984140" w:rsidRPr="00C01871">
          <w:rPr>
            <w:rStyle w:val="Hyperlink0"/>
            <w:sz w:val="24"/>
            <w:szCs w:val="24"/>
          </w:rPr>
          <w:t>Ustawa o polskim języku migowym i  innych środkach komunikowania się z</w:t>
        </w:r>
        <w:r w:rsidR="001144E6">
          <w:rPr>
            <w:rStyle w:val="Hyperlink0"/>
            <w:sz w:val="24"/>
            <w:szCs w:val="24"/>
          </w:rPr>
          <w:t> </w:t>
        </w:r>
        <w:r w:rsidR="00984140" w:rsidRPr="00C01871">
          <w:rPr>
            <w:rStyle w:val="Hyperlink0"/>
            <w:sz w:val="24"/>
            <w:szCs w:val="24"/>
          </w:rPr>
          <w:t>19</w:t>
        </w:r>
        <w:r w:rsidR="001144E6">
          <w:rPr>
            <w:rStyle w:val="Hyperlink0"/>
            <w:sz w:val="24"/>
            <w:szCs w:val="24"/>
          </w:rPr>
          <w:t> </w:t>
        </w:r>
        <w:r w:rsidR="00984140" w:rsidRPr="00C01871">
          <w:rPr>
            <w:rStyle w:val="Hyperlink0"/>
            <w:sz w:val="24"/>
            <w:szCs w:val="24"/>
          </w:rPr>
          <w:t>sierpnia 2011 r.</w:t>
        </w:r>
      </w:hyperlink>
      <w:r w:rsidR="00984140" w:rsidRPr="00C01871">
        <w:rPr>
          <w:rStyle w:val="Brak"/>
          <w:sz w:val="24"/>
          <w:szCs w:val="24"/>
        </w:rPr>
        <w:t xml:space="preserve"> (Dz.U. 2011 Nr 209 poz. 1243),</w:t>
      </w:r>
    </w:p>
    <w:p w14:paraId="7DDB87FE" w14:textId="20BDF535" w:rsidR="00224125" w:rsidRPr="00C01871" w:rsidRDefault="00B25BE0" w:rsidP="00984140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hyperlink r:id="rId13" w:history="1">
        <w:r w:rsidR="00984140" w:rsidRPr="00C01871">
          <w:rPr>
            <w:rStyle w:val="Hyperlink0"/>
            <w:sz w:val="24"/>
            <w:szCs w:val="24"/>
          </w:rPr>
          <w:t xml:space="preserve">Ustawa Prawo zamówień publicznych z dnia 11 września 2019 r. </w:t>
        </w:r>
      </w:hyperlink>
      <w:r w:rsidR="00984140" w:rsidRPr="00C01871">
        <w:rPr>
          <w:rStyle w:val="Brak"/>
          <w:color w:val="2F5496"/>
          <w:sz w:val="24"/>
          <w:szCs w:val="24"/>
          <w:u w:color="2F5496"/>
        </w:rPr>
        <w:t xml:space="preserve"> </w:t>
      </w:r>
      <w:r w:rsidR="00984140" w:rsidRPr="00C01871">
        <w:rPr>
          <w:rStyle w:val="Brak"/>
          <w:sz w:val="24"/>
          <w:szCs w:val="24"/>
        </w:rPr>
        <w:t>(Dz.U. 2019 poz.</w:t>
      </w:r>
      <w:r w:rsidR="001144E6">
        <w:rPr>
          <w:rStyle w:val="Brak"/>
          <w:sz w:val="24"/>
          <w:szCs w:val="24"/>
        </w:rPr>
        <w:t> </w:t>
      </w:r>
      <w:r w:rsidR="00984140" w:rsidRPr="00C01871">
        <w:rPr>
          <w:rStyle w:val="Brak"/>
          <w:sz w:val="24"/>
          <w:szCs w:val="24"/>
        </w:rPr>
        <w:t>2019).</w:t>
      </w:r>
    </w:p>
    <w:p w14:paraId="69FD1E65" w14:textId="77777777" w:rsidR="00224125" w:rsidRPr="00C01871" w:rsidRDefault="00984140" w:rsidP="00984140">
      <w:pPr>
        <w:pStyle w:val="Nagwek2"/>
        <w:numPr>
          <w:ilvl w:val="0"/>
          <w:numId w:val="8"/>
        </w:numPr>
        <w:spacing w:line="276" w:lineRule="auto"/>
      </w:pPr>
      <w:bookmarkStart w:id="38" w:name="_Toc18"/>
      <w:bookmarkStart w:id="39" w:name="_Toc144976045"/>
      <w:r w:rsidRPr="00C01871">
        <w:rPr>
          <w:rStyle w:val="Brak"/>
        </w:rPr>
        <w:t>Obszary dostępności obowiązujące w ścieżkach konkursowych „Zaawansowani w dostępności” oraz „Liderzy dostępności” – opisy i przykładowe działania.</w:t>
      </w:r>
      <w:bookmarkEnd w:id="38"/>
      <w:bookmarkEnd w:id="39"/>
    </w:p>
    <w:p w14:paraId="2E84041A" w14:textId="1E4FEC3D" w:rsidR="00224125" w:rsidRPr="00C01871" w:rsidRDefault="00F570B4" w:rsidP="00984140">
      <w:pPr>
        <w:pStyle w:val="Nagwek3"/>
        <w:numPr>
          <w:ilvl w:val="1"/>
          <w:numId w:val="2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40" w:name="_Toc19"/>
      <w:bookmarkStart w:id="41" w:name="_Toc144976046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architektoniczna</w:t>
      </w:r>
      <w:bookmarkEnd w:id="40"/>
      <w:bookmarkEnd w:id="41"/>
    </w:p>
    <w:p w14:paraId="199E1325" w14:textId="77777777" w:rsidR="00224125" w:rsidRPr="00C01871" w:rsidRDefault="00984140" w:rsidP="00B236AF">
      <w:pPr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to taka właściwość środowiska fizycznego, która sprawia, że każda osoba, niezależnie od swoich cech i okoliczności, w których się znajduje, może w pełni uczestniczyć w życiu uczelni w przestrzeni fizycznej. Zapewnianie dostępności architektonicznej rozumiane jest jako: </w:t>
      </w:r>
    </w:p>
    <w:p w14:paraId="605120AC" w14:textId="77777777" w:rsidR="00224125" w:rsidRPr="00C01871" w:rsidRDefault="00984140" w:rsidP="00984140">
      <w:pPr>
        <w:pStyle w:val="Akapitzlist"/>
        <w:numPr>
          <w:ilvl w:val="0"/>
          <w:numId w:val="1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służących planowaniu i realizacji prac budowlanych, które mają na celu zapewnienie dostępności poprzez projektowanie uniwersalne i racjonalne usprawnienia, ze stosowaniem dostępu alternatywnego tylko w ściśle uzasadnionych przypadkach,</w:t>
      </w:r>
    </w:p>
    <w:p w14:paraId="235F4319" w14:textId="4FA4B04C" w:rsidR="00224125" w:rsidRPr="00C01871" w:rsidRDefault="00984140" w:rsidP="00984140">
      <w:pPr>
        <w:pStyle w:val="Akapitzlist"/>
        <w:numPr>
          <w:ilvl w:val="0"/>
          <w:numId w:val="1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związanych z utrzymaniem budynków i ich otoczenia, aby były dostępne</w:t>
      </w:r>
      <w:r w:rsidR="00F15F69">
        <w:rPr>
          <w:rStyle w:val="Brak"/>
          <w:sz w:val="24"/>
          <w:szCs w:val="24"/>
        </w:rPr>
        <w:t xml:space="preserve"> również</w:t>
      </w:r>
      <w:r w:rsidRPr="00C01871">
        <w:rPr>
          <w:rStyle w:val="Brak"/>
          <w:sz w:val="24"/>
          <w:szCs w:val="24"/>
        </w:rPr>
        <w:t xml:space="preserve"> dla osób ze szczególnymi potrzebami,</w:t>
      </w:r>
    </w:p>
    <w:p w14:paraId="189DDD0B" w14:textId="77777777" w:rsidR="00224125" w:rsidRPr="00C01871" w:rsidRDefault="00984140" w:rsidP="00984140">
      <w:pPr>
        <w:pStyle w:val="Akapitzlist"/>
        <w:numPr>
          <w:ilvl w:val="0"/>
          <w:numId w:val="1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służących zapewnianiu bezpieczeństwa osób ze szczególnymi potrzebami w sytuacji zagrożenia (ewakuacja z budynku).</w:t>
      </w:r>
    </w:p>
    <w:p w14:paraId="7B35A2FE" w14:textId="5EBEA4D0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53BAECB9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przeprowadzanie remontów i modernizacji zwiększających dostępność istniejących budynków (np. dobudowa najazdu/ podjazdu, windy, modernizacja toalety ze stosowaniem dostępu alternatywnego tylko w ściśle uzasadnionych przypadkach),</w:t>
      </w:r>
    </w:p>
    <w:p w14:paraId="45185830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wdrażanie rozwiązań zwiększających bezpieczeństwo osób ze szczególnymi potrzebami funkcjonujących w uczelni (np. montaż systemów alarmowych dźwiękowo-wizualnych, szkolenia osób odpowiedzialnych za ewakuację itp.),</w:t>
      </w:r>
    </w:p>
    <w:p w14:paraId="51FC0141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realizacja rozwiązań służących zapewnianiu/ zwiększaniu dostępności (np. organizacja dostępnych miejsc parkingowych, pokoi wyciszenia, komfortek), </w:t>
      </w:r>
    </w:p>
    <w:p w14:paraId="4BC8EFF5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opisów budynków, opisów rozkładu pomieszczeń w budynku (tablic multisensorycznych, planów tyflograficznych itp.),</w:t>
      </w:r>
    </w:p>
    <w:p w14:paraId="76AA5F92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wdrażanie rozwiązań technicznych ułatwiających nawigację i orientację przestrzenną w budynku,</w:t>
      </w:r>
    </w:p>
    <w:p w14:paraId="01214E84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i prowadzenie szkoleń dla osób zaangażowanych w proces zapewniania dostępności architektonicznej,</w:t>
      </w:r>
    </w:p>
    <w:p w14:paraId="75CDD5C6" w14:textId="364D9401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inne</w:t>
      </w:r>
      <w:r w:rsidR="00287FDC"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 ujęte w przykładach, poszerzające w uczelni dostępność architektoniczną.</w:t>
      </w:r>
    </w:p>
    <w:p w14:paraId="748EF321" w14:textId="142E0C8B" w:rsidR="00224125" w:rsidRPr="00C01871" w:rsidRDefault="00F570B4" w:rsidP="00984140">
      <w:pPr>
        <w:pStyle w:val="Nagwek3"/>
        <w:numPr>
          <w:ilvl w:val="1"/>
          <w:numId w:val="13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42" w:name="_Toc20"/>
      <w:bookmarkStart w:id="43" w:name="_Toc144976047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cyfrowa</w:t>
      </w:r>
      <w:bookmarkEnd w:id="42"/>
      <w:bookmarkEnd w:id="43"/>
    </w:p>
    <w:p w14:paraId="2B123B71" w14:textId="409F21C0" w:rsidR="00224125" w:rsidRPr="00C01871" w:rsidRDefault="00984140" w:rsidP="00B236AF">
      <w:pPr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>to taka właściwość środowiska cyfrowego, w szczególności witryn/ stron internetowych, aplikacji mobilnych, systemów informatycznych, która sprawia, że każda osoba, niezależnie od swoich cech i okoliczności, w których się znajduje, może w pełni uczestniczyć w życiu uczelni w przestrzeni cyfrowej. Zapewniani</w:t>
      </w:r>
      <w:r w:rsidR="001144E6">
        <w:rPr>
          <w:rStyle w:val="Brak"/>
          <w:sz w:val="24"/>
          <w:szCs w:val="24"/>
        </w:rPr>
        <w:t>e</w:t>
      </w:r>
      <w:r w:rsidRPr="00C01871">
        <w:rPr>
          <w:rStyle w:val="Brak"/>
          <w:sz w:val="24"/>
          <w:szCs w:val="24"/>
        </w:rPr>
        <w:t xml:space="preserve"> dostępności cyfrowej rozumiane jest jako:</w:t>
      </w:r>
    </w:p>
    <w:p w14:paraId="757F1AAA" w14:textId="13EE2CD7" w:rsidR="00224125" w:rsidRPr="00C01871" w:rsidRDefault="00984140" w:rsidP="00984140">
      <w:pPr>
        <w:pStyle w:val="Akapitzlist"/>
        <w:widowControl w:val="0"/>
        <w:numPr>
          <w:ilvl w:val="0"/>
          <w:numId w:val="1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ogół procesów służących</w:t>
      </w:r>
      <w:r w:rsidR="00606B51">
        <w:rPr>
          <w:rStyle w:val="Brak"/>
          <w:kern w:val="0"/>
          <w:sz w:val="24"/>
          <w:szCs w:val="24"/>
        </w:rPr>
        <w:t xml:space="preserve"> zapewnieniu</w:t>
      </w:r>
      <w:r w:rsidRPr="00C01871">
        <w:rPr>
          <w:rStyle w:val="Brak"/>
          <w:kern w:val="0"/>
          <w:sz w:val="24"/>
          <w:szCs w:val="24"/>
        </w:rPr>
        <w:t xml:space="preserve"> dostępn</w:t>
      </w:r>
      <w:r w:rsidR="00606B51">
        <w:rPr>
          <w:rStyle w:val="Brak"/>
          <w:kern w:val="0"/>
          <w:sz w:val="24"/>
          <w:szCs w:val="24"/>
        </w:rPr>
        <w:t>ych</w:t>
      </w:r>
      <w:r w:rsidRPr="00C01871">
        <w:rPr>
          <w:rStyle w:val="Brak"/>
          <w:kern w:val="0"/>
          <w:sz w:val="24"/>
          <w:szCs w:val="24"/>
        </w:rPr>
        <w:t xml:space="preserve"> witryn/stron, aplikacji mobilnych/systemów informatycznych zgodn</w:t>
      </w:r>
      <w:r w:rsidR="001144E6">
        <w:rPr>
          <w:rStyle w:val="Brak"/>
          <w:kern w:val="0"/>
          <w:sz w:val="24"/>
          <w:szCs w:val="24"/>
        </w:rPr>
        <w:t>ie</w:t>
      </w:r>
      <w:r w:rsidRPr="00C01871">
        <w:rPr>
          <w:rStyle w:val="Brak"/>
          <w:kern w:val="0"/>
          <w:sz w:val="24"/>
          <w:szCs w:val="24"/>
        </w:rPr>
        <w:t xml:space="preserve"> z </w:t>
      </w:r>
      <w:r w:rsidR="00F15F69">
        <w:rPr>
          <w:rStyle w:val="Brak"/>
          <w:kern w:val="0"/>
          <w:sz w:val="24"/>
          <w:szCs w:val="24"/>
        </w:rPr>
        <w:t>aktualn</w:t>
      </w:r>
      <w:r w:rsidR="0077294F">
        <w:rPr>
          <w:rStyle w:val="Brak"/>
          <w:kern w:val="0"/>
          <w:sz w:val="24"/>
          <w:szCs w:val="24"/>
        </w:rPr>
        <w:t xml:space="preserve">ie obowiązującym </w:t>
      </w:r>
      <w:r w:rsidRPr="00C01871">
        <w:rPr>
          <w:rStyle w:val="Brak"/>
          <w:kern w:val="0"/>
          <w:sz w:val="24"/>
          <w:szCs w:val="24"/>
        </w:rPr>
        <w:t>standardem WCAG, ich audytowanie oraz tworzenie i aktualizacja deklaracji dostępności,</w:t>
      </w:r>
    </w:p>
    <w:p w14:paraId="282EE9F0" w14:textId="77777777" w:rsidR="00224125" w:rsidRPr="00C01871" w:rsidRDefault="00984140" w:rsidP="00984140">
      <w:pPr>
        <w:pStyle w:val="Akapitzlist"/>
        <w:widowControl w:val="0"/>
        <w:numPr>
          <w:ilvl w:val="0"/>
          <w:numId w:val="1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ogół procesów służących zapewnianiu dostępności wytwarzanych i zamawianych treści cyfrowych,</w:t>
      </w:r>
    </w:p>
    <w:p w14:paraId="2AD17188" w14:textId="77777777" w:rsidR="00224125" w:rsidRPr="00C01871" w:rsidRDefault="00984140" w:rsidP="00984140">
      <w:pPr>
        <w:pStyle w:val="Akapitzlist"/>
        <w:widowControl w:val="0"/>
        <w:numPr>
          <w:ilvl w:val="0"/>
          <w:numId w:val="1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ogół procesów związanych z zapewnianiem technologii wspierających, umożliwiających lub usprawniających naukę i pracę w środowisku cyfrowym.</w:t>
      </w:r>
    </w:p>
    <w:p w14:paraId="3FFD43FA" w14:textId="1D5B9DBA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722591ED" w14:textId="5A13B475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wypracowywanie zasad zapewniania standardów dostępności dla istniejących oraz nowych stron internetowych</w:t>
      </w:r>
      <w:r w:rsidR="00062924">
        <w:rPr>
          <w:rStyle w:val="Brak"/>
          <w:kern w:val="0"/>
          <w:sz w:val="24"/>
          <w:szCs w:val="24"/>
        </w:rPr>
        <w:t xml:space="preserve"> i aplikacji mobilnych</w:t>
      </w:r>
      <w:r w:rsidRPr="00C01871">
        <w:rPr>
          <w:rStyle w:val="Brak"/>
          <w:kern w:val="0"/>
          <w:sz w:val="24"/>
          <w:szCs w:val="24"/>
        </w:rPr>
        <w:t>, jak również aktualizacja ich deklaracji dostępności,</w:t>
      </w:r>
    </w:p>
    <w:p w14:paraId="265C3593" w14:textId="3E2EB05A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opracowywanie i prowadzenie szkoleń </w:t>
      </w:r>
      <w:r w:rsidR="001144E6">
        <w:rPr>
          <w:rStyle w:val="Brak"/>
          <w:kern w:val="0"/>
          <w:sz w:val="24"/>
          <w:szCs w:val="24"/>
        </w:rPr>
        <w:t xml:space="preserve">dla </w:t>
      </w:r>
      <w:r w:rsidRPr="00C01871">
        <w:rPr>
          <w:rStyle w:val="Brak"/>
          <w:kern w:val="0"/>
          <w:sz w:val="24"/>
          <w:szCs w:val="24"/>
        </w:rPr>
        <w:t>redaktorów stron internetowych</w:t>
      </w:r>
      <w:r w:rsidR="00062924">
        <w:rPr>
          <w:rStyle w:val="Brak"/>
          <w:kern w:val="0"/>
          <w:sz w:val="24"/>
          <w:szCs w:val="24"/>
        </w:rPr>
        <w:t xml:space="preserve"> </w:t>
      </w:r>
      <w:r w:rsidRPr="00C01871">
        <w:rPr>
          <w:rStyle w:val="Brak"/>
          <w:kern w:val="0"/>
          <w:sz w:val="24"/>
          <w:szCs w:val="24"/>
        </w:rPr>
        <w:t>w</w:t>
      </w:r>
      <w:r w:rsidR="001144E6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obszarze dostępności cyfrowej,</w:t>
      </w:r>
    </w:p>
    <w:p w14:paraId="3A800146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i prowadzenie szkoleń w zakresie standardów dostępności cyfrowej dla nauczycieli akademickich wytwarzających treści elektroniczne,</w:t>
      </w:r>
    </w:p>
    <w:p w14:paraId="5BBDAF19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przeprowadzanie audytów dostępności cyfrowej,</w:t>
      </w:r>
    </w:p>
    <w:p w14:paraId="16F335AA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adaptowanie dokumentów elektronicznych do postaci dostępnej,</w:t>
      </w:r>
    </w:p>
    <w:p w14:paraId="0B5E7D99" w14:textId="7B11FC1A" w:rsidR="00224125" w:rsidRPr="00DA7112" w:rsidRDefault="00984140" w:rsidP="00DA7112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DA7112">
        <w:rPr>
          <w:rStyle w:val="Brak"/>
          <w:kern w:val="0"/>
          <w:sz w:val="24"/>
          <w:szCs w:val="24"/>
        </w:rPr>
        <w:t>zakup sprzęt</w:t>
      </w:r>
      <w:r w:rsidR="00DA7112" w:rsidRPr="00DA7112">
        <w:rPr>
          <w:rStyle w:val="Brak"/>
          <w:kern w:val="0"/>
          <w:sz w:val="24"/>
          <w:szCs w:val="24"/>
        </w:rPr>
        <w:t xml:space="preserve">u </w:t>
      </w:r>
      <w:r w:rsidRPr="00DA7112">
        <w:rPr>
          <w:rStyle w:val="Brak"/>
          <w:kern w:val="0"/>
          <w:sz w:val="24"/>
          <w:szCs w:val="24"/>
        </w:rPr>
        <w:t>służącego organizacji dostępnych wydarzeń</w:t>
      </w:r>
      <w:r w:rsidR="00DA7112">
        <w:rPr>
          <w:rStyle w:val="Brak"/>
          <w:kern w:val="0"/>
          <w:sz w:val="24"/>
          <w:szCs w:val="24"/>
        </w:rPr>
        <w:t xml:space="preserve"> (np. sprzętu służącego do opracowania napisów na żywo),</w:t>
      </w:r>
    </w:p>
    <w:p w14:paraId="43050AF5" w14:textId="2F8C344E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inne</w:t>
      </w:r>
      <w:r w:rsidR="00606B51"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 ujęte w przykładach, poszerzające w uczelni dostępność cyfrową.</w:t>
      </w:r>
    </w:p>
    <w:p w14:paraId="33823192" w14:textId="3B119D45" w:rsidR="00224125" w:rsidRPr="00C01871" w:rsidRDefault="00F570B4" w:rsidP="00984140">
      <w:pPr>
        <w:pStyle w:val="Nagwek3"/>
        <w:numPr>
          <w:ilvl w:val="1"/>
          <w:numId w:val="16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44" w:name="_Toc21"/>
      <w:bookmarkStart w:id="45" w:name="_Toc144976048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informacyjno-komunikacyjna</w:t>
      </w:r>
      <w:bookmarkEnd w:id="44"/>
      <w:bookmarkEnd w:id="45"/>
    </w:p>
    <w:p w14:paraId="24B47C57" w14:textId="77777777" w:rsidR="00224125" w:rsidRPr="00C01871" w:rsidRDefault="00984140" w:rsidP="00B236AF">
      <w:pPr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>to taki sposób tworzenia treści i ich komunikowania, który sprawia, że każda osoba, niezależnie od swoich cech i okoliczności, w których się znajduje, może w pełni uczestniczyć w życiu uczelni w przestrzeni informacyjno-komunikacyjnej. Zapewnianie dostępności informacyjno-komunikacyjnej rozumiane jest jako:</w:t>
      </w:r>
    </w:p>
    <w:p w14:paraId="3B12E854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służących zapewnieniu dostępnych dokumentów dydaktycznych, badawczych, naukowych i administracyjnych oraz materiałów multimedialnych,</w:t>
      </w:r>
    </w:p>
    <w:p w14:paraId="5F67A65F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służących zapewnieniu jasnej i przejrzystej komunikacji,</w:t>
      </w:r>
    </w:p>
    <w:p w14:paraId="26666BC5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związanych z organizacją dostępnych wydarzeń,</w:t>
      </w:r>
    </w:p>
    <w:p w14:paraId="42413590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zapewnianie informacji o miejscu zastosowania rozwiązań dostępnościowych w infrastrukturze uczelni,</w:t>
      </w:r>
    </w:p>
    <w:p w14:paraId="5AB0BCB6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służących zapewnieniu komunikacji w sposób, który odpowiada na zgłoszone szczególne potrzeby,</w:t>
      </w:r>
    </w:p>
    <w:p w14:paraId="4944856E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upowszechnianie w społeczności akademickiej wiedzy o zapewnianiu dostępności,</w:t>
      </w:r>
    </w:p>
    <w:p w14:paraId="64BFBBB4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zapewnianie urządzeń wspomagających słyszenie np. pętli indukcyjnych, tworzenie treści w języku prostym,</w:t>
      </w:r>
    </w:p>
    <w:p w14:paraId="2A90D410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zapewnienie równorzędnych komunikatów w formie dźwiękowej, cyfrowej lub dotykowej,</w:t>
      </w:r>
    </w:p>
    <w:p w14:paraId="11244454" w14:textId="77777777" w:rsidR="00224125" w:rsidRPr="00C01871" w:rsidRDefault="00984140" w:rsidP="00984140">
      <w:pPr>
        <w:pStyle w:val="Akapitzlist"/>
        <w:numPr>
          <w:ilvl w:val="0"/>
          <w:numId w:val="1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ogół procesów związanych z zapewnianiem przez uczelnię dostępności dziedzictwa kulturowego, naukowego i artystycznego (dotyczy uczelni posiadających muzea, kolekcje naukowe i zbiory artystyczne).</w:t>
      </w:r>
    </w:p>
    <w:p w14:paraId="375E0E2D" w14:textId="2F244443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2E52AF03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opracowywanie napisów, napisów rozszerzonych i audiodeskrypcji do multimediów, </w:t>
      </w:r>
    </w:p>
    <w:p w14:paraId="3510D7B0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standardów w zapewnianiu dostępności informacyjno-komunikacyjnej,</w:t>
      </w:r>
    </w:p>
    <w:p w14:paraId="622F4D5B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prowadzenie szkoleń z zakresu dostępności informacyjno-komunikacyjnej,</w:t>
      </w:r>
    </w:p>
    <w:p w14:paraId="4BB794C5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organizacja wydarzeń promujących w społeczności akademickiej wiedzę o dostępności i społeczny model niepełnosprawności,</w:t>
      </w:r>
    </w:p>
    <w:p w14:paraId="5CD314F1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organizacja kursów, których tematyka obejmuje zagadnienia związane z dostępnością powiązane z tematem istotnym dla danego wydziału,</w:t>
      </w:r>
    </w:p>
    <w:p w14:paraId="28D7576A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okresowe sprawdzanie treści komunikatów pod kątem dostępności np. w formie audytu, </w:t>
      </w:r>
    </w:p>
    <w:p w14:paraId="68414CA1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zapewnienie obsługi w PJM np. w postaci tłumacza online,</w:t>
      </w:r>
    </w:p>
    <w:p w14:paraId="2C25B580" w14:textId="26EE19D0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jasnych i przejrzystych komunikatów i informacji publikowanych na stronach internetowych uczelni,</w:t>
      </w:r>
      <w:r w:rsidR="00062924">
        <w:rPr>
          <w:rStyle w:val="Brak"/>
          <w:kern w:val="0"/>
          <w:sz w:val="24"/>
          <w:szCs w:val="24"/>
        </w:rPr>
        <w:t xml:space="preserve"> </w:t>
      </w:r>
      <w:r w:rsidRPr="00C01871">
        <w:rPr>
          <w:rStyle w:val="Brak"/>
          <w:kern w:val="0"/>
          <w:sz w:val="24"/>
          <w:szCs w:val="24"/>
        </w:rPr>
        <w:t>w budynkach i innych miejscach przestrzeni ogólnodostępnych, materiałach informacyjnych itp.,</w:t>
      </w:r>
    </w:p>
    <w:p w14:paraId="3DB0B063" w14:textId="55C51A85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inne</w:t>
      </w:r>
      <w:r w:rsidR="00287FDC"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nieujęte w przykładach, poszerzające w uczelni dostępność informacyjno-komunikacyjną.</w:t>
      </w:r>
    </w:p>
    <w:p w14:paraId="3E6BAB58" w14:textId="652C30F9" w:rsidR="00224125" w:rsidRPr="00C01871" w:rsidRDefault="00F570B4" w:rsidP="00984140">
      <w:pPr>
        <w:pStyle w:val="Nagwek3"/>
        <w:numPr>
          <w:ilvl w:val="1"/>
          <w:numId w:val="19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46" w:name="_Toc22"/>
      <w:bookmarkStart w:id="47" w:name="_Toc144976049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rekrutacji</w:t>
      </w:r>
      <w:bookmarkEnd w:id="46"/>
      <w:bookmarkEnd w:id="47"/>
    </w:p>
    <w:p w14:paraId="43991F97" w14:textId="77777777" w:rsidR="00224125" w:rsidRPr="00C01871" w:rsidRDefault="00984140" w:rsidP="00B236AF">
      <w:pPr>
        <w:widowControl w:val="0"/>
        <w:tabs>
          <w:tab w:val="left" w:pos="284"/>
          <w:tab w:val="left" w:pos="504"/>
        </w:tabs>
        <w:spacing w:before="100" w:after="120" w:line="276" w:lineRule="auto"/>
        <w:jc w:val="both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to ogół procesów służących zapewnianiu dostępu do informacji o ofercie dydaktycznej, wymaganiach, warunkach rekrutacji.</w:t>
      </w:r>
    </w:p>
    <w:p w14:paraId="645DCEC7" w14:textId="212F5032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7DD289D9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przegląd i/lub opracowanie dostępnej informacji na temat kierunków studiów,</w:t>
      </w:r>
    </w:p>
    <w:p w14:paraId="10FF36B5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stworzenie dostępnego systemu rekrutacji z uwzględnieniem aktualnego standardu dostępności cyfrowej WCAG, </w:t>
      </w:r>
    </w:p>
    <w:p w14:paraId="29E26E62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przeprowadzenie audytu dostępności systemu rekrutacji,</w:t>
      </w:r>
    </w:p>
    <w:p w14:paraId="6EB17B04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opracowanie procedury rekrutacji (np. w formie rozmowy kwalifikacyjnej) uwzględniającej potrzeby kandydata związane z niepełnosprawnością lub szczególnymi potrzebami,</w:t>
      </w:r>
    </w:p>
    <w:p w14:paraId="29C94B5B" w14:textId="182A59E0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opracowanie procedury rekrutacji osób studiujących na warsztaty i szkolenia uwzględniając</w:t>
      </w:r>
      <w:r w:rsidR="007C2409">
        <w:rPr>
          <w:rStyle w:val="Brak"/>
          <w:kern w:val="0"/>
          <w:sz w:val="24"/>
          <w:szCs w:val="24"/>
        </w:rPr>
        <w:t>ej</w:t>
      </w:r>
      <w:r w:rsidRPr="00C01871">
        <w:rPr>
          <w:rStyle w:val="Brak"/>
          <w:kern w:val="0"/>
          <w:sz w:val="24"/>
          <w:szCs w:val="24"/>
        </w:rPr>
        <w:t xml:space="preserve"> potrzeby związane z niepełnosprawnością lub szczególnymi potrzebami,</w:t>
      </w:r>
    </w:p>
    <w:p w14:paraId="2A5CA220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opracowanie i publikacja przejrzystych informacji o czynnikach szkodliwych i zagrożeniach występujących na danym kierunku studiów (dotyczy sylabusów),</w:t>
      </w:r>
    </w:p>
    <w:p w14:paraId="3EC464B7" w14:textId="64E78F25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inne </w:t>
      </w:r>
      <w:r w:rsidR="00287FDC">
        <w:rPr>
          <w:rStyle w:val="Brak"/>
          <w:kern w:val="0"/>
          <w:sz w:val="24"/>
          <w:szCs w:val="24"/>
        </w:rPr>
        <w:t xml:space="preserve">działania, </w:t>
      </w:r>
      <w:r w:rsidRPr="00C01871">
        <w:rPr>
          <w:rStyle w:val="Brak"/>
          <w:kern w:val="0"/>
          <w:sz w:val="24"/>
          <w:szCs w:val="24"/>
        </w:rPr>
        <w:t>nie ujęte w przykładach, zapewniające systemowy charakter działań związanych z dostępnością rekrutacji.</w:t>
      </w:r>
    </w:p>
    <w:p w14:paraId="0F589813" w14:textId="50F68184" w:rsidR="00224125" w:rsidRPr="00C01871" w:rsidRDefault="00F570B4" w:rsidP="00984140">
      <w:pPr>
        <w:pStyle w:val="Nagwek3"/>
        <w:numPr>
          <w:ilvl w:val="1"/>
          <w:numId w:val="20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48" w:name="_Toc23"/>
      <w:bookmarkStart w:id="49" w:name="_Toc144976050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procesu kształcenia</w:t>
      </w:r>
      <w:bookmarkEnd w:id="48"/>
      <w:bookmarkEnd w:id="49"/>
    </w:p>
    <w:p w14:paraId="54CED157" w14:textId="77777777" w:rsidR="00224125" w:rsidRPr="00C01871" w:rsidRDefault="00984140" w:rsidP="00B236AF">
      <w:pPr>
        <w:widowControl w:val="0"/>
        <w:tabs>
          <w:tab w:val="left" w:pos="284"/>
          <w:tab w:val="left" w:pos="504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to ogół procesów służących zapewnieniu dostępności warunków kształcenia, w szczególności:</w:t>
      </w:r>
    </w:p>
    <w:p w14:paraId="1D41D88A" w14:textId="77777777" w:rsidR="00224125" w:rsidRPr="00C01871" w:rsidRDefault="00984140" w:rsidP="00984140">
      <w:pPr>
        <w:pStyle w:val="Akapitzlist"/>
        <w:widowControl w:val="0"/>
        <w:numPr>
          <w:ilvl w:val="1"/>
          <w:numId w:val="2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zapewnienie transparentnych zasad ubiegania się o adaptacje procesu kształcenia opisanych w stosownym zarządzeniu,</w:t>
      </w:r>
    </w:p>
    <w:p w14:paraId="021CE91F" w14:textId="6F6077EB" w:rsidR="00224125" w:rsidRPr="00C01871" w:rsidRDefault="00984140" w:rsidP="00984140">
      <w:pPr>
        <w:pStyle w:val="Akapitzlist"/>
        <w:widowControl w:val="0"/>
        <w:numPr>
          <w:ilvl w:val="1"/>
          <w:numId w:val="2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zapewnienie wykwalifikowanej kadry np. konsultantów, doradców w BON/DON/CD tworzącej działania o charakterze systemowym, analizy funkcjonalne i propozycje racjonalnych usprawnień, </w:t>
      </w:r>
    </w:p>
    <w:p w14:paraId="2A280C93" w14:textId="77777777" w:rsidR="00224125" w:rsidRPr="00C01871" w:rsidRDefault="00984140" w:rsidP="00984140">
      <w:pPr>
        <w:pStyle w:val="Akapitzlist"/>
        <w:widowControl w:val="0"/>
        <w:numPr>
          <w:ilvl w:val="1"/>
          <w:numId w:val="2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zapewnienie wykwalifikowanej kadry specjalizującej się w technologiach wspierających,</w:t>
      </w:r>
    </w:p>
    <w:p w14:paraId="5D7733BA" w14:textId="77777777" w:rsidR="00224125" w:rsidRPr="00C01871" w:rsidRDefault="00984140" w:rsidP="00984140">
      <w:pPr>
        <w:pStyle w:val="Akapitzlist"/>
        <w:widowControl w:val="0"/>
        <w:numPr>
          <w:ilvl w:val="1"/>
          <w:numId w:val="2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zapewnianie digitalizacji i dostępności materiałów dydaktycznych,</w:t>
      </w:r>
    </w:p>
    <w:p w14:paraId="41084C9F" w14:textId="28BD82F1" w:rsidR="00224125" w:rsidRPr="00C01871" w:rsidRDefault="00984140" w:rsidP="00984140">
      <w:pPr>
        <w:pStyle w:val="Akapitzlist"/>
        <w:widowControl w:val="0"/>
        <w:numPr>
          <w:ilvl w:val="1"/>
          <w:numId w:val="2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i prowadzenie szkoleń w obszarze dostępności, społecznego modelu niepełnosprawności itp. dla kadry dydaktycznej, administracyjnej</w:t>
      </w:r>
      <w:r w:rsidR="007C2409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 pracowników </w:t>
      </w:r>
      <w:r w:rsidR="007C2409">
        <w:rPr>
          <w:rStyle w:val="Brak"/>
          <w:kern w:val="0"/>
          <w:sz w:val="24"/>
          <w:szCs w:val="24"/>
        </w:rPr>
        <w:t xml:space="preserve">i pracownic </w:t>
      </w:r>
      <w:r w:rsidRPr="00C01871">
        <w:rPr>
          <w:rStyle w:val="Brak"/>
          <w:kern w:val="0"/>
          <w:sz w:val="24"/>
          <w:szCs w:val="24"/>
        </w:rPr>
        <w:t xml:space="preserve">inżynieryjno-technicznych oraz pozostałych </w:t>
      </w:r>
      <w:r w:rsidR="007C2409">
        <w:rPr>
          <w:rStyle w:val="Brak"/>
          <w:kern w:val="0"/>
          <w:sz w:val="24"/>
          <w:szCs w:val="24"/>
        </w:rPr>
        <w:t xml:space="preserve">osób </w:t>
      </w:r>
      <w:r w:rsidR="0077294F">
        <w:rPr>
          <w:rStyle w:val="Brak"/>
          <w:kern w:val="0"/>
          <w:sz w:val="24"/>
          <w:szCs w:val="24"/>
        </w:rPr>
        <w:t>zatrudnionych</w:t>
      </w:r>
      <w:r w:rsidR="007C2409">
        <w:rPr>
          <w:rStyle w:val="Brak"/>
          <w:kern w:val="0"/>
          <w:sz w:val="24"/>
          <w:szCs w:val="24"/>
        </w:rPr>
        <w:t xml:space="preserve"> w</w:t>
      </w:r>
      <w:r w:rsidRPr="00C01871">
        <w:rPr>
          <w:rStyle w:val="Brak"/>
          <w:kern w:val="0"/>
          <w:sz w:val="24"/>
          <w:szCs w:val="24"/>
        </w:rPr>
        <w:t xml:space="preserve"> uczelni.</w:t>
      </w:r>
    </w:p>
    <w:p w14:paraId="767058BC" w14:textId="19D87C90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4F09107E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opracowanie standardów wsparcia/ strategii wsparcia z uwzględnieniem osób, które nie posiadają orzeczenia o niepełnosprawności: z ASD, ADHD/ADD, z dysleksją, z trudnościami w obszarze zdrowia psychicznego, </w:t>
      </w:r>
    </w:p>
    <w:p w14:paraId="29CA96B4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i prowadzenie szkoleń dla kadry dydaktycznej w zakresie społecznego modelu niepełnosprawności (stacjonarnie, hybrydowo, online) z uwzględnieniem szczególnych potrzeb odbiorców,</w:t>
      </w:r>
    </w:p>
    <w:p w14:paraId="5C044491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wdrażanie na uczelni zasad projektowania uniwersalnego w edukacji (UDL) poprzez szkolenie kadry dydaktycznej, wizyty studyjne i certyfikowane szkolenia (również zagraniczne) dla kadry zarządzającej uczelnią w obszarze kształcenia, opracowanie wytycznych dla nauczycieli akademickich itd.</w:t>
      </w:r>
    </w:p>
    <w:p w14:paraId="2AC74BF7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zasad i rozwój współpracy z jednostkami międzyuczelnianymi; studium w-fu, lektorami języków obcych; działem rekrutacji, biurem karier; wypracowanie standardu pracy tych jednostek z udziałem DON, BON, CD, przy jednoczesnej możliwości ich niezależnej pracy na rzecz wsparcia osób z niepełnosprawnościami i szczególnymi potrzebami,</w:t>
      </w:r>
    </w:p>
    <w:p w14:paraId="3AB9FBAD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dokumentów i regulaminów studiów z wyraźnym wskazaniem na konieczność wdrażania zasad związanych z zapewnianiem dostępności procesu kształcenia dla osób z niepełnosprawnościami i szczególnymi potrzebami,</w:t>
      </w:r>
    </w:p>
    <w:p w14:paraId="0BF8F77D" w14:textId="5A612719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opracowywanie zasad wsparcia dla </w:t>
      </w:r>
      <w:r w:rsidR="007C2409">
        <w:rPr>
          <w:rStyle w:val="Brak"/>
          <w:kern w:val="0"/>
          <w:sz w:val="24"/>
          <w:szCs w:val="24"/>
        </w:rPr>
        <w:t xml:space="preserve">osób </w:t>
      </w:r>
      <w:r w:rsidR="007C2409" w:rsidRPr="00C01871">
        <w:rPr>
          <w:rStyle w:val="Brak"/>
          <w:kern w:val="0"/>
          <w:sz w:val="24"/>
          <w:szCs w:val="24"/>
        </w:rPr>
        <w:t>stud</w:t>
      </w:r>
      <w:r w:rsidR="007C2409">
        <w:rPr>
          <w:rStyle w:val="Brak"/>
          <w:kern w:val="0"/>
          <w:sz w:val="24"/>
          <w:szCs w:val="24"/>
        </w:rPr>
        <w:t>iujących</w:t>
      </w:r>
      <w:r w:rsidRPr="00C01871">
        <w:rPr>
          <w:rStyle w:val="Brak"/>
          <w:kern w:val="0"/>
          <w:sz w:val="24"/>
          <w:szCs w:val="24"/>
        </w:rPr>
        <w:t xml:space="preserve"> z doświadczeniem uchodźczym oraz z niepełnosprawnościami i szczególnymi potrzebami,</w:t>
      </w:r>
    </w:p>
    <w:p w14:paraId="693B2F81" w14:textId="75AE0570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inne</w:t>
      </w:r>
      <w:r w:rsidR="00287FDC"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 ujęte w przykładach, poszerzające w uczelni dostępność procesu kształcenia.</w:t>
      </w:r>
    </w:p>
    <w:p w14:paraId="1E9A5171" w14:textId="1F4BDA09" w:rsidR="00224125" w:rsidRPr="00C01871" w:rsidRDefault="00F570B4" w:rsidP="00984140">
      <w:pPr>
        <w:pStyle w:val="Nagwek3"/>
        <w:numPr>
          <w:ilvl w:val="1"/>
          <w:numId w:val="23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50" w:name="_Toc24"/>
      <w:bookmarkStart w:id="51" w:name="_Toc144976051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prowadzenia badań naukowych</w:t>
      </w:r>
      <w:bookmarkEnd w:id="50"/>
      <w:bookmarkEnd w:id="51"/>
    </w:p>
    <w:p w14:paraId="21330CE8" w14:textId="77777777" w:rsidR="00224125" w:rsidRPr="00C01871" w:rsidRDefault="00984140" w:rsidP="00B236AF">
      <w:pPr>
        <w:widowControl w:val="0"/>
        <w:tabs>
          <w:tab w:val="left" w:pos="284"/>
          <w:tab w:val="left" w:pos="504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to ogół procesów służących zapewnieniu dostępności prowadzenia badań naukowych, w szczególności:</w:t>
      </w:r>
    </w:p>
    <w:p w14:paraId="3E82E43E" w14:textId="77777777" w:rsidR="00224125" w:rsidRPr="00C01871" w:rsidRDefault="00984140" w:rsidP="00984140">
      <w:pPr>
        <w:pStyle w:val="Akapitzlist"/>
        <w:widowControl w:val="0"/>
        <w:numPr>
          <w:ilvl w:val="0"/>
          <w:numId w:val="2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zwiększanie dostępności bibliotek i archiwów,</w:t>
      </w:r>
    </w:p>
    <w:p w14:paraId="3E7AEEB2" w14:textId="77777777" w:rsidR="00224125" w:rsidRPr="00C01871" w:rsidRDefault="00984140" w:rsidP="00984140">
      <w:pPr>
        <w:pStyle w:val="Akapitzlist"/>
        <w:widowControl w:val="0"/>
        <w:numPr>
          <w:ilvl w:val="0"/>
          <w:numId w:val="2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zapewnianie dostępnych cyfrowo baz danych,</w:t>
      </w:r>
    </w:p>
    <w:p w14:paraId="0D240A25" w14:textId="77777777" w:rsidR="00224125" w:rsidRPr="00C01871" w:rsidRDefault="00984140" w:rsidP="00984140">
      <w:pPr>
        <w:pStyle w:val="Akapitzlist"/>
        <w:widowControl w:val="0"/>
        <w:numPr>
          <w:ilvl w:val="0"/>
          <w:numId w:val="2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digitalizacja materiałów naukowych,</w:t>
      </w:r>
    </w:p>
    <w:p w14:paraId="3AA5DB00" w14:textId="77777777" w:rsidR="00224125" w:rsidRPr="00C01871" w:rsidRDefault="00984140" w:rsidP="00984140">
      <w:pPr>
        <w:pStyle w:val="Akapitzlist"/>
        <w:widowControl w:val="0"/>
        <w:numPr>
          <w:ilvl w:val="0"/>
          <w:numId w:val="2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narzędzi do prowadzenia dostępnych badań oraz opracowywanie dostępnych raportów i analiz.</w:t>
      </w:r>
    </w:p>
    <w:p w14:paraId="07CF5343" w14:textId="77777777" w:rsidR="00224125" w:rsidRPr="00C01871" w:rsidRDefault="00984140" w:rsidP="00984140">
      <w:pPr>
        <w:pStyle w:val="Akapitzlist"/>
        <w:widowControl w:val="0"/>
        <w:numPr>
          <w:ilvl w:val="0"/>
          <w:numId w:val="25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tworzenie dostępnych laboratoriów poprzez projektowanie uniwersalne/racjonalne usprawnienia lub z użyciem najnowszych technologii (np. w VR lub AR). </w:t>
      </w:r>
    </w:p>
    <w:p w14:paraId="37B9F706" w14:textId="3111FB0A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7446782B" w14:textId="0695D0B8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opracowanie planu i wdrożenie wsparcia </w:t>
      </w:r>
      <w:r w:rsidR="007C2409">
        <w:rPr>
          <w:rStyle w:val="Brak"/>
          <w:kern w:val="0"/>
          <w:sz w:val="24"/>
          <w:szCs w:val="24"/>
        </w:rPr>
        <w:t>osób studiujących</w:t>
      </w:r>
      <w:r w:rsidR="007B79E9">
        <w:rPr>
          <w:rStyle w:val="Brak"/>
          <w:kern w:val="0"/>
          <w:sz w:val="24"/>
          <w:szCs w:val="24"/>
        </w:rPr>
        <w:t>, doktorantów</w:t>
      </w:r>
      <w:r w:rsidRPr="00C01871">
        <w:rPr>
          <w:rStyle w:val="Brak"/>
          <w:kern w:val="0"/>
          <w:sz w:val="24"/>
          <w:szCs w:val="24"/>
        </w:rPr>
        <w:t xml:space="preserve"> </w:t>
      </w:r>
      <w:r w:rsidR="007C2409">
        <w:rPr>
          <w:rStyle w:val="Brak"/>
          <w:kern w:val="0"/>
          <w:sz w:val="24"/>
          <w:szCs w:val="24"/>
        </w:rPr>
        <w:t xml:space="preserve">i doktorantek </w:t>
      </w:r>
      <w:r w:rsidRPr="00C01871">
        <w:rPr>
          <w:rStyle w:val="Brak"/>
          <w:kern w:val="0"/>
          <w:sz w:val="24"/>
          <w:szCs w:val="24"/>
        </w:rPr>
        <w:t xml:space="preserve">lub pracowników </w:t>
      </w:r>
      <w:r w:rsidR="007C2409">
        <w:rPr>
          <w:rStyle w:val="Brak"/>
          <w:kern w:val="0"/>
          <w:sz w:val="24"/>
          <w:szCs w:val="24"/>
        </w:rPr>
        <w:t xml:space="preserve">i pracownic </w:t>
      </w:r>
      <w:r w:rsidRPr="00C01871">
        <w:rPr>
          <w:rStyle w:val="Brak"/>
          <w:kern w:val="0"/>
          <w:sz w:val="24"/>
          <w:szCs w:val="24"/>
        </w:rPr>
        <w:t xml:space="preserve">podejmujących badania w różnorodnych dziedzinach wiedzy, </w:t>
      </w:r>
    </w:p>
    <w:p w14:paraId="4E7D0567" w14:textId="295F4180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opracowanie planu i wdrożenie wsparcia </w:t>
      </w:r>
      <w:r w:rsidR="007C2409">
        <w:rPr>
          <w:rStyle w:val="Brak"/>
          <w:kern w:val="0"/>
          <w:sz w:val="24"/>
          <w:szCs w:val="24"/>
        </w:rPr>
        <w:t xml:space="preserve">osób </w:t>
      </w:r>
      <w:r w:rsidRPr="00C01871">
        <w:rPr>
          <w:rStyle w:val="Brak"/>
          <w:kern w:val="0"/>
          <w:sz w:val="24"/>
          <w:szCs w:val="24"/>
        </w:rPr>
        <w:t>stud</w:t>
      </w:r>
      <w:r w:rsidR="007C2409">
        <w:rPr>
          <w:rStyle w:val="Brak"/>
          <w:kern w:val="0"/>
          <w:sz w:val="24"/>
          <w:szCs w:val="24"/>
        </w:rPr>
        <w:t>iujących</w:t>
      </w:r>
      <w:r w:rsidR="007B79E9">
        <w:rPr>
          <w:rStyle w:val="Brak"/>
          <w:kern w:val="0"/>
          <w:sz w:val="24"/>
          <w:szCs w:val="24"/>
        </w:rPr>
        <w:t>, doktorantów</w:t>
      </w:r>
      <w:r w:rsidRPr="00C01871">
        <w:rPr>
          <w:rStyle w:val="Brak"/>
          <w:kern w:val="0"/>
          <w:sz w:val="24"/>
          <w:szCs w:val="24"/>
        </w:rPr>
        <w:t xml:space="preserve"> i </w:t>
      </w:r>
      <w:r w:rsidR="007C2409">
        <w:rPr>
          <w:rStyle w:val="Brak"/>
          <w:kern w:val="0"/>
          <w:sz w:val="24"/>
          <w:szCs w:val="24"/>
        </w:rPr>
        <w:t xml:space="preserve">doktorantek oraz osób </w:t>
      </w:r>
      <w:r w:rsidRPr="00C01871">
        <w:rPr>
          <w:rStyle w:val="Brak"/>
          <w:kern w:val="0"/>
          <w:sz w:val="24"/>
          <w:szCs w:val="24"/>
        </w:rPr>
        <w:t>prac</w:t>
      </w:r>
      <w:r w:rsidR="007C2409">
        <w:rPr>
          <w:rStyle w:val="Brak"/>
          <w:kern w:val="0"/>
          <w:sz w:val="24"/>
          <w:szCs w:val="24"/>
        </w:rPr>
        <w:t xml:space="preserve">ujących </w:t>
      </w:r>
      <w:r w:rsidRPr="00C01871">
        <w:rPr>
          <w:rStyle w:val="Brak"/>
          <w:kern w:val="0"/>
          <w:sz w:val="24"/>
          <w:szCs w:val="24"/>
        </w:rPr>
        <w:t>z niepełnosprawnościami i</w:t>
      </w:r>
      <w:r w:rsidR="007C2409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szczególnymi potrzebami przyjeżdżających do danej uczelni w celach dydaktycznych lub badawczych,</w:t>
      </w:r>
    </w:p>
    <w:p w14:paraId="2D451CF5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adaptacja materiałów dydaktycznych i naukowych w odpowiedzi na szczególne potrzeby,</w:t>
      </w:r>
    </w:p>
    <w:p w14:paraId="4F74A2FE" w14:textId="214845A3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wypracowanie zasad finansowania udziału w konferencjach naukowych osób z niepełnosprawnościami wspieranych przez asystentów dydaktycznych, </w:t>
      </w:r>
    </w:p>
    <w:p w14:paraId="489DC8C2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oferty szkoleniowej uświadamiającej kadrę dydaktyczną i badawczą w zakresie społecznego modelu niepełnosprawności, racjonalnych usprawnień i efektywnego włączania osób z niepełnosprawnościami do prowadzenia badań naukowych. </w:t>
      </w:r>
    </w:p>
    <w:p w14:paraId="682B9630" w14:textId="0EADB687" w:rsidR="00224125" w:rsidRPr="00C01871" w:rsidRDefault="00606B51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i/>
          <w:iCs/>
          <w:sz w:val="24"/>
          <w:szCs w:val="24"/>
        </w:rPr>
      </w:pPr>
      <w:r>
        <w:rPr>
          <w:rStyle w:val="Brak"/>
          <w:kern w:val="0"/>
          <w:sz w:val="24"/>
          <w:szCs w:val="24"/>
        </w:rPr>
        <w:t>i</w:t>
      </w:r>
      <w:r w:rsidRPr="00C01871">
        <w:rPr>
          <w:rStyle w:val="Brak"/>
          <w:kern w:val="0"/>
          <w:sz w:val="24"/>
          <w:szCs w:val="24"/>
        </w:rPr>
        <w:t>nne</w:t>
      </w:r>
      <w:r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 ujęte w przykładach, poszerzające w uczelni dostępność badań naukowych</w:t>
      </w:r>
      <w:r w:rsidRPr="00C01871">
        <w:rPr>
          <w:rStyle w:val="Brak"/>
          <w:i/>
          <w:iCs/>
          <w:kern w:val="0"/>
          <w:sz w:val="24"/>
          <w:szCs w:val="24"/>
        </w:rPr>
        <w:t>.</w:t>
      </w:r>
    </w:p>
    <w:p w14:paraId="6B2D95DD" w14:textId="41128E73" w:rsidR="00224125" w:rsidRPr="00C01871" w:rsidRDefault="00F570B4" w:rsidP="00984140">
      <w:pPr>
        <w:pStyle w:val="Nagwek3"/>
        <w:numPr>
          <w:ilvl w:val="1"/>
          <w:numId w:val="26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52" w:name="_Toc25"/>
      <w:bookmarkStart w:id="53" w:name="_Toc144976052"/>
      <w:r>
        <w:rPr>
          <w:rStyle w:val="Brak"/>
          <w:rFonts w:ascii="Calibri" w:hAnsi="Calibri"/>
          <w:b/>
          <w:bCs/>
        </w:rPr>
        <w:t>P</w:t>
      </w:r>
      <w:r w:rsidRPr="00C01871">
        <w:rPr>
          <w:rStyle w:val="Brak"/>
          <w:rFonts w:ascii="Calibri" w:hAnsi="Calibri"/>
          <w:b/>
          <w:bCs/>
        </w:rPr>
        <w:t>rocedury i procesy na rzecz dostępności</w:t>
      </w:r>
      <w:bookmarkEnd w:id="52"/>
      <w:bookmarkEnd w:id="53"/>
    </w:p>
    <w:p w14:paraId="4EDB24BD" w14:textId="77777777" w:rsidR="00224125" w:rsidRPr="00C01871" w:rsidRDefault="00984140" w:rsidP="00B236AF">
      <w:pPr>
        <w:widowControl w:val="0"/>
        <w:tabs>
          <w:tab w:val="left" w:pos="284"/>
          <w:tab w:val="left" w:pos="504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to tworzenie dostępnego otoczenia organizacyjnego i formalnoprawnego, które cechuje się przejrzystością, transparentnością i należytą starannością w zakresie tworzonych procedur i przyjętych metod działania. Zapewnianie dostępności w procedurach i procesach oznacza w szczególności:</w:t>
      </w:r>
    </w:p>
    <w:p w14:paraId="481D3E67" w14:textId="77777777" w:rsidR="00224125" w:rsidRPr="00C01871" w:rsidRDefault="00984140" w:rsidP="00984140">
      <w:pPr>
        <w:pStyle w:val="Akapitzlist"/>
        <w:widowControl w:val="0"/>
        <w:numPr>
          <w:ilvl w:val="0"/>
          <w:numId w:val="2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uwzględnianie w planowanej i prowadzonej działalności warunków służących zapewnianiu dostępności dla osób z niepełnosprawnościami i szczególnymi potrzebami,</w:t>
      </w:r>
    </w:p>
    <w:p w14:paraId="24EFC3CC" w14:textId="77777777" w:rsidR="00224125" w:rsidRPr="00C01871" w:rsidRDefault="00984140" w:rsidP="00984140">
      <w:pPr>
        <w:pStyle w:val="Akapitzlist"/>
        <w:widowControl w:val="0"/>
        <w:numPr>
          <w:ilvl w:val="0"/>
          <w:numId w:val="2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uwzględnianie warunków służących zapewnianiu dostępności w zawieranych przez uczelnię umowach, w związku z wydatkowaniem środków publicznych.</w:t>
      </w:r>
    </w:p>
    <w:p w14:paraId="1D371C70" w14:textId="5933BE22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664AB86C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bazy wzorcowych opisów przedmiotów zamówienia,</w:t>
      </w:r>
    </w:p>
    <w:p w14:paraId="5B91E8DD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analiza istniejących procedur pod kątem dostępności oraz rekomendacji zmian, które niwelują rozpoznane bariery,</w:t>
      </w:r>
    </w:p>
    <w:p w14:paraId="079F5A21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analiza skutków projektowanych aktów prawa wewnętrznego pod kątem dostępności dla osób z niepełnosprawnościami i szczególnymi potrzebami,</w:t>
      </w:r>
    </w:p>
    <w:p w14:paraId="0751506D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wewnętrznych standardów dostępności w poszczególnych obszarach,</w:t>
      </w:r>
    </w:p>
    <w:p w14:paraId="55870E0F" w14:textId="164A36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inne </w:t>
      </w:r>
      <w:r w:rsidR="00287FDC">
        <w:rPr>
          <w:rStyle w:val="Brak"/>
          <w:kern w:val="0"/>
          <w:sz w:val="24"/>
          <w:szCs w:val="24"/>
        </w:rPr>
        <w:t xml:space="preserve">działania, </w:t>
      </w:r>
      <w:r w:rsidRPr="00C01871">
        <w:rPr>
          <w:rStyle w:val="Brak"/>
          <w:kern w:val="0"/>
          <w:sz w:val="24"/>
          <w:szCs w:val="24"/>
        </w:rPr>
        <w:t>nie ujęte w przykładach, poszerzające gwarancje dostępności w</w:t>
      </w:r>
      <w:r w:rsidR="00287FDC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procedurach i procesach zarządzania uczelnią.</w:t>
      </w:r>
    </w:p>
    <w:p w14:paraId="39333296" w14:textId="2A130D00" w:rsidR="00224125" w:rsidRPr="00C01871" w:rsidRDefault="00F570B4" w:rsidP="00984140">
      <w:pPr>
        <w:pStyle w:val="Nagwek3"/>
        <w:numPr>
          <w:ilvl w:val="1"/>
          <w:numId w:val="29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54" w:name="_Toc26"/>
      <w:bookmarkStart w:id="55" w:name="_Toc144976053"/>
      <w:r>
        <w:rPr>
          <w:rStyle w:val="Brak"/>
          <w:rFonts w:ascii="Calibri" w:hAnsi="Calibri"/>
          <w:b/>
          <w:bCs/>
        </w:rPr>
        <w:t>D</w:t>
      </w:r>
      <w:r w:rsidRPr="00C01871">
        <w:rPr>
          <w:rStyle w:val="Brak"/>
          <w:rFonts w:ascii="Calibri" w:hAnsi="Calibri"/>
          <w:b/>
          <w:bCs/>
        </w:rPr>
        <w:t>ostępność środowiska pracy</w:t>
      </w:r>
      <w:bookmarkEnd w:id="54"/>
      <w:bookmarkEnd w:id="55"/>
    </w:p>
    <w:p w14:paraId="7C2875DC" w14:textId="77777777" w:rsidR="00224125" w:rsidRPr="00C01871" w:rsidRDefault="00984140" w:rsidP="00B236AF">
      <w:pPr>
        <w:widowControl w:val="0"/>
        <w:tabs>
          <w:tab w:val="left" w:pos="284"/>
          <w:tab w:val="left" w:pos="504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dotyczy wszystkich typów stanowisk i oznacza w szczególności:</w:t>
      </w:r>
    </w:p>
    <w:p w14:paraId="373E832A" w14:textId="77777777" w:rsidR="00224125" w:rsidRPr="00C01871" w:rsidRDefault="00984140" w:rsidP="00984140">
      <w:pPr>
        <w:pStyle w:val="Akapitzlist"/>
        <w:widowControl w:val="0"/>
        <w:numPr>
          <w:ilvl w:val="0"/>
          <w:numId w:val="31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zapewnianie dostępnego procesu rekrutacji na wszystkie stanowiska pracy, przy czym dostępność ma charakter systemowy,</w:t>
      </w:r>
    </w:p>
    <w:p w14:paraId="743AC10A" w14:textId="77777777" w:rsidR="00224125" w:rsidRPr="00C01871" w:rsidRDefault="00984140" w:rsidP="00984140">
      <w:pPr>
        <w:pStyle w:val="Akapitzlist"/>
        <w:widowControl w:val="0"/>
        <w:numPr>
          <w:ilvl w:val="0"/>
          <w:numId w:val="31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zapewnianie dostępnych (architektonicznie, cyfrowo, informacyjno-komunikacyjnie) warunków pracy z wykorzystaniem technologii wspierających i innych, nowoczesnych narzędzi służących dostępności,</w:t>
      </w:r>
    </w:p>
    <w:p w14:paraId="0D0C9439" w14:textId="77777777" w:rsidR="00224125" w:rsidRPr="00C01871" w:rsidRDefault="00984140" w:rsidP="00984140">
      <w:pPr>
        <w:pStyle w:val="Akapitzlist"/>
        <w:widowControl w:val="0"/>
        <w:numPr>
          <w:ilvl w:val="0"/>
          <w:numId w:val="31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zapewnianie możliwości awansu i pełnienia ról kierowniczych oraz prowadzenia projektów,</w:t>
      </w:r>
    </w:p>
    <w:p w14:paraId="369EFE4A" w14:textId="77777777" w:rsidR="00224125" w:rsidRPr="00C01871" w:rsidRDefault="00984140" w:rsidP="00984140">
      <w:pPr>
        <w:pStyle w:val="Akapitzlist"/>
        <w:widowControl w:val="0"/>
        <w:numPr>
          <w:ilvl w:val="0"/>
          <w:numId w:val="31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zapewnianie dostępności dla rodziców małych dzieci i opiekunów osób zależnych m.in. poprzez elastyczne możliwości pracy, zapewnienie przewijaków, miejsc parkingowych.</w:t>
      </w:r>
    </w:p>
    <w:p w14:paraId="0C8E1D79" w14:textId="38183F35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katalog zamknięty, a uczelnie mogą realizować zadania autorskie i adekwatne do swojej specyfiki:</w:t>
      </w:r>
    </w:p>
    <w:p w14:paraId="430D7476" w14:textId="0149F8D6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tworzenie oferty wsparcia dla </w:t>
      </w:r>
      <w:r w:rsidR="007C2409">
        <w:rPr>
          <w:rStyle w:val="Brak"/>
          <w:kern w:val="0"/>
          <w:sz w:val="24"/>
          <w:szCs w:val="24"/>
        </w:rPr>
        <w:t xml:space="preserve">osób </w:t>
      </w:r>
      <w:r w:rsidRPr="00C01871">
        <w:rPr>
          <w:rStyle w:val="Brak"/>
          <w:kern w:val="0"/>
          <w:sz w:val="24"/>
          <w:szCs w:val="24"/>
        </w:rPr>
        <w:t>prac</w:t>
      </w:r>
      <w:r w:rsidR="007C2409">
        <w:rPr>
          <w:rStyle w:val="Brak"/>
          <w:kern w:val="0"/>
          <w:sz w:val="24"/>
          <w:szCs w:val="24"/>
        </w:rPr>
        <w:t>ujących</w:t>
      </w:r>
      <w:r w:rsidRPr="00C01871">
        <w:rPr>
          <w:rStyle w:val="Brak"/>
          <w:kern w:val="0"/>
          <w:sz w:val="24"/>
          <w:szCs w:val="24"/>
        </w:rPr>
        <w:t xml:space="preserve"> z niepełnosprawnościami i szczególnymi potrzebami,</w:t>
      </w:r>
    </w:p>
    <w:p w14:paraId="7639B3F9" w14:textId="30758CBC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przeprowadzanie konsultacji w zakresie indywidualnych sytuacji pracowników </w:t>
      </w:r>
      <w:r w:rsidR="007C2409">
        <w:rPr>
          <w:rStyle w:val="Brak"/>
          <w:kern w:val="0"/>
          <w:sz w:val="24"/>
          <w:szCs w:val="24"/>
        </w:rPr>
        <w:t xml:space="preserve">i pracownic </w:t>
      </w:r>
      <w:r w:rsidRPr="00C01871">
        <w:rPr>
          <w:rStyle w:val="Brak"/>
          <w:kern w:val="0"/>
          <w:sz w:val="24"/>
          <w:szCs w:val="24"/>
        </w:rPr>
        <w:t>z niepełnosprawnościami i szczególnymi potrzebami,</w:t>
      </w:r>
    </w:p>
    <w:p w14:paraId="1EBA40E2" w14:textId="18DA6650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inne</w:t>
      </w:r>
      <w:r w:rsidR="00287FDC"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 ujęte w przykładach, poszerzające dostępność środowiska pracy w</w:t>
      </w:r>
      <w:r w:rsidR="00287FDC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uczelni.</w:t>
      </w:r>
    </w:p>
    <w:p w14:paraId="6A57E774" w14:textId="22882032" w:rsidR="00224125" w:rsidRPr="00C01871" w:rsidRDefault="00F570B4" w:rsidP="00984140">
      <w:pPr>
        <w:pStyle w:val="Nagwek3"/>
        <w:numPr>
          <w:ilvl w:val="1"/>
          <w:numId w:val="32"/>
        </w:numPr>
        <w:spacing w:before="100" w:after="120" w:line="276" w:lineRule="auto"/>
        <w:rPr>
          <w:rFonts w:ascii="Calibri" w:eastAsia="Calibri" w:hAnsi="Calibri" w:cs="Calibri"/>
          <w:b/>
          <w:bCs/>
        </w:rPr>
      </w:pPr>
      <w:bookmarkStart w:id="56" w:name="_Toc27"/>
      <w:bookmarkStart w:id="57" w:name="_Toc144976054"/>
      <w:r>
        <w:rPr>
          <w:rStyle w:val="Brak"/>
          <w:rFonts w:ascii="Calibri" w:hAnsi="Calibri"/>
          <w:b/>
          <w:bCs/>
        </w:rPr>
        <w:t>W</w:t>
      </w:r>
      <w:r w:rsidRPr="00C01871">
        <w:rPr>
          <w:rStyle w:val="Brak"/>
          <w:rFonts w:ascii="Calibri" w:hAnsi="Calibri"/>
          <w:b/>
          <w:bCs/>
        </w:rPr>
        <w:t>spółpraca z otoczeniem na rzecz dostępności</w:t>
      </w:r>
      <w:bookmarkEnd w:id="56"/>
      <w:bookmarkEnd w:id="57"/>
    </w:p>
    <w:p w14:paraId="495746AD" w14:textId="77777777" w:rsidR="00224125" w:rsidRPr="00C01871" w:rsidRDefault="00984140" w:rsidP="00B236AF">
      <w:pPr>
        <w:widowControl w:val="0"/>
        <w:tabs>
          <w:tab w:val="left" w:pos="360"/>
          <w:tab w:val="left" w:pos="7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oznacza w szczególności:</w:t>
      </w:r>
    </w:p>
    <w:p w14:paraId="343F2627" w14:textId="2143315E" w:rsidR="00224125" w:rsidRPr="00C01871" w:rsidRDefault="00984140" w:rsidP="00984140">
      <w:pPr>
        <w:pStyle w:val="Akapitzlist"/>
        <w:widowControl w:val="0"/>
        <w:numPr>
          <w:ilvl w:val="0"/>
          <w:numId w:val="34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gromadzenie wiedzy i prowadzenie dialogu o dostępności z otoczeniem (innymi szkołami wyższymi, szkołami niższego szczebla, otoczeniem biznesowym i</w:t>
      </w:r>
      <w:r w:rsidR="00287FDC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organizacjami pozarządowymi, w tym grupami nieformalnymi działającymi na rzecz dostępności</w:t>
      </w:r>
      <w:r w:rsidR="0077294F">
        <w:rPr>
          <w:rStyle w:val="Brak"/>
          <w:kern w:val="0"/>
          <w:sz w:val="24"/>
          <w:szCs w:val="24"/>
        </w:rPr>
        <w:t xml:space="preserve"> lub działającymi w obszarach, w których dostępność powinna być systemowo uwzględniona</w:t>
      </w:r>
      <w:r w:rsidRPr="00C01871">
        <w:rPr>
          <w:rStyle w:val="Brak"/>
          <w:kern w:val="0"/>
          <w:sz w:val="24"/>
          <w:szCs w:val="24"/>
        </w:rPr>
        <w:t>),</w:t>
      </w:r>
    </w:p>
    <w:p w14:paraId="75A76EB2" w14:textId="77777777" w:rsidR="00224125" w:rsidRPr="00C01871" w:rsidRDefault="00984140" w:rsidP="00984140">
      <w:pPr>
        <w:pStyle w:val="Akapitzlist"/>
        <w:widowControl w:val="0"/>
        <w:numPr>
          <w:ilvl w:val="0"/>
          <w:numId w:val="34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standaryzacja wzorców, modeli oraz rozwój i upowszechnianie nowatorskich metod zapewniania dostępności,</w:t>
      </w:r>
    </w:p>
    <w:p w14:paraId="334E9C46" w14:textId="77777777" w:rsidR="00224125" w:rsidRPr="00C01871" w:rsidRDefault="00984140" w:rsidP="00984140">
      <w:pPr>
        <w:pStyle w:val="Akapitzlist"/>
        <w:widowControl w:val="0"/>
        <w:numPr>
          <w:ilvl w:val="0"/>
          <w:numId w:val="34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rekomendowanie kierunków rozwoju systemu edukacji różnych szczebli w zakresie szeroko rozumianej dostępności,</w:t>
      </w:r>
    </w:p>
    <w:p w14:paraId="69CDFBC6" w14:textId="77777777" w:rsidR="00224125" w:rsidRPr="00C01871" w:rsidRDefault="00984140" w:rsidP="00984140">
      <w:pPr>
        <w:pStyle w:val="Akapitzlist"/>
        <w:widowControl w:val="0"/>
        <w:numPr>
          <w:ilvl w:val="0"/>
          <w:numId w:val="34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wymiana dobrych praktyk zapewniania dostępności w kraju i za granicą,</w:t>
      </w:r>
    </w:p>
    <w:p w14:paraId="1E40CCAC" w14:textId="5D5D526D" w:rsidR="00224125" w:rsidRPr="00C01871" w:rsidRDefault="00984140" w:rsidP="00984140">
      <w:pPr>
        <w:pStyle w:val="Akapitzlist"/>
        <w:widowControl w:val="0"/>
        <w:numPr>
          <w:ilvl w:val="0"/>
          <w:numId w:val="34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tworzenie warunków do dialogu o poszerzaniu dostępności w uczelni i jej otoczeniu społeczno-gospodarczym, zgodnie z trzecią misją uczelni.</w:t>
      </w:r>
    </w:p>
    <w:p w14:paraId="36F8B1FC" w14:textId="29E2047D" w:rsidR="00224125" w:rsidRPr="00C01871" w:rsidRDefault="00984140" w:rsidP="00B236AF">
      <w:pPr>
        <w:widowControl w:val="0"/>
        <w:tabs>
          <w:tab w:val="left" w:pos="220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Wskazując </w:t>
      </w:r>
      <w:r w:rsidRPr="00C01871">
        <w:rPr>
          <w:rStyle w:val="Brak"/>
          <w:b/>
          <w:bCs/>
          <w:kern w:val="0"/>
          <w:sz w:val="24"/>
          <w:szCs w:val="24"/>
        </w:rPr>
        <w:t>przykładowe działania</w:t>
      </w:r>
      <w:r w:rsidRPr="00C01871">
        <w:rPr>
          <w:rStyle w:val="Brak"/>
          <w:kern w:val="0"/>
          <w:sz w:val="24"/>
          <w:szCs w:val="24"/>
        </w:rPr>
        <w:t xml:space="preserve"> w tym obszarze</w:t>
      </w:r>
      <w:r w:rsidR="00287FDC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podkreślamy, że nie jest to lista zamknięta, a uczelnie mogą realizować zadania autorskie i adekwatne do swojej specyfiki:</w:t>
      </w:r>
    </w:p>
    <w:p w14:paraId="7DD0DFAB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opracowywanie analiz i raportów w obszarze dostępności,</w:t>
      </w:r>
    </w:p>
    <w:p w14:paraId="51219C21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transfer wiedzy i testowanie nowatorskich rozwiązań poszerzających dostępność w uczelni i jej otoczeniu,</w:t>
      </w:r>
    </w:p>
    <w:p w14:paraId="116F8551" w14:textId="16B45449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wyjazdy</w:t>
      </w:r>
      <w:r w:rsidR="00313840">
        <w:rPr>
          <w:rStyle w:val="Brak"/>
          <w:kern w:val="0"/>
          <w:sz w:val="24"/>
          <w:szCs w:val="24"/>
        </w:rPr>
        <w:t>,</w:t>
      </w:r>
      <w:r w:rsidRPr="00C01871">
        <w:rPr>
          <w:rStyle w:val="Brak"/>
          <w:kern w:val="0"/>
          <w:sz w:val="24"/>
          <w:szCs w:val="24"/>
        </w:rPr>
        <w:t xml:space="preserve"> w tym zagraniczne wizyty studyjne w modelowych centrach dostępności w kraju i za granicą,</w:t>
      </w:r>
    </w:p>
    <w:p w14:paraId="7E5A3A68" w14:textId="77777777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organizacja i udział w seminariach, konferencjach, laboratoriach partycypacji,</w:t>
      </w:r>
    </w:p>
    <w:p w14:paraId="667F9AA5" w14:textId="00FFB74A" w:rsidR="00224125" w:rsidRPr="00C01871" w:rsidRDefault="00984140" w:rsidP="00984140">
      <w:pPr>
        <w:pStyle w:val="Akapitzlist"/>
        <w:widowControl w:val="0"/>
        <w:numPr>
          <w:ilvl w:val="0"/>
          <w:numId w:val="12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inne</w:t>
      </w:r>
      <w:r w:rsidR="00287FDC">
        <w:rPr>
          <w:rStyle w:val="Brak"/>
          <w:kern w:val="0"/>
          <w:sz w:val="24"/>
          <w:szCs w:val="24"/>
        </w:rPr>
        <w:t xml:space="preserve"> działania</w:t>
      </w:r>
      <w:r w:rsidRPr="00C01871">
        <w:rPr>
          <w:rStyle w:val="Brak"/>
          <w:kern w:val="0"/>
          <w:sz w:val="24"/>
          <w:szCs w:val="24"/>
        </w:rPr>
        <w:t>, nie ujęte w przykładach, poszerzające współpracę uczelni z</w:t>
      </w:r>
      <w:r w:rsidR="00287FDC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otoczeniem na rzecz dostępności.</w:t>
      </w:r>
    </w:p>
    <w:p w14:paraId="485C9750" w14:textId="7AD1960E" w:rsidR="00224125" w:rsidRPr="00C01871" w:rsidRDefault="00984140" w:rsidP="00984140">
      <w:pPr>
        <w:pStyle w:val="Nagwek2"/>
        <w:numPr>
          <w:ilvl w:val="0"/>
          <w:numId w:val="32"/>
        </w:numPr>
        <w:spacing w:line="276" w:lineRule="auto"/>
      </w:pPr>
      <w:bookmarkStart w:id="58" w:name="_Toc28"/>
      <w:bookmarkStart w:id="59" w:name="_Toc144976055"/>
      <w:r w:rsidRPr="00C01871">
        <w:rPr>
          <w:rStyle w:val="Brak"/>
          <w:u w:color="244084"/>
        </w:rPr>
        <w:t xml:space="preserve">Rezultaty projektów w ścieżkach „Zaawansowani w </w:t>
      </w:r>
      <w:r w:rsidR="00287FDC">
        <w:rPr>
          <w:rStyle w:val="Brak"/>
          <w:u w:color="244084"/>
        </w:rPr>
        <w:t>d</w:t>
      </w:r>
      <w:r w:rsidRPr="00C01871">
        <w:rPr>
          <w:rStyle w:val="Brak"/>
          <w:u w:color="244084"/>
        </w:rPr>
        <w:t xml:space="preserve">ostępności” i „Liderzy </w:t>
      </w:r>
      <w:r w:rsidR="00287FDC">
        <w:rPr>
          <w:rStyle w:val="Brak"/>
          <w:u w:color="244084"/>
        </w:rPr>
        <w:t>d</w:t>
      </w:r>
      <w:r w:rsidRPr="00C01871">
        <w:rPr>
          <w:rStyle w:val="Brak"/>
          <w:u w:color="244084"/>
        </w:rPr>
        <w:t>ostępności”</w:t>
      </w:r>
      <w:bookmarkEnd w:id="58"/>
      <w:bookmarkEnd w:id="59"/>
    </w:p>
    <w:p w14:paraId="2325BD11" w14:textId="77777777" w:rsidR="00224125" w:rsidRPr="00C01871" w:rsidRDefault="00984140" w:rsidP="00984140">
      <w:pPr>
        <w:pStyle w:val="Akapitzlist"/>
        <w:numPr>
          <w:ilvl w:val="0"/>
          <w:numId w:val="36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Długofalowymi rezultatami projektów realizowanych w ramach tych ścieżek mają być rozwiązania o charakterze systemowym, pozwalające na wdrażanie zasad dostępności po zakończeniu realizacji projektów.</w:t>
      </w:r>
    </w:p>
    <w:p w14:paraId="79D30951" w14:textId="77777777" w:rsidR="00224125" w:rsidRPr="00C01871" w:rsidRDefault="00984140" w:rsidP="00984140">
      <w:pPr>
        <w:pStyle w:val="Akapitzlist"/>
        <w:numPr>
          <w:ilvl w:val="0"/>
          <w:numId w:val="36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Projekty powinny pobudzać inne jednostki (poza jednostką bezpośrednio realizującą wynikające z niego zadania) do planowania i realizowania zakresu swojej działalności zgodnie z zasadami projektowania uniwersalnego, uwzględniając szczególne potrzeby szeroko rozumianej społeczności akademickiej.</w:t>
      </w:r>
    </w:p>
    <w:p w14:paraId="301967F4" w14:textId="77777777" w:rsidR="00224125" w:rsidRPr="00C01871" w:rsidRDefault="00984140" w:rsidP="00984140">
      <w:pPr>
        <w:pStyle w:val="Akapitzlist"/>
        <w:numPr>
          <w:ilvl w:val="0"/>
          <w:numId w:val="36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W projektach możliwe jest podejmowanie działań pilotażowych i testowanie nowatorskich rozwiązań poszerzających dostępność.</w:t>
      </w:r>
    </w:p>
    <w:p w14:paraId="59B5DB79" w14:textId="77777777" w:rsidR="00224125" w:rsidRPr="00C01871" w:rsidRDefault="00984140" w:rsidP="00984140">
      <w:pPr>
        <w:pStyle w:val="Akapitzlist"/>
        <w:numPr>
          <w:ilvl w:val="0"/>
          <w:numId w:val="36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Rezultaty projektów, np. standardy powinny służyć wdrażaniu dostępności w całym sektorze szkolnictwa wyższego oraz oddziaływać na niższe szczeble edukacji oraz na otoczenie społeczne i biznesowe uczelni zgodnie z trzecią misją uczelni.</w:t>
      </w:r>
    </w:p>
    <w:p w14:paraId="30B19703" w14:textId="77777777" w:rsidR="00224125" w:rsidRPr="00C01871" w:rsidRDefault="00984140" w:rsidP="00984140">
      <w:pPr>
        <w:pStyle w:val="Akapitzlist"/>
        <w:numPr>
          <w:ilvl w:val="0"/>
          <w:numId w:val="36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Należy położyć duży nacisk na upowszechnianie wiedzy o dostępności.</w:t>
      </w:r>
    </w:p>
    <w:p w14:paraId="27FB10B4" w14:textId="0DF509E5" w:rsidR="00224125" w:rsidRPr="00DA7112" w:rsidRDefault="00984140" w:rsidP="00984140">
      <w:pPr>
        <w:pStyle w:val="Akapitzlist"/>
        <w:numPr>
          <w:ilvl w:val="0"/>
          <w:numId w:val="36"/>
        </w:numPr>
        <w:spacing w:before="100" w:after="120" w:line="276" w:lineRule="auto"/>
        <w:rPr>
          <w:sz w:val="24"/>
          <w:szCs w:val="24"/>
        </w:rPr>
      </w:pPr>
      <w:bookmarkStart w:id="60" w:name="_Hlk144905166"/>
      <w:r w:rsidRPr="00DA7112">
        <w:rPr>
          <w:rStyle w:val="Brak"/>
          <w:sz w:val="24"/>
          <w:szCs w:val="24"/>
        </w:rPr>
        <w:t>Liderzy dostępności powinni stworzyć rekomendacje dla Ministerstw</w:t>
      </w:r>
      <w:r w:rsidR="00287FDC" w:rsidRPr="00DA7112">
        <w:rPr>
          <w:rStyle w:val="Brak"/>
          <w:sz w:val="24"/>
          <w:szCs w:val="24"/>
        </w:rPr>
        <w:t>a</w:t>
      </w:r>
      <w:r w:rsidRPr="00DA7112">
        <w:rPr>
          <w:rStyle w:val="Brak"/>
          <w:sz w:val="24"/>
          <w:szCs w:val="24"/>
        </w:rPr>
        <w:t xml:space="preserve"> Edukacji i Nauki </w:t>
      </w:r>
      <w:bookmarkEnd w:id="60"/>
      <w:r w:rsidRPr="00DA7112">
        <w:rPr>
          <w:rStyle w:val="Brak"/>
          <w:sz w:val="24"/>
          <w:szCs w:val="24"/>
        </w:rPr>
        <w:t>w zakresie kierunków rozwoju wsparcia osób ze szczególnymi potrzebami w systemie edukacji i w przestrzeni akademickiej.</w:t>
      </w:r>
      <w:r w:rsidR="00DA7112">
        <w:rPr>
          <w:rStyle w:val="Brak"/>
          <w:sz w:val="24"/>
          <w:szCs w:val="24"/>
        </w:rPr>
        <w:t xml:space="preserve"> Rekomendacje te będą przekazane do rozpatrzenia Komisji ds. Wyrównywania Szans Edukacyjnych przy KRASP oraz </w:t>
      </w:r>
      <w:r w:rsidR="002B1A21">
        <w:rPr>
          <w:rStyle w:val="Brak"/>
          <w:sz w:val="24"/>
          <w:szCs w:val="24"/>
        </w:rPr>
        <w:t>przesłane do wiadomości NCBiR.</w:t>
      </w:r>
    </w:p>
    <w:p w14:paraId="65BC8F39" w14:textId="3B3B3279" w:rsidR="00224125" w:rsidRPr="00C01871" w:rsidRDefault="00984140" w:rsidP="00984140">
      <w:pPr>
        <w:pStyle w:val="Nagwek2"/>
        <w:numPr>
          <w:ilvl w:val="0"/>
          <w:numId w:val="32"/>
        </w:numPr>
        <w:spacing w:line="276" w:lineRule="auto"/>
      </w:pPr>
      <w:bookmarkStart w:id="61" w:name="_Toc29"/>
      <w:bookmarkStart w:id="62" w:name="_Toc144976056"/>
      <w:r w:rsidRPr="00C01871">
        <w:rPr>
          <w:rStyle w:val="Brak"/>
          <w:u w:color="244084"/>
        </w:rPr>
        <w:t>„Zaawansowani w dostępności”</w:t>
      </w:r>
      <w:bookmarkEnd w:id="61"/>
      <w:bookmarkEnd w:id="62"/>
    </w:p>
    <w:p w14:paraId="0DCF62A4" w14:textId="77777777" w:rsidR="00224125" w:rsidRPr="00C01871" w:rsidRDefault="00984140" w:rsidP="00B236AF">
      <w:pPr>
        <w:pStyle w:val="Nagwek3"/>
        <w:spacing w:before="100" w:after="120" w:line="276" w:lineRule="auto"/>
        <w:rPr>
          <w:rStyle w:val="Brak"/>
          <w:rFonts w:ascii="Calibri" w:eastAsia="Calibri" w:hAnsi="Calibri" w:cs="Calibri"/>
          <w:b/>
          <w:bCs/>
        </w:rPr>
      </w:pPr>
      <w:bookmarkStart w:id="63" w:name="_Toc30"/>
      <w:bookmarkStart w:id="64" w:name="_Toc144976057"/>
      <w:r w:rsidRPr="00C01871">
        <w:rPr>
          <w:rStyle w:val="Brak"/>
          <w:rFonts w:ascii="Calibri" w:hAnsi="Calibri"/>
          <w:b/>
          <w:bCs/>
        </w:rPr>
        <w:t>Charakterystyka ścieżki</w:t>
      </w:r>
      <w:bookmarkEnd w:id="63"/>
      <w:bookmarkEnd w:id="64"/>
    </w:p>
    <w:p w14:paraId="6807D464" w14:textId="2652D01E" w:rsidR="00224125" w:rsidRPr="00C01871" w:rsidRDefault="00984140" w:rsidP="00B236AF">
      <w:pPr>
        <w:spacing w:before="100" w:after="120" w:line="276" w:lineRule="auto"/>
        <w:rPr>
          <w:rStyle w:val="Brak"/>
          <w:i/>
          <w:iCs/>
          <w:kern w:val="0"/>
          <w:sz w:val="24"/>
          <w:szCs w:val="24"/>
        </w:rPr>
      </w:pPr>
      <w:r w:rsidRPr="00C01871">
        <w:rPr>
          <w:rStyle w:val="Brak"/>
          <w:i/>
          <w:iCs/>
          <w:kern w:val="0"/>
          <w:sz w:val="24"/>
          <w:szCs w:val="24"/>
        </w:rPr>
        <w:t>Ścieżka ta przeznaczona jest dla uczelni, które korzystały już z funduszy konkursu „Uczelnia dostępna”</w:t>
      </w:r>
      <w:r w:rsidR="00623104">
        <w:rPr>
          <w:rStyle w:val="Brak"/>
          <w:i/>
          <w:iCs/>
          <w:kern w:val="0"/>
          <w:sz w:val="24"/>
          <w:szCs w:val="24"/>
        </w:rPr>
        <w:t xml:space="preserve"> realizowanego w ramach Programu Operacyjnego Wiedza Edukacja Rozwój 2014-2020 (POWER) </w:t>
      </w:r>
      <w:r w:rsidRPr="00C01871">
        <w:rPr>
          <w:rStyle w:val="Brak"/>
          <w:i/>
          <w:iCs/>
          <w:kern w:val="0"/>
          <w:sz w:val="24"/>
          <w:szCs w:val="24"/>
        </w:rPr>
        <w:t xml:space="preserve"> i chcą profesjonalizować swoje działania lub zainicjować aktywności w wymaganych w obecnym konkursie obszarach dostępności. </w:t>
      </w:r>
    </w:p>
    <w:p w14:paraId="0F6BDD9E" w14:textId="77777777" w:rsidR="00224125" w:rsidRPr="00C01871" w:rsidRDefault="00984140" w:rsidP="00984140">
      <w:pPr>
        <w:pStyle w:val="Akapitzlist"/>
        <w:numPr>
          <w:ilvl w:val="0"/>
          <w:numId w:val="38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Wartość maksymalna dofinansowania projektów realizowanych w tej ścieżce nie może przekroczyć 8 milionów złotych.</w:t>
      </w:r>
    </w:p>
    <w:p w14:paraId="3821AF58" w14:textId="77777777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Maksymalny poziom cross-financingu – 25%.</w:t>
      </w:r>
    </w:p>
    <w:p w14:paraId="7F509E9A" w14:textId="6B0339C7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Okres realizacji projektu – maksymalnie 4 lata, </w:t>
      </w:r>
      <w:r w:rsidR="007B79E9">
        <w:rPr>
          <w:rStyle w:val="Brak"/>
          <w:sz w:val="24"/>
          <w:szCs w:val="24"/>
        </w:rPr>
        <w:t>lecz nie dłużej niż do 30 października</w:t>
      </w:r>
      <w:r w:rsidRPr="00C01871">
        <w:rPr>
          <w:rStyle w:val="Brak"/>
          <w:sz w:val="24"/>
          <w:szCs w:val="24"/>
        </w:rPr>
        <w:t xml:space="preserve"> 202</w:t>
      </w:r>
      <w:r w:rsidR="007B79E9">
        <w:rPr>
          <w:rStyle w:val="Brak"/>
          <w:sz w:val="24"/>
          <w:szCs w:val="24"/>
        </w:rPr>
        <w:t>9</w:t>
      </w:r>
      <w:r w:rsidRPr="00C01871">
        <w:rPr>
          <w:rStyle w:val="Brak"/>
          <w:sz w:val="24"/>
          <w:szCs w:val="24"/>
        </w:rPr>
        <w:t xml:space="preserve"> r.</w:t>
      </w:r>
    </w:p>
    <w:p w14:paraId="52E17FC4" w14:textId="58207158" w:rsidR="00224125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Projekty mogą być przez uczelnię realizowane samodzielnie lub w partnerstwach m.in. z organizacjami pozarządowymi, grupami nieformalnymi działającymi na rzecz dostępności. Jednak w każdym przypadku, wnioskodawcy muszą opisać we wniosku współpracę ze środowiskiem osób z niepełnosprawnościami i osób ze szczególnymi potrzebami w rozumieniu </w:t>
      </w:r>
      <w:r w:rsidRPr="00C01871">
        <w:rPr>
          <w:rStyle w:val="Brak"/>
          <w:i/>
          <w:iCs/>
          <w:sz w:val="24"/>
          <w:szCs w:val="24"/>
        </w:rPr>
        <w:t>Ustawy z 19 lipca 2019 r. o zapewnianiu dostępności osobom ze szczególnymi potrzebami</w:t>
      </w:r>
      <w:r w:rsidRPr="00C01871">
        <w:rPr>
          <w:rStyle w:val="Brak"/>
          <w:sz w:val="24"/>
          <w:szCs w:val="24"/>
        </w:rPr>
        <w:t xml:space="preserve">. Środowisko osób z niepełnosprawnościami i osób ze szczególnymi potrzebami jest tu rozumiane szeroko. Mogą to na przykład być organizacje studenckie, doktoranckie skupiające te osoby, organizacje pracownicze, osoby indywidualne </w:t>
      </w:r>
      <w:r w:rsidR="007D5084">
        <w:rPr>
          <w:rStyle w:val="Brak"/>
          <w:sz w:val="24"/>
          <w:szCs w:val="24"/>
        </w:rPr>
        <w:t>(osoby studiujące,</w:t>
      </w:r>
      <w:r w:rsidR="007D5084" w:rsidRPr="00C01871">
        <w:rPr>
          <w:rStyle w:val="Brak"/>
          <w:sz w:val="24"/>
          <w:szCs w:val="24"/>
        </w:rPr>
        <w:t xml:space="preserve"> doktoranci</w:t>
      </w:r>
      <w:r w:rsidR="007D5084">
        <w:rPr>
          <w:rStyle w:val="Brak"/>
          <w:sz w:val="24"/>
          <w:szCs w:val="24"/>
        </w:rPr>
        <w:t xml:space="preserve"> i doktorantki</w:t>
      </w:r>
      <w:r w:rsidR="007D5084" w:rsidRPr="00C01871">
        <w:rPr>
          <w:rStyle w:val="Brak"/>
          <w:sz w:val="24"/>
          <w:szCs w:val="24"/>
        </w:rPr>
        <w:t xml:space="preserve">, pracownicy naukowi i administracyjni) </w:t>
      </w:r>
      <w:r w:rsidRPr="00C01871">
        <w:rPr>
          <w:rStyle w:val="Brak"/>
          <w:sz w:val="24"/>
          <w:szCs w:val="24"/>
        </w:rPr>
        <w:t xml:space="preserve"> zgłaszające swoje potrzeby i bariery, a także grupy nieformalne.</w:t>
      </w:r>
    </w:p>
    <w:p w14:paraId="1E243D11" w14:textId="1AB9773F" w:rsidR="00DD4675" w:rsidRPr="00DD4675" w:rsidRDefault="00DD4675" w:rsidP="00DD4675">
      <w:pPr>
        <w:pStyle w:val="Akapitzlist"/>
        <w:spacing w:before="100" w:after="120" w:line="276" w:lineRule="auto"/>
        <w:rPr>
          <w:rStyle w:val="Brak"/>
          <w:i/>
          <w:iCs/>
          <w:sz w:val="24"/>
          <w:szCs w:val="24"/>
        </w:rPr>
      </w:pPr>
      <w:r>
        <w:rPr>
          <w:rStyle w:val="Brak"/>
          <w:sz w:val="24"/>
          <w:szCs w:val="24"/>
        </w:rPr>
        <w:t xml:space="preserve">W przypadku partnerstw z organizacjami pozarządowymi działającymi na rzecz dostępności, organizacje te muszą być zarejestrowane przed wejściem w życie </w:t>
      </w:r>
      <w:r w:rsidRPr="0077294F">
        <w:rPr>
          <w:rStyle w:val="Brak"/>
          <w:i/>
          <w:iCs/>
          <w:sz w:val="24"/>
          <w:szCs w:val="24"/>
        </w:rPr>
        <w:t>Ustawy z dn. 19 lipca 2019 r. o zapewnianiu dostępności osobom ze szczególnymi potrzebami.</w:t>
      </w:r>
    </w:p>
    <w:p w14:paraId="70120D4F" w14:textId="77777777" w:rsidR="00F608D7" w:rsidRPr="002B1A21" w:rsidRDefault="00F608D7" w:rsidP="00DD4675">
      <w:pPr>
        <w:pStyle w:val="Akapitzlist"/>
        <w:spacing w:before="100" w:after="120" w:line="276" w:lineRule="auto"/>
        <w:rPr>
          <w:rStyle w:val="Brak"/>
        </w:rPr>
      </w:pPr>
      <w:r w:rsidRPr="002B1A21">
        <w:rPr>
          <w:rStyle w:val="Brak"/>
          <w:sz w:val="24"/>
          <w:szCs w:val="24"/>
        </w:rPr>
        <w:t>W przypadku partnerstw z organizacjami, które reprezentują istotne interesy grup docelowych z otoczenia uczelni, organizacje te muszą posiadać w swoich dokumentach wewnętrznych zapisy na rzecz dostępności od co najmniej roku.</w:t>
      </w:r>
    </w:p>
    <w:p w14:paraId="2FEF6BEE" w14:textId="77777777" w:rsidR="00224125" w:rsidRPr="00C01871" w:rsidRDefault="00984140" w:rsidP="00B236AF">
      <w:pPr>
        <w:pStyle w:val="Akapitzlist"/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>Należy podkreślić, że realizacja projektu w ścieżce „Zaawansowani w dostępności” w partnerstwie nie jest dodatkowo premiowana.</w:t>
      </w:r>
    </w:p>
    <w:p w14:paraId="653CA154" w14:textId="77777777" w:rsidR="00224125" w:rsidRPr="00C01871" w:rsidRDefault="00984140" w:rsidP="00B236AF">
      <w:pPr>
        <w:spacing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Ścieżka ta przeznaczona jest dla: </w:t>
      </w:r>
    </w:p>
    <w:p w14:paraId="62060ACD" w14:textId="3E61801A" w:rsidR="00224125" w:rsidRPr="00C01871" w:rsidRDefault="00B236AF" w:rsidP="00984140">
      <w:pPr>
        <w:pStyle w:val="Akapitzlist"/>
        <w:widowControl w:val="0"/>
        <w:numPr>
          <w:ilvl w:val="0"/>
          <w:numId w:val="42"/>
        </w:numPr>
        <w:spacing w:before="100" w:after="100" w:line="276" w:lineRule="auto"/>
        <w:ind w:left="426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>czelni, które realizowały już projekty w ramach ścieżki MIDI lub MAXI w konkursach pt. „Uczelnia dostępna” w programie POWER i chcą profesjonalizować swoje działania w poszczególnych obszarach dostępności. W karcie oceny stanu wejściowego uczelnia wskazuje, jakie działania podjęła w ww. obszarach i jakie zadania potrzebuje jeszcze zrealizować, aby osiągnąć wyższy poziom zaawansowania w zwiększaniu dostępności</w:t>
      </w:r>
      <w:r>
        <w:rPr>
          <w:rStyle w:val="Brak"/>
          <w:sz w:val="24"/>
          <w:szCs w:val="24"/>
        </w:rPr>
        <w:t>,</w:t>
      </w:r>
    </w:p>
    <w:p w14:paraId="1CD93AE8" w14:textId="289252BE" w:rsidR="00224125" w:rsidRPr="00C01871" w:rsidRDefault="00B236AF" w:rsidP="00984140">
      <w:pPr>
        <w:pStyle w:val="Akapitzlist"/>
        <w:widowControl w:val="0"/>
        <w:numPr>
          <w:ilvl w:val="0"/>
          <w:numId w:val="42"/>
        </w:numPr>
        <w:spacing w:before="100" w:after="100" w:line="276" w:lineRule="auto"/>
        <w:ind w:left="426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 xml:space="preserve">czelni, w których od co najmniej 5 lat działa jednostka organizacyjna zajmująca się dostępnością i wsparciem edukacyjnym osób z niepełnosprawnościami i szczególnymi potrzebami (np. BON, DON, CD). </w:t>
      </w:r>
      <w:bookmarkStart w:id="65" w:name="_Hlk144905516"/>
      <w:r w:rsidRPr="00C01871">
        <w:rPr>
          <w:rStyle w:val="Brak"/>
          <w:sz w:val="24"/>
          <w:szCs w:val="24"/>
        </w:rPr>
        <w:t>W jednostce zatrudnionych jest więcej niż jed</w:t>
      </w:r>
      <w:r w:rsidR="00B878EC">
        <w:rPr>
          <w:rStyle w:val="Brak"/>
          <w:sz w:val="24"/>
          <w:szCs w:val="24"/>
        </w:rPr>
        <w:t>na</w:t>
      </w:r>
      <w:r w:rsidRPr="00C01871">
        <w:rPr>
          <w:rStyle w:val="Brak"/>
          <w:sz w:val="24"/>
          <w:szCs w:val="24"/>
        </w:rPr>
        <w:t xml:space="preserve"> </w:t>
      </w:r>
      <w:r w:rsidR="00B878EC">
        <w:rPr>
          <w:rStyle w:val="Brak"/>
          <w:sz w:val="24"/>
          <w:szCs w:val="24"/>
        </w:rPr>
        <w:t>osoba</w:t>
      </w:r>
      <w:r w:rsidRPr="00C01871">
        <w:rPr>
          <w:rStyle w:val="Brak"/>
          <w:sz w:val="24"/>
          <w:szCs w:val="24"/>
        </w:rPr>
        <w:t xml:space="preserve"> i ma ona charakter stały</w:t>
      </w:r>
      <w:r w:rsidR="00623104">
        <w:rPr>
          <w:rStyle w:val="Brak"/>
          <w:sz w:val="24"/>
          <w:szCs w:val="24"/>
        </w:rPr>
        <w:t>,</w:t>
      </w:r>
      <w:r w:rsidRPr="00C01871">
        <w:rPr>
          <w:rStyle w:val="Brak"/>
          <w:sz w:val="24"/>
          <w:szCs w:val="24"/>
        </w:rPr>
        <w:t xml:space="preserve"> tj. wykraczający poza jedną kadencję władz. Istnienie jednostki jest potwierdzone zapisem w regulaminie organizacyjnym uczelni. Przynajmniej 50% </w:t>
      </w:r>
      <w:r w:rsidR="00B878EC">
        <w:rPr>
          <w:rStyle w:val="Brak"/>
          <w:sz w:val="24"/>
          <w:szCs w:val="24"/>
        </w:rPr>
        <w:t xml:space="preserve">osób </w:t>
      </w:r>
      <w:r w:rsidRPr="00C01871">
        <w:rPr>
          <w:rStyle w:val="Brak"/>
          <w:sz w:val="24"/>
          <w:szCs w:val="24"/>
        </w:rPr>
        <w:t>prac</w:t>
      </w:r>
      <w:r w:rsidR="00B878EC">
        <w:rPr>
          <w:rStyle w:val="Brak"/>
          <w:sz w:val="24"/>
          <w:szCs w:val="24"/>
        </w:rPr>
        <w:t>ujących w</w:t>
      </w:r>
      <w:r w:rsidRPr="00C01871">
        <w:rPr>
          <w:rStyle w:val="Brak"/>
          <w:sz w:val="24"/>
          <w:szCs w:val="24"/>
        </w:rPr>
        <w:t xml:space="preserve"> jednos</w:t>
      </w:r>
      <w:r w:rsidR="00B878EC">
        <w:rPr>
          <w:rStyle w:val="Brak"/>
          <w:sz w:val="24"/>
          <w:szCs w:val="24"/>
        </w:rPr>
        <w:t>tce</w:t>
      </w:r>
      <w:r w:rsidRPr="00C01871">
        <w:rPr>
          <w:rStyle w:val="Brak"/>
          <w:sz w:val="24"/>
          <w:szCs w:val="24"/>
        </w:rPr>
        <w:t xml:space="preserve"> posiada min. trzyletnie doświadczenie w obszarze wsparcia osób z niepełnosprawnościami w szkolnictwie wyższym</w:t>
      </w:r>
      <w:bookmarkEnd w:id="65"/>
      <w:r>
        <w:rPr>
          <w:rStyle w:val="Brak"/>
          <w:sz w:val="24"/>
          <w:szCs w:val="24"/>
        </w:rPr>
        <w:t>,</w:t>
      </w:r>
    </w:p>
    <w:p w14:paraId="54B5A75A" w14:textId="6119842A" w:rsidR="00224125" w:rsidRPr="00C01871" w:rsidRDefault="00B236AF" w:rsidP="00984140">
      <w:pPr>
        <w:pStyle w:val="Akapitzlist"/>
        <w:widowControl w:val="0"/>
        <w:numPr>
          <w:ilvl w:val="0"/>
          <w:numId w:val="44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>czelni, które posiadają opisane w wewnętrznych aktach prawnych procesy i procedury wsparcia osób z niepełnosprawnościami i szczególnymi potrzebami w procesie kształcenia i prowadzeniu działalności naukowej</w:t>
      </w:r>
      <w:r>
        <w:rPr>
          <w:rStyle w:val="Brak"/>
          <w:sz w:val="24"/>
          <w:szCs w:val="24"/>
        </w:rPr>
        <w:t>,</w:t>
      </w:r>
    </w:p>
    <w:p w14:paraId="57E21610" w14:textId="0AAEC8F2" w:rsidR="00224125" w:rsidRPr="00C01871" w:rsidRDefault="00B236AF" w:rsidP="00984140">
      <w:pPr>
        <w:pStyle w:val="Akapitzlist"/>
        <w:widowControl w:val="0"/>
        <w:numPr>
          <w:ilvl w:val="0"/>
          <w:numId w:val="44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 xml:space="preserve">czelni, których jednostki ds. wsparcia edukacyjnego obejmują udokumentowanym wsparciem przynajmniej 200 osób ze szczególnymi potrzebami w roku akademickim, </w:t>
      </w:r>
      <w:r w:rsidR="00291BF0">
        <w:rPr>
          <w:rStyle w:val="Brak"/>
          <w:sz w:val="24"/>
          <w:szCs w:val="24"/>
        </w:rPr>
        <w:t xml:space="preserve">poprzedzającym rok, </w:t>
      </w:r>
      <w:r w:rsidRPr="00C01871">
        <w:rPr>
          <w:rStyle w:val="Brak"/>
          <w:sz w:val="24"/>
          <w:szCs w:val="24"/>
        </w:rPr>
        <w:t>w</w:t>
      </w:r>
      <w:r w:rsidR="00AB4E52">
        <w:rPr>
          <w:rStyle w:val="Brak"/>
          <w:sz w:val="24"/>
          <w:szCs w:val="24"/>
        </w:rPr>
        <w:t> </w:t>
      </w:r>
      <w:r w:rsidRPr="00C01871">
        <w:rPr>
          <w:rStyle w:val="Brak"/>
          <w:sz w:val="24"/>
          <w:szCs w:val="24"/>
        </w:rPr>
        <w:t>którym składany jest projekt</w:t>
      </w:r>
      <w:r>
        <w:rPr>
          <w:rStyle w:val="Brak"/>
          <w:sz w:val="24"/>
          <w:szCs w:val="24"/>
        </w:rPr>
        <w:t>,</w:t>
      </w:r>
    </w:p>
    <w:p w14:paraId="17755302" w14:textId="46A08003" w:rsidR="00224125" w:rsidRPr="00C01871" w:rsidRDefault="00B236AF" w:rsidP="00984140">
      <w:pPr>
        <w:pStyle w:val="Akapitzlist"/>
        <w:numPr>
          <w:ilvl w:val="0"/>
          <w:numId w:val="45"/>
        </w:numPr>
        <w:spacing w:after="120" w:line="276" w:lineRule="auto"/>
        <w:rPr>
          <w:sz w:val="24"/>
          <w:szCs w:val="24"/>
        </w:rPr>
      </w:pPr>
      <w:bookmarkStart w:id="66" w:name="_Hlk144905742"/>
      <w:r>
        <w:rPr>
          <w:rStyle w:val="Brak"/>
          <w:sz w:val="24"/>
          <w:szCs w:val="24"/>
        </w:rPr>
        <w:t>w</w:t>
      </w:r>
      <w:r w:rsidRPr="00C01871">
        <w:rPr>
          <w:rStyle w:val="Brak"/>
          <w:sz w:val="24"/>
          <w:szCs w:val="24"/>
        </w:rPr>
        <w:t xml:space="preserve">nioskodawcy ubiegający się o dofinansowanie w tej ścieżce są zobowiązani do przedstawienia kluczowych wniosków z </w:t>
      </w:r>
      <w:bookmarkStart w:id="67" w:name="_Hlk144905845"/>
      <w:r w:rsidRPr="00C01871">
        <w:rPr>
          <w:rStyle w:val="Brak"/>
          <w:sz w:val="24"/>
          <w:szCs w:val="24"/>
        </w:rPr>
        <w:t xml:space="preserve">badań, analiz, raportów </w:t>
      </w:r>
      <w:bookmarkEnd w:id="66"/>
      <w:bookmarkEnd w:id="67"/>
      <w:r w:rsidR="00513CC9">
        <w:rPr>
          <w:rStyle w:val="Brak"/>
          <w:sz w:val="24"/>
          <w:szCs w:val="24"/>
        </w:rPr>
        <w:t>własnych lub wykonanych na zlecenie uczelni na temat potrzeb związanych z dostępnością na tej uczelni</w:t>
      </w:r>
      <w:r w:rsidR="00B878EC">
        <w:rPr>
          <w:rStyle w:val="Brak"/>
          <w:sz w:val="24"/>
          <w:szCs w:val="24"/>
        </w:rPr>
        <w:t>,</w:t>
      </w:r>
      <w:r w:rsidR="00513CC9">
        <w:rPr>
          <w:rStyle w:val="Brak"/>
          <w:sz w:val="24"/>
          <w:szCs w:val="24"/>
        </w:rPr>
        <w:t xml:space="preserve"> </w:t>
      </w:r>
      <w:r w:rsidRPr="00C01871">
        <w:rPr>
          <w:rStyle w:val="Brak"/>
          <w:sz w:val="24"/>
          <w:szCs w:val="24"/>
        </w:rPr>
        <w:t>z odniesieniem do orygina</w:t>
      </w:r>
      <w:r w:rsidR="00AB4E52">
        <w:rPr>
          <w:rStyle w:val="Brak"/>
          <w:sz w:val="24"/>
          <w:szCs w:val="24"/>
        </w:rPr>
        <w:t>lnych materiałów</w:t>
      </w:r>
      <w:r w:rsidR="00B878EC">
        <w:rPr>
          <w:rStyle w:val="Brak"/>
          <w:sz w:val="24"/>
          <w:szCs w:val="24"/>
        </w:rPr>
        <w:t xml:space="preserve">; oraz do przedstawienia </w:t>
      </w:r>
      <w:r w:rsidRPr="00C01871">
        <w:rPr>
          <w:rStyle w:val="Brak"/>
          <w:sz w:val="24"/>
          <w:szCs w:val="24"/>
        </w:rPr>
        <w:t>opis</w:t>
      </w:r>
      <w:r w:rsidR="00B878EC">
        <w:rPr>
          <w:rStyle w:val="Brak"/>
          <w:sz w:val="24"/>
          <w:szCs w:val="24"/>
        </w:rPr>
        <w:t>ów</w:t>
      </w:r>
      <w:r w:rsidRPr="00C01871">
        <w:rPr>
          <w:rStyle w:val="Brak"/>
          <w:sz w:val="24"/>
          <w:szCs w:val="24"/>
        </w:rPr>
        <w:t xml:space="preserve"> dotychczasowych działań, które uzasadniają podejmowane w projekcie zadania</w:t>
      </w:r>
      <w:r>
        <w:rPr>
          <w:rStyle w:val="Brak"/>
          <w:sz w:val="24"/>
          <w:szCs w:val="24"/>
        </w:rPr>
        <w:t>,</w:t>
      </w:r>
    </w:p>
    <w:p w14:paraId="7E81CA99" w14:textId="296DF6D8" w:rsidR="0083432B" w:rsidRPr="0083432B" w:rsidRDefault="00B236AF" w:rsidP="0083432B">
      <w:pPr>
        <w:pStyle w:val="Akapitzlist"/>
        <w:numPr>
          <w:ilvl w:val="0"/>
          <w:numId w:val="44"/>
        </w:numPr>
        <w:spacing w:before="100" w:after="12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j</w:t>
      </w:r>
      <w:r w:rsidRPr="00C01871">
        <w:rPr>
          <w:rStyle w:val="Brak"/>
          <w:sz w:val="24"/>
          <w:szCs w:val="24"/>
        </w:rPr>
        <w:t>eśli wnioskodawca chce kontynuować zadania podjęte we wcześniejszym konkursie „Uczelnia dostępna”, powinien wykazać przydatność tych działań, ich racjonalność oraz zgodność z wymaganymi obszarami zapewniania dostępności w konkursie „Uczelnie coraz bardziej dostępne”</w:t>
      </w:r>
      <w:r w:rsidR="0083432B">
        <w:rPr>
          <w:rStyle w:val="Brak"/>
          <w:sz w:val="24"/>
          <w:szCs w:val="24"/>
        </w:rPr>
        <w:t>,</w:t>
      </w:r>
      <w:r w:rsidRPr="00C01871">
        <w:rPr>
          <w:rStyle w:val="Brak"/>
          <w:sz w:val="24"/>
          <w:szCs w:val="24"/>
        </w:rPr>
        <w:t xml:space="preserve"> </w:t>
      </w:r>
    </w:p>
    <w:p w14:paraId="566322D5" w14:textId="415D318F" w:rsidR="00224125" w:rsidRDefault="00984140" w:rsidP="00B236AF">
      <w:pPr>
        <w:widowControl w:val="0"/>
        <w:spacing w:before="100" w:after="10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b/>
          <w:bCs/>
          <w:kern w:val="0"/>
          <w:sz w:val="24"/>
          <w:szCs w:val="24"/>
        </w:rPr>
        <w:t>W tej ścieżce wymagana jest realizacja zadań w pierwszych siedmiu z dziewięciu</w:t>
      </w:r>
      <w:r w:rsidRPr="00C01871">
        <w:rPr>
          <w:rStyle w:val="Brak"/>
          <w:kern w:val="0"/>
          <w:sz w:val="24"/>
          <w:szCs w:val="24"/>
        </w:rPr>
        <w:t xml:space="preserve"> obszarów dostępności, obowiązujących w konkursie „Uczelnie coraz bardziej dostępne” tj</w:t>
      </w:r>
      <w:r w:rsidR="00AB4E52">
        <w:rPr>
          <w:rStyle w:val="Brak"/>
          <w:kern w:val="0"/>
          <w:sz w:val="24"/>
          <w:szCs w:val="24"/>
        </w:rPr>
        <w:t>.</w:t>
      </w:r>
      <w:r w:rsidRPr="00C01871">
        <w:rPr>
          <w:rStyle w:val="Brak"/>
          <w:kern w:val="0"/>
          <w:sz w:val="24"/>
          <w:szCs w:val="24"/>
        </w:rPr>
        <w:t>: 1. </w:t>
      </w:r>
      <w:r w:rsidR="00AB4E52">
        <w:rPr>
          <w:rStyle w:val="Brak"/>
          <w:kern w:val="0"/>
          <w:sz w:val="24"/>
          <w:szCs w:val="24"/>
        </w:rPr>
        <w:t>d</w:t>
      </w:r>
      <w:r w:rsidRPr="00C01871">
        <w:rPr>
          <w:rStyle w:val="Brak"/>
          <w:kern w:val="0"/>
          <w:sz w:val="24"/>
          <w:szCs w:val="24"/>
        </w:rPr>
        <w:t>ostępności architektonicznej, 2. cyfrowej, 3. informacyjno-komunikacyjnej, 4. rekrutacji, 5. procesu kształcenia, 6. prowadzenia badań naukowych oraz 7. procedur i procesów na rzecz dostępności.</w:t>
      </w:r>
    </w:p>
    <w:p w14:paraId="6E3AC3DB" w14:textId="73B85DAE" w:rsidR="0083432B" w:rsidRPr="00C01871" w:rsidRDefault="0083432B" w:rsidP="0083432B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>
        <w:rPr>
          <w:rStyle w:val="Brak"/>
          <w:kern w:val="0"/>
          <w:sz w:val="24"/>
          <w:szCs w:val="24"/>
        </w:rPr>
        <w:t>W</w:t>
      </w:r>
      <w:r w:rsidRPr="0083432B">
        <w:rPr>
          <w:rStyle w:val="Brak"/>
          <w:kern w:val="0"/>
          <w:sz w:val="24"/>
          <w:szCs w:val="24"/>
        </w:rPr>
        <w:t xml:space="preserve">e wniosku musi być wskazana osoba kierująca projektem. Osoba ta powinna posiadać co najmniej trzyletnie doświadczenie w obszarze dostępności (praca w jednostce zajmującej się dostępnością w uczelni składającej wniosek) lub udokumentowane doświadczenie z innej dziedziny wiedzy o dostępności niż szkolnictwo wyższe. W przypadku zmiany kierownika w trakcie działania projektu, osoba przejmująca to stanowisko także musi spełniać wymóg posiadania kompetencji i co najmniej </w:t>
      </w:r>
      <w:r>
        <w:rPr>
          <w:rStyle w:val="Brak"/>
          <w:kern w:val="0"/>
          <w:sz w:val="24"/>
          <w:szCs w:val="24"/>
        </w:rPr>
        <w:t>trzyletniego</w:t>
      </w:r>
      <w:r w:rsidRPr="0083432B">
        <w:rPr>
          <w:rStyle w:val="Brak"/>
          <w:kern w:val="0"/>
          <w:sz w:val="24"/>
          <w:szCs w:val="24"/>
        </w:rPr>
        <w:t xml:space="preserve"> doświadczenia zawodowe na rzecz dostępności.</w:t>
      </w:r>
    </w:p>
    <w:p w14:paraId="343C31A7" w14:textId="77777777" w:rsidR="00224125" w:rsidRPr="00C01871" w:rsidRDefault="00984140" w:rsidP="00B236AF">
      <w:pPr>
        <w:pStyle w:val="Nagwek3"/>
        <w:spacing w:before="100" w:after="120" w:line="276" w:lineRule="auto"/>
        <w:rPr>
          <w:rStyle w:val="Brak"/>
          <w:rFonts w:ascii="Calibri" w:eastAsia="Calibri" w:hAnsi="Calibri" w:cs="Calibri"/>
          <w:b/>
          <w:bCs/>
        </w:rPr>
      </w:pPr>
      <w:bookmarkStart w:id="68" w:name="_Toc32"/>
      <w:bookmarkStart w:id="69" w:name="_Toc144976058"/>
      <w:r w:rsidRPr="00C01871">
        <w:rPr>
          <w:rStyle w:val="Brak"/>
          <w:rFonts w:ascii="Calibri" w:hAnsi="Calibri"/>
          <w:b/>
          <w:bCs/>
        </w:rPr>
        <w:t>Monitoring jakości</w:t>
      </w:r>
      <w:bookmarkEnd w:id="68"/>
      <w:bookmarkEnd w:id="69"/>
    </w:p>
    <w:p w14:paraId="04499935" w14:textId="77777777" w:rsidR="00224125" w:rsidRPr="00C01871" w:rsidRDefault="00984140" w:rsidP="00B236AF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>Wnioskodawcy, których projekty zostaną zakwalifikowane do finansowania w tej ścieżce, zobowiązani są do uczestnictwa w co najmniej dwóch laboratoriach partycypacji, które zostaną zorganizowane pod patronatem Narodowego Centrum Badań i Rozwoju przez uczelnie, których projekty będą realizowane w ścieżce „Liderzy dostępności”.</w:t>
      </w:r>
    </w:p>
    <w:p w14:paraId="5A3AA993" w14:textId="786F6F41" w:rsidR="00224125" w:rsidRPr="00C01871" w:rsidRDefault="00984140" w:rsidP="00B236AF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Ponadto uczelnie, których wnioski będą realizowane, a ich projekty wybrane do oceny jakościowej, </w:t>
      </w:r>
      <w:r w:rsidR="00B878EC">
        <w:rPr>
          <w:rStyle w:val="Brak"/>
          <w:kern w:val="0"/>
          <w:sz w:val="24"/>
          <w:szCs w:val="24"/>
        </w:rPr>
        <w:t>w terminie 10 dni roboczych</w:t>
      </w:r>
      <w:r w:rsidR="00B878EC" w:rsidRPr="00C01871">
        <w:rPr>
          <w:rStyle w:val="Brak"/>
          <w:kern w:val="0"/>
          <w:sz w:val="24"/>
          <w:szCs w:val="24"/>
        </w:rPr>
        <w:t xml:space="preserve"> </w:t>
      </w:r>
      <w:r w:rsidRPr="00C01871">
        <w:rPr>
          <w:rStyle w:val="Brak"/>
          <w:kern w:val="0"/>
          <w:sz w:val="24"/>
          <w:szCs w:val="24"/>
        </w:rPr>
        <w:t>odpowiedzą na pytania dotyczące podejmowanych w projekcie działań oraz ich zgodności z </w:t>
      </w:r>
      <w:r w:rsidRPr="00C01871">
        <w:rPr>
          <w:rStyle w:val="Brak"/>
          <w:i/>
          <w:iCs/>
          <w:kern w:val="0"/>
          <w:sz w:val="24"/>
          <w:szCs w:val="24"/>
        </w:rPr>
        <w:t xml:space="preserve">Konwencją ONZ o </w:t>
      </w:r>
      <w:r w:rsidR="001144E6">
        <w:rPr>
          <w:rStyle w:val="Brak"/>
          <w:i/>
          <w:iCs/>
          <w:kern w:val="0"/>
          <w:sz w:val="24"/>
          <w:szCs w:val="24"/>
        </w:rPr>
        <w:t>p</w:t>
      </w:r>
      <w:r w:rsidRPr="00C01871">
        <w:rPr>
          <w:rStyle w:val="Brak"/>
          <w:i/>
          <w:iCs/>
          <w:kern w:val="0"/>
          <w:sz w:val="24"/>
          <w:szCs w:val="24"/>
        </w:rPr>
        <w:t xml:space="preserve">rawach </w:t>
      </w:r>
      <w:r w:rsidR="001144E6">
        <w:rPr>
          <w:rStyle w:val="Brak"/>
          <w:i/>
          <w:iCs/>
          <w:kern w:val="0"/>
          <w:sz w:val="24"/>
          <w:szCs w:val="24"/>
        </w:rPr>
        <w:t>o</w:t>
      </w:r>
      <w:r w:rsidRPr="00C01871">
        <w:rPr>
          <w:rStyle w:val="Brak"/>
          <w:i/>
          <w:iCs/>
          <w:kern w:val="0"/>
          <w:sz w:val="24"/>
          <w:szCs w:val="24"/>
        </w:rPr>
        <w:t xml:space="preserve">sób </w:t>
      </w:r>
      <w:r w:rsidR="001144E6">
        <w:rPr>
          <w:rStyle w:val="Brak"/>
          <w:i/>
          <w:iCs/>
          <w:kern w:val="0"/>
          <w:sz w:val="24"/>
          <w:szCs w:val="24"/>
        </w:rPr>
        <w:t>n</w:t>
      </w:r>
      <w:r w:rsidRPr="00C01871">
        <w:rPr>
          <w:rStyle w:val="Brak"/>
          <w:i/>
          <w:iCs/>
          <w:kern w:val="0"/>
          <w:sz w:val="24"/>
          <w:szCs w:val="24"/>
        </w:rPr>
        <w:t>iepełnosprawnych</w:t>
      </w:r>
      <w:r w:rsidRPr="00C01871">
        <w:rPr>
          <w:rStyle w:val="Brak"/>
          <w:kern w:val="0"/>
          <w:sz w:val="24"/>
          <w:szCs w:val="24"/>
        </w:rPr>
        <w:t>, jak również zgodności z krajowymi ustawami dostępnościowymi</w:t>
      </w:r>
      <w:r w:rsidR="00513CC9">
        <w:rPr>
          <w:rStyle w:val="Brak"/>
          <w:kern w:val="0"/>
          <w:sz w:val="24"/>
          <w:szCs w:val="24"/>
        </w:rPr>
        <w:t>.</w:t>
      </w:r>
    </w:p>
    <w:p w14:paraId="17884831" w14:textId="3944C00D" w:rsidR="00224125" w:rsidRPr="00C01871" w:rsidRDefault="00984140" w:rsidP="00984140">
      <w:pPr>
        <w:pStyle w:val="Nagwek2"/>
        <w:numPr>
          <w:ilvl w:val="0"/>
          <w:numId w:val="32"/>
        </w:numPr>
        <w:spacing w:line="276" w:lineRule="auto"/>
      </w:pPr>
      <w:bookmarkStart w:id="70" w:name="_Toc33"/>
      <w:bookmarkStart w:id="71" w:name="_Toc144976059"/>
      <w:r w:rsidRPr="00C01871">
        <w:rPr>
          <w:rStyle w:val="Brak"/>
          <w:u w:color="244084"/>
        </w:rPr>
        <w:t>„Liderzy dostępności”</w:t>
      </w:r>
      <w:bookmarkEnd w:id="70"/>
      <w:bookmarkEnd w:id="71"/>
    </w:p>
    <w:p w14:paraId="624646D5" w14:textId="77777777" w:rsidR="00224125" w:rsidRPr="00C01871" w:rsidRDefault="00984140" w:rsidP="00B236AF">
      <w:pPr>
        <w:pStyle w:val="Nagwek3"/>
        <w:spacing w:before="100" w:after="120" w:line="276" w:lineRule="auto"/>
        <w:rPr>
          <w:rStyle w:val="Brak"/>
          <w:rFonts w:ascii="Calibri" w:eastAsia="Calibri" w:hAnsi="Calibri" w:cs="Calibri"/>
          <w:b/>
          <w:bCs/>
        </w:rPr>
      </w:pPr>
      <w:bookmarkStart w:id="72" w:name="_Toc34"/>
      <w:bookmarkStart w:id="73" w:name="_Toc144976060"/>
      <w:r w:rsidRPr="00C01871">
        <w:rPr>
          <w:rStyle w:val="Brak"/>
          <w:rFonts w:ascii="Calibri" w:hAnsi="Calibri"/>
          <w:b/>
          <w:bCs/>
        </w:rPr>
        <w:t>Charakterystyka ścieżki</w:t>
      </w:r>
      <w:bookmarkEnd w:id="72"/>
      <w:bookmarkEnd w:id="73"/>
    </w:p>
    <w:p w14:paraId="3D183AB6" w14:textId="77777777" w:rsidR="00224125" w:rsidRPr="00C01871" w:rsidRDefault="00984140" w:rsidP="00B236AF">
      <w:pPr>
        <w:widowControl w:val="0"/>
        <w:tabs>
          <w:tab w:val="left" w:pos="566"/>
        </w:tabs>
        <w:spacing w:after="120" w:line="276" w:lineRule="auto"/>
        <w:rPr>
          <w:rStyle w:val="Brak"/>
          <w:i/>
          <w:iCs/>
          <w:sz w:val="24"/>
          <w:szCs w:val="24"/>
        </w:rPr>
      </w:pPr>
      <w:r w:rsidRPr="00C01871">
        <w:rPr>
          <w:rStyle w:val="Brak"/>
          <w:i/>
          <w:iCs/>
          <w:kern w:val="0"/>
          <w:sz w:val="24"/>
          <w:szCs w:val="24"/>
        </w:rPr>
        <w:t>Jest to ścieżka przeznaczona dla uczelni, które korzystały już z funduszy konkursu „Uczelnia dostępna” w ścieżce MAXI lub dla uczelni, które po skorzystaniu ze ścieżki MIDI, mają stworzone struktury odpowiedzialne za politykę zapewniania dostępności oraz stosowne zapisy w wewnętrznych aktach normatywnych i chcą sprostać najwyższym standardom, tworząc lub rozwijając centra dostępności.</w:t>
      </w:r>
    </w:p>
    <w:p w14:paraId="65913015" w14:textId="77777777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Wartość maksymalna dofinansowania projektów realizowanych w tej ścieżce nie może przekroczyć 15 milionów zł.</w:t>
      </w:r>
    </w:p>
    <w:p w14:paraId="0DEE78EA" w14:textId="77777777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Maksymalny poziom cross-financingu – 25%.</w:t>
      </w:r>
    </w:p>
    <w:p w14:paraId="10A14FF9" w14:textId="39C6AEF9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Okres realizacji projektów – maksymalnie 4 lata, </w:t>
      </w:r>
      <w:r w:rsidR="007B79E9">
        <w:rPr>
          <w:rStyle w:val="Brak"/>
          <w:sz w:val="24"/>
          <w:szCs w:val="24"/>
        </w:rPr>
        <w:t>lecz nie dłużej jednak niż do 30 października</w:t>
      </w:r>
      <w:r w:rsidRPr="00C01871">
        <w:rPr>
          <w:rStyle w:val="Brak"/>
          <w:sz w:val="24"/>
          <w:szCs w:val="24"/>
        </w:rPr>
        <w:t xml:space="preserve"> 202</w:t>
      </w:r>
      <w:r w:rsidR="007B79E9">
        <w:rPr>
          <w:rStyle w:val="Brak"/>
          <w:sz w:val="24"/>
          <w:szCs w:val="24"/>
        </w:rPr>
        <w:t>9</w:t>
      </w:r>
      <w:r w:rsidRPr="00C01871">
        <w:rPr>
          <w:rStyle w:val="Brak"/>
          <w:sz w:val="24"/>
          <w:szCs w:val="24"/>
        </w:rPr>
        <w:t xml:space="preserve"> r.</w:t>
      </w:r>
    </w:p>
    <w:p w14:paraId="1785C852" w14:textId="16334E51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Uczelnia </w:t>
      </w:r>
      <w:r w:rsidR="00C73F93">
        <w:rPr>
          <w:rStyle w:val="Brak"/>
          <w:sz w:val="24"/>
          <w:szCs w:val="24"/>
        </w:rPr>
        <w:t>ma obowiązek</w:t>
      </w:r>
      <w:r w:rsidRPr="00C01871">
        <w:rPr>
          <w:rStyle w:val="Brak"/>
          <w:sz w:val="24"/>
          <w:szCs w:val="24"/>
        </w:rPr>
        <w:t xml:space="preserve"> stworzyć lub rozwinąć </w:t>
      </w:r>
      <w:r w:rsidR="00C73F93">
        <w:rPr>
          <w:rStyle w:val="Brak"/>
          <w:sz w:val="24"/>
          <w:szCs w:val="24"/>
        </w:rPr>
        <w:t xml:space="preserve">istniejące </w:t>
      </w:r>
      <w:r w:rsidRPr="00C01871">
        <w:rPr>
          <w:rStyle w:val="Brak"/>
          <w:sz w:val="24"/>
          <w:szCs w:val="24"/>
        </w:rPr>
        <w:t>centrum dostępności. Centra muszą gromadzić wiedzę o dostępności i upowszechniać ją wśród innych uczelni i swoim otoczeniu społecznym oraz biznesowym, zgodnie z trzecią misją uczelni. Centra powinny realizować tę misję w spójności z charakterem i strategią rozwoju uczelni.</w:t>
      </w:r>
    </w:p>
    <w:p w14:paraId="0262A27F" w14:textId="77777777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Przykładowe zadania centrów dostępności:</w:t>
      </w:r>
    </w:p>
    <w:p w14:paraId="1D00982A" w14:textId="4E2BF8C6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O</w:t>
      </w:r>
      <w:r w:rsidRPr="00C01871">
        <w:rPr>
          <w:rStyle w:val="Brak"/>
          <w:sz w:val="24"/>
          <w:szCs w:val="24"/>
        </w:rPr>
        <w:t>pracowanie analiz i realizowanie badań nad innowacyjnymi rozwiązaniami w zakresie dostępności</w:t>
      </w:r>
      <w:r>
        <w:rPr>
          <w:rStyle w:val="Brak"/>
          <w:sz w:val="24"/>
          <w:szCs w:val="24"/>
        </w:rPr>
        <w:t>.</w:t>
      </w:r>
    </w:p>
    <w:p w14:paraId="3ADA3550" w14:textId="45FD0B1A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P</w:t>
      </w:r>
      <w:r w:rsidRPr="00C01871">
        <w:rPr>
          <w:rStyle w:val="Brak"/>
          <w:sz w:val="24"/>
          <w:szCs w:val="24"/>
        </w:rPr>
        <w:t>rowadzenie badań, analiz i raportów związanych z dostępnością szkolnictwa wyższego lub/i otoczenia społecznego uczelni</w:t>
      </w:r>
      <w:r>
        <w:rPr>
          <w:rStyle w:val="Brak"/>
          <w:sz w:val="24"/>
          <w:szCs w:val="24"/>
        </w:rPr>
        <w:t>.</w:t>
      </w:r>
    </w:p>
    <w:p w14:paraId="603C156D" w14:textId="10F3D19C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P</w:t>
      </w:r>
      <w:r w:rsidRPr="00C01871">
        <w:rPr>
          <w:rStyle w:val="Brak"/>
          <w:sz w:val="24"/>
          <w:szCs w:val="24"/>
        </w:rPr>
        <w:t>rojektowanie, testowanie i wdrażanie nowatorskich rozwiązań w zakresie dostępności</w:t>
      </w:r>
      <w:r>
        <w:rPr>
          <w:rStyle w:val="Brak"/>
          <w:sz w:val="24"/>
          <w:szCs w:val="24"/>
        </w:rPr>
        <w:t>.</w:t>
      </w:r>
    </w:p>
    <w:p w14:paraId="7C0EEEDB" w14:textId="2E07A41C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P</w:t>
      </w:r>
      <w:r w:rsidRPr="00C01871">
        <w:rPr>
          <w:rStyle w:val="Brak"/>
          <w:sz w:val="24"/>
          <w:szCs w:val="24"/>
        </w:rPr>
        <w:t>rowadzenie szkoleń, warsztatów i think thanków w zakresie społecznego modelu niepełnosprawności</w:t>
      </w:r>
      <w:r>
        <w:rPr>
          <w:rStyle w:val="Brak"/>
          <w:sz w:val="24"/>
          <w:szCs w:val="24"/>
        </w:rPr>
        <w:t>.</w:t>
      </w:r>
    </w:p>
    <w:p w14:paraId="63EE35DA" w14:textId="31069A92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O</w:t>
      </w:r>
      <w:r w:rsidRPr="00C01871">
        <w:rPr>
          <w:rStyle w:val="Brak"/>
          <w:sz w:val="24"/>
          <w:szCs w:val="24"/>
        </w:rPr>
        <w:t>pracowanie wzorcowych modułów szkoleniowych dla kadry uczelni realizującej zajęcia różnego typu: laboratoryjne, terenowe, językowe itp.</w:t>
      </w:r>
    </w:p>
    <w:p w14:paraId="4494D46C" w14:textId="7BAEFB7E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O</w:t>
      </w:r>
      <w:r w:rsidRPr="00C01871">
        <w:rPr>
          <w:rStyle w:val="Brak"/>
          <w:sz w:val="24"/>
          <w:szCs w:val="24"/>
        </w:rPr>
        <w:t>pracowanie programów nauczania o dostępności na studiach o różnorodnym charakterze</w:t>
      </w:r>
      <w:r>
        <w:rPr>
          <w:rStyle w:val="Brak"/>
          <w:sz w:val="24"/>
          <w:szCs w:val="24"/>
        </w:rPr>
        <w:t>.</w:t>
      </w:r>
    </w:p>
    <w:p w14:paraId="1CA6001D" w14:textId="138CE091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O</w:t>
      </w:r>
      <w:r w:rsidRPr="00C01871">
        <w:rPr>
          <w:rStyle w:val="Brak"/>
          <w:sz w:val="24"/>
          <w:szCs w:val="24"/>
        </w:rPr>
        <w:t>pracowanie innowacyjnych, pilotażowych form wsparcia akademickiego przeznaczonego dla osób z niepełnosprawnościami i szczególnymi potrzebami w uczelni</w:t>
      </w:r>
      <w:r>
        <w:rPr>
          <w:rStyle w:val="Brak"/>
          <w:sz w:val="24"/>
          <w:szCs w:val="24"/>
        </w:rPr>
        <w:t>.</w:t>
      </w:r>
    </w:p>
    <w:p w14:paraId="275F19F3" w14:textId="4BC478CE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W</w:t>
      </w:r>
      <w:r w:rsidRPr="00C01871">
        <w:rPr>
          <w:rStyle w:val="Brak"/>
          <w:sz w:val="24"/>
          <w:szCs w:val="24"/>
        </w:rPr>
        <w:t>ymiana doświadczeń oraz dobrych praktyk w zakresie dostępności w kraju i za granicą</w:t>
      </w:r>
      <w:r>
        <w:rPr>
          <w:rStyle w:val="Brak"/>
          <w:sz w:val="24"/>
          <w:szCs w:val="24"/>
        </w:rPr>
        <w:t>.</w:t>
      </w:r>
    </w:p>
    <w:p w14:paraId="067348B6" w14:textId="11553A94" w:rsidR="00224125" w:rsidRPr="00C01871" w:rsidRDefault="003344DD" w:rsidP="00984140">
      <w:pPr>
        <w:pStyle w:val="Akapitzlist"/>
        <w:widowControl w:val="0"/>
        <w:numPr>
          <w:ilvl w:val="0"/>
          <w:numId w:val="47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W</w:t>
      </w:r>
      <w:r w:rsidRPr="00C01871">
        <w:rPr>
          <w:rStyle w:val="Brak"/>
          <w:sz w:val="24"/>
          <w:szCs w:val="24"/>
        </w:rPr>
        <w:t xml:space="preserve">spółpraca w rozwijaniu trzeciej misji uczelni z partnerami społecznymi i biznesowymi na szczeblu lokalnym, krajowym i międzynarodowym. Zwłaszcza poprzez konsultacje z otoczeniem społeczno-gospodarczym w zakresie dostępności miejsc </w:t>
      </w:r>
      <w:r w:rsidR="0077294F">
        <w:rPr>
          <w:rStyle w:val="Brak"/>
          <w:sz w:val="24"/>
          <w:szCs w:val="24"/>
        </w:rPr>
        <w:t xml:space="preserve">pracy </w:t>
      </w:r>
      <w:r w:rsidRPr="00C01871">
        <w:rPr>
          <w:rStyle w:val="Brak"/>
          <w:sz w:val="24"/>
          <w:szCs w:val="24"/>
        </w:rPr>
        <w:t>i zatrudnienia absolwentów z niepełnosprawnościami i szczególnymi potrzebami, konsultacje z otoczeniem społeczno-gospodarczym w zakresie projektowania uniwersalnego, konsultacje z jednostkami na niższym szczeblu edukacji w zakresie rozwijania edukacji włączającej w rozumieniu społecznego modelu niepełnosprawności, konsultacje z jednostkami administracji publicznej w zakresie dostępności miejsc pracy i projektowania uniwersalnego.</w:t>
      </w:r>
    </w:p>
    <w:p w14:paraId="0FB921E5" w14:textId="57BF123D" w:rsidR="00224125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>Projekty mogą być przez uczelnię realizowane samodzielnie lub w partnerstwach m.in. z organizacjami pozarządowymi, grupami nieformalnymi działającymi na rzecz dostępności. Jednak w każdym przypadku, wnioskodawcy muszą opisać we wniosku współpracę ze ś</w:t>
      </w:r>
      <w:r>
        <w:rPr>
          <w:rStyle w:val="Brak"/>
          <w:sz w:val="24"/>
          <w:szCs w:val="24"/>
        </w:rPr>
        <w:t>r</w:t>
      </w:r>
      <w:r w:rsidRPr="00C01871">
        <w:rPr>
          <w:rStyle w:val="Brak"/>
          <w:sz w:val="24"/>
          <w:szCs w:val="24"/>
        </w:rPr>
        <w:t xml:space="preserve">odowiskiem osób z niepełnosprawnościami i osób ze szczególnymi potrzebami w rozumieniu </w:t>
      </w:r>
      <w:r w:rsidRPr="00C01871">
        <w:rPr>
          <w:rStyle w:val="Brak"/>
          <w:i/>
          <w:iCs/>
          <w:sz w:val="24"/>
          <w:szCs w:val="24"/>
        </w:rPr>
        <w:t>Ustawy z 19 lipca 2019 r. o zapewnianiu dostępności osobom ze szczególnymi potrzebami</w:t>
      </w:r>
      <w:r w:rsidRPr="00C01871">
        <w:rPr>
          <w:rStyle w:val="Brak"/>
          <w:sz w:val="24"/>
          <w:szCs w:val="24"/>
        </w:rPr>
        <w:t>. Środowisko osób z niepełnosprawnościami i osób ze szczególnymi potrzebami jest tu rozumiane szeroko. Mogą to na przykład być organizacje studenckie, doktoranckie skupiające te osoby, organizacje pracownicze, osoby indywidualne (</w:t>
      </w:r>
      <w:r w:rsidR="002B1A21">
        <w:rPr>
          <w:rStyle w:val="Brak"/>
          <w:sz w:val="24"/>
          <w:szCs w:val="24"/>
        </w:rPr>
        <w:t>osoby studiujące,</w:t>
      </w:r>
      <w:r w:rsidRPr="00C01871">
        <w:rPr>
          <w:rStyle w:val="Brak"/>
          <w:sz w:val="24"/>
          <w:szCs w:val="24"/>
        </w:rPr>
        <w:t xml:space="preserve"> doktoranci</w:t>
      </w:r>
      <w:r w:rsidR="002B1A21">
        <w:rPr>
          <w:rStyle w:val="Brak"/>
          <w:sz w:val="24"/>
          <w:szCs w:val="24"/>
        </w:rPr>
        <w:t xml:space="preserve"> i doktorantki</w:t>
      </w:r>
      <w:r w:rsidRPr="00C01871">
        <w:rPr>
          <w:rStyle w:val="Brak"/>
          <w:sz w:val="24"/>
          <w:szCs w:val="24"/>
        </w:rPr>
        <w:t>, pracownicy naukowi i administracyjni) zgłaszające swoje potrzeby i bariery, a także grupy nieformalne.</w:t>
      </w:r>
    </w:p>
    <w:p w14:paraId="7331D431" w14:textId="29FF42B7" w:rsidR="0077294F" w:rsidRPr="0077294F" w:rsidRDefault="0077294F" w:rsidP="0077294F">
      <w:pPr>
        <w:pStyle w:val="Akapitzlist"/>
        <w:spacing w:before="100" w:after="120" w:line="276" w:lineRule="auto"/>
        <w:rPr>
          <w:rStyle w:val="Brak"/>
          <w:i/>
          <w:iCs/>
          <w:sz w:val="24"/>
          <w:szCs w:val="24"/>
        </w:rPr>
      </w:pPr>
      <w:r>
        <w:rPr>
          <w:rStyle w:val="Brak"/>
          <w:sz w:val="24"/>
          <w:szCs w:val="24"/>
        </w:rPr>
        <w:t xml:space="preserve">W przypadku partnerstw z organizacjami pozarządowymi działającymi na rzecz dostępności, organizacje te muszą być zarejestrowane przed wejściem w życie </w:t>
      </w:r>
      <w:r w:rsidRPr="0077294F">
        <w:rPr>
          <w:rStyle w:val="Brak"/>
          <w:i/>
          <w:iCs/>
          <w:sz w:val="24"/>
          <w:szCs w:val="24"/>
        </w:rPr>
        <w:t>Ustawy z dn. 19 lipca 2019 r. o zapewnianiu dostępności osobom ze szczególnymi potrzebami.</w:t>
      </w:r>
    </w:p>
    <w:p w14:paraId="2A9555F0" w14:textId="3DBABE39" w:rsidR="00B878EC" w:rsidRPr="007C2409" w:rsidRDefault="00B878EC" w:rsidP="00B878EC">
      <w:pPr>
        <w:pStyle w:val="Akapitzlist"/>
        <w:spacing w:before="100" w:after="120" w:line="276" w:lineRule="auto"/>
        <w:rPr>
          <w:rStyle w:val="Brak"/>
        </w:rPr>
      </w:pPr>
      <w:r w:rsidRPr="0077294F">
        <w:rPr>
          <w:rStyle w:val="Brak"/>
          <w:sz w:val="24"/>
          <w:szCs w:val="24"/>
        </w:rPr>
        <w:t>W przypadku partnerstw z organizacjami, które reprezentują istotne interesy grup docelowych z otoczenia uczelni, organizacje te muszą posiadać w swoich dokumentach wewnętrznych zapisy na rzecz dostępności</w:t>
      </w:r>
      <w:r w:rsidR="00F608D7" w:rsidRPr="0077294F">
        <w:rPr>
          <w:rStyle w:val="Brak"/>
          <w:sz w:val="24"/>
          <w:szCs w:val="24"/>
        </w:rPr>
        <w:t xml:space="preserve"> od co najmniej roku.</w:t>
      </w:r>
    </w:p>
    <w:p w14:paraId="4C56155F" w14:textId="77777777" w:rsidR="00224125" w:rsidRPr="00C01871" w:rsidRDefault="00984140" w:rsidP="00B236AF">
      <w:pPr>
        <w:pStyle w:val="Akapitzlist"/>
        <w:spacing w:before="100"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>Należy podkreślić, że realizacja projektu w ścieżce „Liderzy dostępności” w partnerstwie nie jest dodatkowo premiowana.</w:t>
      </w:r>
    </w:p>
    <w:p w14:paraId="1D7ECCC8" w14:textId="24F3FECA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>Jeśli wnioskodawca chce kontynuować realizowane zadania w ramach wcześniejszych konkursów „Uczelnia dostępna”, jest zobowiązany wykazać przydatność tych działań, ich racjonalność oraz zgodność z obszarami zapewniania dostępności wymaganymi w konkursie „Uczelnie coraz bardziej dostępne”.</w:t>
      </w:r>
    </w:p>
    <w:p w14:paraId="2482E462" w14:textId="77777777" w:rsidR="00224125" w:rsidRPr="00C01871" w:rsidRDefault="00984140" w:rsidP="00984140">
      <w:pPr>
        <w:pStyle w:val="Akapitzlist"/>
        <w:numPr>
          <w:ilvl w:val="0"/>
          <w:numId w:val="40"/>
        </w:numPr>
        <w:spacing w:before="100" w:after="120" w:line="276" w:lineRule="auto"/>
        <w:rPr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Ponadto, wnioskodawcy muszą zaplanować przynajmniej dwa zadania, w ramach których jako liderzy dostępności przekazywać będą (nieodpłatnie) wiedzę w zagadnieniach kluczowych dla dostępności szkolnictwa wyższego w Polsce oraz istotnych w perspektywie poszerzania dostępności w otoczeniu uczelni. Wnioskodawcy wybierają do tych zadań przynajmniej dwa z listy poniższych zagadnień. </w:t>
      </w:r>
      <w:bookmarkStart w:id="74" w:name="_Hlk144906169"/>
      <w:r w:rsidRPr="00C01871">
        <w:rPr>
          <w:rStyle w:val="Brak"/>
          <w:sz w:val="24"/>
          <w:szCs w:val="24"/>
        </w:rPr>
        <w:t>Wybór więcej niż dwóch zagadnień będzie dodatkowo premiowany</w:t>
      </w:r>
      <w:bookmarkEnd w:id="74"/>
      <w:r w:rsidRPr="00C01871">
        <w:rPr>
          <w:rStyle w:val="Brak"/>
          <w:sz w:val="24"/>
          <w:szCs w:val="24"/>
        </w:rPr>
        <w:t>.</w:t>
      </w:r>
    </w:p>
    <w:p w14:paraId="4C804144" w14:textId="77777777" w:rsidR="00224125" w:rsidRPr="00C01871" w:rsidRDefault="00984140" w:rsidP="00984140">
      <w:pPr>
        <w:pStyle w:val="Akapitzlist"/>
        <w:numPr>
          <w:ilvl w:val="1"/>
          <w:numId w:val="49"/>
        </w:numPr>
        <w:spacing w:before="100" w:after="120" w:line="276" w:lineRule="auto"/>
        <w:rPr>
          <w:b/>
          <w:bCs/>
          <w:sz w:val="24"/>
          <w:szCs w:val="24"/>
        </w:rPr>
      </w:pPr>
      <w:r w:rsidRPr="00C01871">
        <w:rPr>
          <w:rStyle w:val="Brak"/>
          <w:b/>
          <w:bCs/>
          <w:sz w:val="24"/>
          <w:szCs w:val="24"/>
        </w:rPr>
        <w:t>Lista zagadnień:</w:t>
      </w:r>
    </w:p>
    <w:p w14:paraId="6F54BA59" w14:textId="26B4414C" w:rsidR="00224125" w:rsidRPr="00C01871" w:rsidRDefault="00984140" w:rsidP="00984140">
      <w:pPr>
        <w:pStyle w:val="DomylneA"/>
        <w:numPr>
          <w:ilvl w:val="0"/>
          <w:numId w:val="51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 xml:space="preserve">Opracowanie standardu analizy funkcjonalnej do oceny szczególnych potrzeb </w:t>
      </w:r>
      <w:r w:rsidR="00F608D7">
        <w:rPr>
          <w:rStyle w:val="Brak"/>
          <w:rFonts w:ascii="Calibri" w:hAnsi="Calibri"/>
        </w:rPr>
        <w:t xml:space="preserve">osób </w:t>
      </w:r>
      <w:r w:rsidR="00F608D7" w:rsidRPr="00C01871">
        <w:rPr>
          <w:rStyle w:val="Brak"/>
          <w:rFonts w:ascii="Calibri" w:hAnsi="Calibri"/>
        </w:rPr>
        <w:t>stud</w:t>
      </w:r>
      <w:r w:rsidR="00F608D7">
        <w:rPr>
          <w:rStyle w:val="Brak"/>
          <w:rFonts w:ascii="Calibri" w:hAnsi="Calibri"/>
        </w:rPr>
        <w:t>iujących</w:t>
      </w:r>
      <w:r w:rsidRPr="00C01871">
        <w:rPr>
          <w:rStyle w:val="Brak"/>
          <w:rFonts w:ascii="Calibri" w:hAnsi="Calibri"/>
        </w:rPr>
        <w:t>, którzy nie posiadają orzeczenia o niepełnosprawności.</w:t>
      </w:r>
    </w:p>
    <w:p w14:paraId="207DD0B6" w14:textId="6C7829CD" w:rsidR="00224125" w:rsidRPr="00C01871" w:rsidRDefault="00984140" w:rsidP="00984140">
      <w:pPr>
        <w:pStyle w:val="DomylneA"/>
        <w:numPr>
          <w:ilvl w:val="0"/>
          <w:numId w:val="51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 xml:space="preserve">Opracowanie standardu analizy funkcjonalnej do oceny szczególnych potrzeb </w:t>
      </w:r>
      <w:r w:rsidR="00F608D7">
        <w:rPr>
          <w:rStyle w:val="Brak"/>
          <w:rFonts w:ascii="Calibri" w:hAnsi="Calibri"/>
        </w:rPr>
        <w:t xml:space="preserve">osób </w:t>
      </w:r>
      <w:r w:rsidRPr="00C01871">
        <w:rPr>
          <w:rStyle w:val="Brak"/>
          <w:rFonts w:ascii="Calibri" w:hAnsi="Calibri"/>
        </w:rPr>
        <w:t>prac</w:t>
      </w:r>
      <w:r w:rsidR="00F608D7">
        <w:rPr>
          <w:rStyle w:val="Brak"/>
          <w:rFonts w:ascii="Calibri" w:hAnsi="Calibri"/>
        </w:rPr>
        <w:t>ujących w uczelni</w:t>
      </w:r>
      <w:r w:rsidRPr="00C01871">
        <w:rPr>
          <w:rStyle w:val="Brak"/>
          <w:rFonts w:ascii="Calibri" w:hAnsi="Calibri"/>
        </w:rPr>
        <w:t>, którzy nie posiadają orzeczenia o</w:t>
      </w:r>
      <w:r w:rsidR="00F608D7">
        <w:rPr>
          <w:rStyle w:val="Brak"/>
          <w:rFonts w:ascii="Calibri" w:hAnsi="Calibri"/>
        </w:rPr>
        <w:t> </w:t>
      </w:r>
      <w:r w:rsidRPr="00C01871">
        <w:rPr>
          <w:rStyle w:val="Brak"/>
          <w:rFonts w:ascii="Calibri" w:hAnsi="Calibri"/>
        </w:rPr>
        <w:t>niepełnosprawności.</w:t>
      </w:r>
    </w:p>
    <w:p w14:paraId="15BC8AA5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Opracowanie standardu dostępności architektonicznej obiektów charakterystycznych dla uczelni np. sal wykładowych, amfiteatralnych, laboratoriów, bibliotek i archiwów itp.</w:t>
      </w:r>
    </w:p>
    <w:p w14:paraId="7D1F9C14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Opracowanie procesu i metod wdrażania dostępności na każdym poziomie zarządzania w kontekście zmian zachodzących w uczelniach.</w:t>
      </w:r>
    </w:p>
    <w:p w14:paraId="40B397B0" w14:textId="71513306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 xml:space="preserve">Przeprowadzenie badań lub analiz wpływu </w:t>
      </w:r>
      <w:r w:rsidRPr="00C01871">
        <w:rPr>
          <w:rStyle w:val="Brak"/>
          <w:rFonts w:ascii="Calibri" w:hAnsi="Calibri"/>
          <w:i/>
          <w:iCs/>
        </w:rPr>
        <w:t>Konwencji ONZ</w:t>
      </w:r>
      <w:r w:rsidRPr="00C01871">
        <w:rPr>
          <w:rStyle w:val="Brak"/>
          <w:rFonts w:ascii="Calibri" w:hAnsi="Calibri"/>
        </w:rPr>
        <w:t xml:space="preserve"> oraz krajowych ustaw dostępnościowych w kontekście zmian zachodzących w uczelniach w</w:t>
      </w:r>
      <w:r w:rsidR="00AB4E52">
        <w:rPr>
          <w:rStyle w:val="Brak"/>
          <w:rFonts w:ascii="Calibri" w:hAnsi="Calibri"/>
        </w:rPr>
        <w:t> </w:t>
      </w:r>
      <w:r w:rsidRPr="00C01871">
        <w:rPr>
          <w:rStyle w:val="Brak"/>
          <w:rFonts w:ascii="Calibri" w:hAnsi="Calibri"/>
        </w:rPr>
        <w:t>zakresie wdrażania dostępności.</w:t>
      </w:r>
    </w:p>
    <w:p w14:paraId="44CF0E7C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Opracowanie analizy dotyczącej dyskryminacji ze względu na szczególne potrzeby w przestrzeni akademickiej (dyskryminacja bezpośrednia, pośrednia, intersekcjonalna, systemowa; definicje, przykłady, strategie przeciwdziałania).</w:t>
      </w:r>
    </w:p>
    <w:p w14:paraId="566B72D4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Testowanie nowych sposobów nauczania języków obcych grup osób, innych niż z klasycznymi niepełnosprawnościami, np. podejście do nauczania osób z trudnościami w uczeniu się, w utrzymaniu koncentracji. Publikacja wyników badań.</w:t>
      </w:r>
    </w:p>
    <w:p w14:paraId="7321094D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Wypracowanie modelu współpracy z otoczeniem społecznym i biznesowym uczelni w zakresie dostępności.</w:t>
      </w:r>
    </w:p>
    <w:p w14:paraId="556ECA74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Wypracowanie jednolitego standardu digitalizacji i dostępności zasobów bibliotecznych i wydawnictw uczelni.</w:t>
      </w:r>
    </w:p>
    <w:p w14:paraId="1659AB2B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Laboratorium wykorzystania nowych technologii w dostępności, zwłaszcza sztucznej inteligencji dla wsparcia procesu kształcenia osób ze szczególnymi potrzebami i procesu przetwarzania informacji.</w:t>
      </w:r>
    </w:p>
    <w:p w14:paraId="09086119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Opracowanie standardu wdrażania procesów związanych z bezpieczną ewakuacją osób ze szczególnymi potrzebami w uczelni.</w:t>
      </w:r>
    </w:p>
    <w:p w14:paraId="2181B2B5" w14:textId="76FC229F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Opracowanie modelu wdrażania zasad projektowania uniwersalnego w</w:t>
      </w:r>
      <w:r w:rsidR="00AB4E52">
        <w:rPr>
          <w:rStyle w:val="Brak"/>
          <w:rFonts w:ascii="Calibri" w:hAnsi="Calibri"/>
        </w:rPr>
        <w:t> </w:t>
      </w:r>
      <w:r w:rsidRPr="00C01871">
        <w:rPr>
          <w:rStyle w:val="Brak"/>
          <w:rFonts w:ascii="Calibri" w:hAnsi="Calibri"/>
        </w:rPr>
        <w:t>programach studiów.</w:t>
      </w:r>
    </w:p>
    <w:p w14:paraId="07B18D31" w14:textId="77777777" w:rsidR="00224125" w:rsidRPr="00C01871" w:rsidRDefault="00984140" w:rsidP="00984140">
      <w:pPr>
        <w:pStyle w:val="DomylneA"/>
        <w:numPr>
          <w:ilvl w:val="0"/>
          <w:numId w:val="52"/>
        </w:numPr>
        <w:spacing w:before="0" w:line="276" w:lineRule="auto"/>
        <w:rPr>
          <w:rFonts w:ascii="Calibri" w:hAnsi="Calibri"/>
        </w:rPr>
      </w:pPr>
      <w:r w:rsidRPr="00C01871">
        <w:rPr>
          <w:rStyle w:val="Brak"/>
          <w:rFonts w:ascii="Calibri" w:hAnsi="Calibri"/>
        </w:rPr>
        <w:t>Opracowanie standardu środowiskowej certyfikacji w zakresie dostępności uczelni.</w:t>
      </w:r>
    </w:p>
    <w:p w14:paraId="403F89E9" w14:textId="77777777" w:rsidR="00224125" w:rsidRPr="00C01871" w:rsidRDefault="00984140" w:rsidP="00B236AF">
      <w:pPr>
        <w:spacing w:after="120" w:line="276" w:lineRule="auto"/>
        <w:rPr>
          <w:rStyle w:val="Brak"/>
          <w:sz w:val="24"/>
          <w:szCs w:val="24"/>
        </w:rPr>
      </w:pPr>
      <w:r w:rsidRPr="00C01871">
        <w:rPr>
          <w:rStyle w:val="Brak"/>
          <w:sz w:val="24"/>
          <w:szCs w:val="24"/>
        </w:rPr>
        <w:t xml:space="preserve">Ścieżka ta przeznaczona jest dla: </w:t>
      </w:r>
    </w:p>
    <w:p w14:paraId="609A80F1" w14:textId="318ABC6F" w:rsidR="00224125" w:rsidRPr="00C01871" w:rsidRDefault="00B236AF" w:rsidP="00984140">
      <w:pPr>
        <w:pStyle w:val="Akapitzlist"/>
        <w:widowControl w:val="0"/>
        <w:numPr>
          <w:ilvl w:val="0"/>
          <w:numId w:val="54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>czelni, które realizowały już projekty w ramach MAXI w konkursach pt. „Uczelnia dostępna” w programie POWER lub dla uczelni, które po skorzystaniu ze ścieżki MIDI, mają stworzone struktury odpowiedzialne za politykę zapewniania dostępności oraz stosowne zapisy w wewnętrznych aktach normatywnych i chcą sprostać najwyższym standardom, tworząc lub rozwijając centra dostępności</w:t>
      </w:r>
      <w:r>
        <w:rPr>
          <w:rStyle w:val="Brak"/>
          <w:sz w:val="24"/>
          <w:szCs w:val="24"/>
        </w:rPr>
        <w:t>,</w:t>
      </w:r>
    </w:p>
    <w:p w14:paraId="22517A77" w14:textId="5DCF3BA5" w:rsidR="00224125" w:rsidRPr="00C01871" w:rsidRDefault="00B236AF" w:rsidP="00984140">
      <w:pPr>
        <w:pStyle w:val="Akapitzlist"/>
        <w:widowControl w:val="0"/>
        <w:numPr>
          <w:ilvl w:val="0"/>
          <w:numId w:val="54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>czelni, które posiadają rozwinięte procesy i procedury w siedmiu obszarach dostępności i chcą je udoskonalać, a także zamierzają zainicjować nowatorskie inicjatywy w obszarach: 8. dostępność środowiska pracy i 9. współpraca z otoczeniem społeczno-gospodarczym</w:t>
      </w:r>
      <w:r>
        <w:rPr>
          <w:rStyle w:val="Brak"/>
          <w:sz w:val="24"/>
          <w:szCs w:val="24"/>
        </w:rPr>
        <w:t>,</w:t>
      </w:r>
    </w:p>
    <w:p w14:paraId="2AD3E3B3" w14:textId="1C152C58" w:rsidR="00224125" w:rsidRPr="00C01871" w:rsidRDefault="00B236AF" w:rsidP="00984140">
      <w:pPr>
        <w:pStyle w:val="Akapitzlist"/>
        <w:widowControl w:val="0"/>
        <w:numPr>
          <w:ilvl w:val="0"/>
          <w:numId w:val="54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 xml:space="preserve">czelni, których jednostki do spraw dostępności i wsparcia osób ze szczególnymi potrzebami funkcjonują w strukturze uczelni powyżej 5 lat, </w:t>
      </w:r>
      <w:r w:rsidR="00513CC9">
        <w:rPr>
          <w:rStyle w:val="Brak"/>
          <w:sz w:val="24"/>
          <w:szCs w:val="24"/>
        </w:rPr>
        <w:t>w</w:t>
      </w:r>
      <w:r w:rsidR="00513CC9" w:rsidRPr="00C01871">
        <w:rPr>
          <w:rStyle w:val="Brak"/>
          <w:sz w:val="24"/>
          <w:szCs w:val="24"/>
        </w:rPr>
        <w:t xml:space="preserve"> jednostce zatrudnionych jest więcej niż jeden pracownik i ma ona charakter stały</w:t>
      </w:r>
      <w:r w:rsidR="00513CC9">
        <w:rPr>
          <w:rStyle w:val="Brak"/>
          <w:sz w:val="24"/>
          <w:szCs w:val="24"/>
        </w:rPr>
        <w:t>,</w:t>
      </w:r>
      <w:r w:rsidR="00513CC9" w:rsidRPr="00C01871">
        <w:rPr>
          <w:rStyle w:val="Brak"/>
          <w:sz w:val="24"/>
          <w:szCs w:val="24"/>
        </w:rPr>
        <w:t xml:space="preserve"> tj. wykraczający poza jedną kadencję władz. Istnienie jednostki jest potwierdzone zapisem w regulaminie organizacyjnym uczeln</w:t>
      </w:r>
      <w:r w:rsidR="00513CC9">
        <w:rPr>
          <w:rStyle w:val="Brak"/>
          <w:sz w:val="24"/>
          <w:szCs w:val="24"/>
        </w:rPr>
        <w:t>i,</w:t>
      </w:r>
      <w:r w:rsidR="00513CC9" w:rsidRPr="00C01871">
        <w:rPr>
          <w:rStyle w:val="Brak"/>
          <w:sz w:val="24"/>
          <w:szCs w:val="24"/>
        </w:rPr>
        <w:t xml:space="preserve"> </w:t>
      </w:r>
      <w:r w:rsidRPr="00C01871">
        <w:rPr>
          <w:rStyle w:val="Brak"/>
          <w:sz w:val="24"/>
          <w:szCs w:val="24"/>
        </w:rPr>
        <w:t>a przynajmniej 50% ich pracowników posiada minimum czteroletnie doświadczenie w</w:t>
      </w:r>
      <w:r w:rsidR="00AB4E52">
        <w:rPr>
          <w:rStyle w:val="Brak"/>
          <w:sz w:val="24"/>
          <w:szCs w:val="24"/>
        </w:rPr>
        <w:t xml:space="preserve"> </w:t>
      </w:r>
      <w:r w:rsidRPr="00C01871">
        <w:rPr>
          <w:rStyle w:val="Brak"/>
          <w:sz w:val="24"/>
          <w:szCs w:val="24"/>
        </w:rPr>
        <w:t>obszarze wsparcia osób z niepełnosprawnościami i szczególnymi potrzebami w szkolnictwie wyższym</w:t>
      </w:r>
      <w:r>
        <w:rPr>
          <w:rStyle w:val="Brak"/>
          <w:sz w:val="24"/>
          <w:szCs w:val="24"/>
        </w:rPr>
        <w:t>,</w:t>
      </w:r>
    </w:p>
    <w:p w14:paraId="1DD313E9" w14:textId="3284B0B4" w:rsidR="00224125" w:rsidRPr="00C01871" w:rsidRDefault="00B236AF" w:rsidP="00984140">
      <w:pPr>
        <w:pStyle w:val="Akapitzlist"/>
        <w:widowControl w:val="0"/>
        <w:numPr>
          <w:ilvl w:val="0"/>
          <w:numId w:val="54"/>
        </w:numPr>
        <w:spacing w:before="100" w:after="100" w:line="276" w:lineRule="auto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>czelni, których jednostki do spraw dostępności i wsparcia osób ze szczególnymi potrzebami realizowały działania w ramach partnerstw międzyuczelnianych, projektów międzynarodowych, zespołów interdyscyplinarnych w obszarach związanych z dostępnością lub trzecią misją uczelni</w:t>
      </w:r>
      <w:r>
        <w:rPr>
          <w:rStyle w:val="Brak"/>
          <w:sz w:val="24"/>
          <w:szCs w:val="24"/>
        </w:rPr>
        <w:t>,</w:t>
      </w:r>
    </w:p>
    <w:p w14:paraId="45AF88DE" w14:textId="53F44ED3" w:rsidR="00224125" w:rsidRPr="00C01871" w:rsidRDefault="00B236AF" w:rsidP="00ED2C6A">
      <w:pPr>
        <w:pStyle w:val="Akapitzlist"/>
        <w:widowControl w:val="0"/>
        <w:numPr>
          <w:ilvl w:val="0"/>
          <w:numId w:val="54"/>
        </w:numPr>
        <w:spacing w:before="100" w:after="100" w:line="276" w:lineRule="auto"/>
        <w:ind w:hanging="357"/>
        <w:rPr>
          <w:sz w:val="24"/>
          <w:szCs w:val="24"/>
        </w:rPr>
      </w:pPr>
      <w:r>
        <w:rPr>
          <w:rStyle w:val="Brak"/>
          <w:sz w:val="24"/>
          <w:szCs w:val="24"/>
        </w:rPr>
        <w:t>u</w:t>
      </w:r>
      <w:r w:rsidRPr="00C01871">
        <w:rPr>
          <w:rStyle w:val="Brak"/>
          <w:sz w:val="24"/>
          <w:szCs w:val="24"/>
        </w:rPr>
        <w:t>czelni, których jednostki do spraw dostępności i wsparcia obejmują udokumentowanym wsparciem powyżej 300 osób ze szczególnymi potrzebami w roku akademickim</w:t>
      </w:r>
      <w:r w:rsidR="000A4BA5">
        <w:rPr>
          <w:rStyle w:val="Brak"/>
          <w:sz w:val="24"/>
          <w:szCs w:val="24"/>
        </w:rPr>
        <w:t xml:space="preserve"> poprzedzającym rok</w:t>
      </w:r>
      <w:r w:rsidRPr="00C01871">
        <w:rPr>
          <w:rStyle w:val="Brak"/>
          <w:sz w:val="24"/>
          <w:szCs w:val="24"/>
        </w:rPr>
        <w:t>, w którym składany jest projekt.</w:t>
      </w:r>
    </w:p>
    <w:p w14:paraId="7A228177" w14:textId="22C2D697" w:rsidR="00224125" w:rsidRPr="00C01871" w:rsidRDefault="00984140" w:rsidP="00B236AF">
      <w:pPr>
        <w:widowControl w:val="0"/>
        <w:tabs>
          <w:tab w:val="left" w:pos="220"/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b/>
          <w:bCs/>
          <w:kern w:val="0"/>
          <w:sz w:val="24"/>
          <w:szCs w:val="24"/>
        </w:rPr>
        <w:t>W tej ścieżce wymagana jest realizacja wszystkich z listy dziewięciu obszarów dostępności</w:t>
      </w:r>
      <w:r w:rsidRPr="00C01871">
        <w:rPr>
          <w:rStyle w:val="Brak"/>
          <w:kern w:val="0"/>
          <w:sz w:val="24"/>
          <w:szCs w:val="24"/>
        </w:rPr>
        <w:t xml:space="preserve"> obowiązujących w konkursie „Uczelnie coraz bardziej dostępne”, a proponowane zadania powinny wykraczać poza minimalne wymogi </w:t>
      </w:r>
      <w:r w:rsidRPr="00C01871">
        <w:rPr>
          <w:rStyle w:val="Brak"/>
          <w:i/>
          <w:iCs/>
          <w:kern w:val="0"/>
          <w:sz w:val="24"/>
          <w:szCs w:val="24"/>
        </w:rPr>
        <w:t>Ustawy z 19 lipca 2019 r. o zapewnianiu dostępności</w:t>
      </w:r>
      <w:r w:rsidRPr="00C01871">
        <w:rPr>
          <w:rStyle w:val="Brak"/>
          <w:kern w:val="0"/>
          <w:sz w:val="24"/>
          <w:szCs w:val="24"/>
        </w:rPr>
        <w:t>. Powinny się też charakteryzować wysoką jakością, innowacyjnością lub</w:t>
      </w:r>
      <w:r w:rsidR="00B236AF">
        <w:rPr>
          <w:rStyle w:val="Brak"/>
          <w:kern w:val="0"/>
          <w:sz w:val="24"/>
          <w:szCs w:val="24"/>
        </w:rPr>
        <w:t> </w:t>
      </w:r>
      <w:r w:rsidRPr="00C01871">
        <w:rPr>
          <w:rStyle w:val="Brak"/>
          <w:kern w:val="0"/>
          <w:sz w:val="24"/>
          <w:szCs w:val="24"/>
        </w:rPr>
        <w:t>systemowym charakterem.</w:t>
      </w:r>
    </w:p>
    <w:p w14:paraId="18CDA3C0" w14:textId="7A2C6A18" w:rsidR="00224125" w:rsidRPr="00C01871" w:rsidRDefault="00984140" w:rsidP="00B236AF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Składając wniosek, uczelnia zobowiązuje się do szczegółowego zaprezentowania projektu przed panelem </w:t>
      </w:r>
      <w:r>
        <w:rPr>
          <w:rStyle w:val="Brak"/>
          <w:kern w:val="0"/>
          <w:sz w:val="24"/>
          <w:szCs w:val="24"/>
        </w:rPr>
        <w:t>eksperckim</w:t>
      </w:r>
      <w:r w:rsidRPr="00C01871">
        <w:rPr>
          <w:rStyle w:val="Brak"/>
          <w:kern w:val="0"/>
          <w:sz w:val="24"/>
          <w:szCs w:val="24"/>
        </w:rPr>
        <w:t xml:space="preserve">. Przewiduje się realizację monitoringu jakościowego w postaci organizacji m.in. corocznych laboratoriów partycypacji mających na celu prezentację cząstkowych rezultatów działania projektów. </w:t>
      </w:r>
    </w:p>
    <w:p w14:paraId="240FB76C" w14:textId="14EF04BF" w:rsidR="00224125" w:rsidRPr="00C01871" w:rsidRDefault="00984140" w:rsidP="00B236AF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We wniosku musi być wskazana osoba kierująca projektem. Osoba ta powinna posiadać co najmniej pięcioletnie doświadczenie w obszarze dostępności (praca w jednostce zajmującej się dostępnością w uczelni składającej wniosek) lub udokumentowane doświadczenie z innej dziedziny wiedzy o dostępności niż szkolnictwo wyższe. W przypadku zmiany kierownika w trakcie działania projektu, osoba przejmująca to stanowisko także musi spełniać wymóg posiadania kompetencji i co najmniej pięcioletniego doświadczenia </w:t>
      </w:r>
      <w:r w:rsidR="007B79E9">
        <w:rPr>
          <w:rStyle w:val="Brak"/>
          <w:kern w:val="0"/>
          <w:sz w:val="24"/>
          <w:szCs w:val="24"/>
        </w:rPr>
        <w:t>zawodowe</w:t>
      </w:r>
      <w:r w:rsidRPr="00C01871">
        <w:rPr>
          <w:rStyle w:val="Brak"/>
          <w:kern w:val="0"/>
          <w:sz w:val="24"/>
          <w:szCs w:val="24"/>
        </w:rPr>
        <w:t xml:space="preserve"> na rzecz dostępności.</w:t>
      </w:r>
    </w:p>
    <w:p w14:paraId="09FC6655" w14:textId="77777777" w:rsidR="00224125" w:rsidRPr="00C01871" w:rsidRDefault="00984140" w:rsidP="00B236AF">
      <w:pPr>
        <w:pStyle w:val="Nagwek3"/>
        <w:spacing w:before="100" w:after="120" w:line="276" w:lineRule="auto"/>
        <w:rPr>
          <w:rStyle w:val="Brak"/>
          <w:rFonts w:ascii="Calibri" w:eastAsia="Calibri" w:hAnsi="Calibri" w:cs="Calibri"/>
          <w:b/>
          <w:bCs/>
        </w:rPr>
      </w:pPr>
      <w:bookmarkStart w:id="75" w:name="_Toc36"/>
      <w:bookmarkStart w:id="76" w:name="_Toc144976061"/>
      <w:r w:rsidRPr="00C01871">
        <w:rPr>
          <w:rStyle w:val="Brak"/>
          <w:rFonts w:ascii="Calibri" w:hAnsi="Calibri"/>
          <w:b/>
          <w:bCs/>
        </w:rPr>
        <w:t>Monitoring jakości</w:t>
      </w:r>
      <w:bookmarkEnd w:id="75"/>
      <w:bookmarkEnd w:id="76"/>
    </w:p>
    <w:p w14:paraId="32EE71EB" w14:textId="5B2453FE" w:rsidR="00224125" w:rsidRPr="00C01871" w:rsidRDefault="00984140" w:rsidP="00B236AF">
      <w:pPr>
        <w:widowControl w:val="0"/>
        <w:tabs>
          <w:tab w:val="left" w:pos="566"/>
        </w:tabs>
        <w:spacing w:before="100" w:after="120" w:line="276" w:lineRule="auto"/>
        <w:rPr>
          <w:rStyle w:val="Brak"/>
          <w:kern w:val="0"/>
          <w:sz w:val="24"/>
          <w:szCs w:val="24"/>
        </w:rPr>
      </w:pPr>
      <w:r w:rsidRPr="00C01871">
        <w:rPr>
          <w:rStyle w:val="Brak"/>
          <w:kern w:val="0"/>
          <w:sz w:val="24"/>
          <w:szCs w:val="24"/>
        </w:rPr>
        <w:t xml:space="preserve">Coroczne laboratoria partycypacji będą się odbywać </w:t>
      </w:r>
      <w:r w:rsidR="000A4BA5">
        <w:rPr>
          <w:rStyle w:val="Brak"/>
          <w:kern w:val="0"/>
          <w:sz w:val="24"/>
          <w:szCs w:val="24"/>
        </w:rPr>
        <w:t>na terenie</w:t>
      </w:r>
      <w:r w:rsidRPr="00C01871">
        <w:rPr>
          <w:rStyle w:val="Brak"/>
          <w:kern w:val="0"/>
          <w:sz w:val="24"/>
          <w:szCs w:val="24"/>
        </w:rPr>
        <w:t xml:space="preserve"> uczelni liderskiej, a organizowane będą we współpracy i pod patronatem Narodowego Centrum Badań i Rozwoju. </w:t>
      </w:r>
      <w:r w:rsidR="000A4BA5">
        <w:rPr>
          <w:rStyle w:val="Brak"/>
          <w:kern w:val="0"/>
          <w:sz w:val="24"/>
          <w:szCs w:val="24"/>
        </w:rPr>
        <w:t xml:space="preserve">Każda uczelnia liderska przynajmniej raz w czasie trwania projektu zorganizuje laboratorium, uczelnie liderskie w porozumieniu z NCBiR </w:t>
      </w:r>
      <w:r w:rsidR="00ED2C6A">
        <w:rPr>
          <w:rStyle w:val="Brak"/>
          <w:kern w:val="0"/>
          <w:sz w:val="24"/>
          <w:szCs w:val="24"/>
        </w:rPr>
        <w:t>uzgodnią</w:t>
      </w:r>
      <w:r w:rsidR="000A4BA5">
        <w:rPr>
          <w:rStyle w:val="Brak"/>
          <w:kern w:val="0"/>
          <w:sz w:val="24"/>
          <w:szCs w:val="24"/>
        </w:rPr>
        <w:t xml:space="preserve"> najbardziej optymalny harmonogram. </w:t>
      </w:r>
      <w:r w:rsidRPr="00C01871">
        <w:rPr>
          <w:rStyle w:val="Brak"/>
          <w:kern w:val="0"/>
          <w:sz w:val="24"/>
          <w:szCs w:val="24"/>
        </w:rPr>
        <w:t>Seminaria te będą otwarte dla innych wnioskodawców realizujących projekty w konkursie „Uczelnie coraz bardziej dostępne”</w:t>
      </w:r>
      <w:r w:rsidR="00707B3A">
        <w:rPr>
          <w:rStyle w:val="Brak"/>
          <w:kern w:val="0"/>
          <w:sz w:val="24"/>
          <w:szCs w:val="24"/>
        </w:rPr>
        <w:t xml:space="preserve"> oraz projekty w konkursie „</w:t>
      </w:r>
      <w:r w:rsidR="00707B3A" w:rsidRPr="0008560B">
        <w:rPr>
          <w:kern w:val="0"/>
          <w:sz w:val="24"/>
          <w:szCs w:val="24"/>
        </w:rPr>
        <w:t>Dostępność podmiotów szkolnictwa wyższego</w:t>
      </w:r>
      <w:r w:rsidR="00707B3A">
        <w:rPr>
          <w:kern w:val="0"/>
          <w:sz w:val="24"/>
          <w:szCs w:val="24"/>
        </w:rPr>
        <w:t>”</w:t>
      </w:r>
      <w:r w:rsidR="00707B3A">
        <w:rPr>
          <w:rStyle w:val="cf01"/>
        </w:rPr>
        <w:t>.</w:t>
      </w:r>
    </w:p>
    <w:p w14:paraId="00951034" w14:textId="77777777" w:rsidR="00224125" w:rsidRPr="00C01871" w:rsidRDefault="00984140" w:rsidP="00B236AF">
      <w:pPr>
        <w:widowControl w:val="0"/>
        <w:tabs>
          <w:tab w:val="left" w:pos="566"/>
        </w:tabs>
        <w:spacing w:before="100" w:after="120" w:line="276" w:lineRule="auto"/>
      </w:pPr>
      <w:r w:rsidRPr="00C01871">
        <w:rPr>
          <w:rStyle w:val="Brak"/>
          <w:kern w:val="0"/>
          <w:sz w:val="24"/>
          <w:szCs w:val="24"/>
        </w:rPr>
        <w:t>Monitoring jakościowy, zarówno na wstępie, podczas realizacji zadań, jak i przy końcu realizacji projektu, jest w tej ścieżce działaniem obligatoryjnym.</w:t>
      </w:r>
    </w:p>
    <w:sectPr w:rsidR="00224125" w:rsidRPr="00C018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276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370C" w14:textId="77777777" w:rsidR="00291D38" w:rsidRDefault="00291D38">
      <w:pPr>
        <w:spacing w:after="0" w:line="240" w:lineRule="auto"/>
      </w:pPr>
      <w:r>
        <w:separator/>
      </w:r>
    </w:p>
  </w:endnote>
  <w:endnote w:type="continuationSeparator" w:id="0">
    <w:p w14:paraId="48FE3FD1" w14:textId="77777777" w:rsidR="00291D38" w:rsidRDefault="00291D38">
      <w:pPr>
        <w:spacing w:after="0" w:line="240" w:lineRule="auto"/>
      </w:pPr>
      <w:r>
        <w:continuationSeparator/>
      </w:r>
    </w:p>
  </w:endnote>
  <w:endnote w:type="continuationNotice" w:id="1">
    <w:p w14:paraId="0E050384" w14:textId="77777777" w:rsidR="00291D38" w:rsidRDefault="00291D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76D2" w14:textId="77777777" w:rsidR="009161BB" w:rsidRDefault="009161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565A" w14:textId="00C090B1" w:rsidR="00224125" w:rsidRDefault="00B25BE0">
    <w:pPr>
      <w:pStyle w:val="Stopka"/>
      <w:tabs>
        <w:tab w:val="clear" w:pos="9072"/>
        <w:tab w:val="right" w:pos="900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7B7877" wp14:editId="637A9E5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140335"/>
              <wp:effectExtent l="0" t="0" r="6350" b="12065"/>
              <wp:wrapNone/>
              <wp:docPr id="3" name="MSIPCM20f24a0f929e280a8b6877d4" descr="{&quot;HashCode&quot;:85143723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E7B23FE" w14:textId="2C222F56" w:rsidR="00B25BE0" w:rsidRPr="00B25BE0" w:rsidRDefault="00B25BE0" w:rsidP="00B25BE0">
                          <w:pPr>
                            <w:spacing w:after="0"/>
                            <w:jc w:val="center"/>
                            <w:rPr>
                              <w:rFonts w:cs="Calibri"/>
                              <w:sz w:val="16"/>
                            </w:rPr>
                          </w:pPr>
                          <w:r w:rsidRPr="00B25BE0">
                            <w:rPr>
                              <w:rFonts w:cs="Calibri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8" tIns="0" rIns="45718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B7877" id="_x0000_t202" coordsize="21600,21600" o:spt="202" path="m,l,21600r21600,l21600,xe">
              <v:stroke joinstyle="miter"/>
              <v:path gradientshapeok="t" o:connecttype="rect"/>
            </v:shapetype>
            <v:shape id="MSIPCM20f24a0f929e280a8b6877d4" o:spid="_x0000_s1026" type="#_x0000_t202" alt="{&quot;HashCode&quot;:851437236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1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" o:allowincell="f" filled="f" stroked="f" strokeweight=".5pt">
              <v:fill o:detectmouseclick="t"/>
              <v:textbox style="mso-fit-shape-to-text:t" inset="1.2699mm,0,1.2699mm,0">
                <w:txbxContent>
                  <w:p w14:paraId="3E7B23FE" w14:textId="2C222F56" w:rsidR="00B25BE0" w:rsidRPr="00B25BE0" w:rsidRDefault="00B25BE0" w:rsidP="00B25BE0">
                    <w:pPr>
                      <w:spacing w:after="0"/>
                      <w:jc w:val="center"/>
                      <w:rPr>
                        <w:rFonts w:cs="Calibri"/>
                        <w:sz w:val="16"/>
                      </w:rPr>
                    </w:pPr>
                    <w:r w:rsidRPr="00B25BE0">
                      <w:rPr>
                        <w:rFonts w:cs="Calibri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140">
      <w:fldChar w:fldCharType="begin"/>
    </w:r>
    <w:r w:rsidR="00984140">
      <w:instrText xml:space="preserve"> PAGE </w:instrText>
    </w:r>
    <w:r w:rsidR="00984140">
      <w:fldChar w:fldCharType="separate"/>
    </w:r>
    <w:r w:rsidR="00F226D6">
      <w:rPr>
        <w:noProof/>
      </w:rPr>
      <w:t>1</w:t>
    </w:r>
    <w:r w:rsidR="0098414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A675" w14:textId="77777777" w:rsidR="009161BB" w:rsidRDefault="00916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D3CA" w14:textId="77777777" w:rsidR="00291D38" w:rsidRDefault="00291D38">
      <w:pPr>
        <w:spacing w:after="0" w:line="240" w:lineRule="auto"/>
      </w:pPr>
      <w:r>
        <w:separator/>
      </w:r>
    </w:p>
  </w:footnote>
  <w:footnote w:type="continuationSeparator" w:id="0">
    <w:p w14:paraId="66A92928" w14:textId="77777777" w:rsidR="00291D38" w:rsidRDefault="00291D38">
      <w:pPr>
        <w:spacing w:after="0" w:line="240" w:lineRule="auto"/>
      </w:pPr>
      <w:r>
        <w:continuationSeparator/>
      </w:r>
    </w:p>
  </w:footnote>
  <w:footnote w:type="continuationNotice" w:id="1">
    <w:p w14:paraId="554A1274" w14:textId="77777777" w:rsidR="00291D38" w:rsidRDefault="00291D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BEFD" w14:textId="77777777" w:rsidR="009161BB" w:rsidRDefault="009161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BE90" w14:textId="77777777" w:rsidR="009161BB" w:rsidRDefault="009161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BC75" w14:textId="77777777" w:rsidR="009161BB" w:rsidRDefault="00916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414"/>
    <w:multiLevelType w:val="hybridMultilevel"/>
    <w:tmpl w:val="A85C798E"/>
    <w:numStyleLink w:val="Zaimportowanystyl40"/>
  </w:abstractNum>
  <w:abstractNum w:abstractNumId="1" w15:restartNumberingAfterBreak="0">
    <w:nsid w:val="03D10A2C"/>
    <w:multiLevelType w:val="hybridMultilevel"/>
    <w:tmpl w:val="CCFEC414"/>
    <w:styleLink w:val="Zaimportowanystyl14"/>
    <w:lvl w:ilvl="0" w:tplc="C6A4F848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442AC0">
      <w:start w:val="1"/>
      <w:numFmt w:val="bullet"/>
      <w:lvlText w:val="o"/>
      <w:lvlJc w:val="left"/>
      <w:pPr>
        <w:ind w:left="128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944A">
      <w:start w:val="1"/>
      <w:numFmt w:val="bullet"/>
      <w:lvlText w:val="▪"/>
      <w:lvlJc w:val="left"/>
      <w:pPr>
        <w:ind w:left="200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C4B7CC">
      <w:start w:val="1"/>
      <w:numFmt w:val="bullet"/>
      <w:lvlText w:val="·"/>
      <w:lvlJc w:val="left"/>
      <w:pPr>
        <w:ind w:left="272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BCCD3E">
      <w:start w:val="1"/>
      <w:numFmt w:val="bullet"/>
      <w:lvlText w:val="o"/>
      <w:lvlJc w:val="left"/>
      <w:pPr>
        <w:ind w:left="34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40877A">
      <w:start w:val="1"/>
      <w:numFmt w:val="bullet"/>
      <w:lvlText w:val="▪"/>
      <w:lvlJc w:val="left"/>
      <w:pPr>
        <w:ind w:left="416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F84762">
      <w:start w:val="1"/>
      <w:numFmt w:val="bullet"/>
      <w:lvlText w:val="·"/>
      <w:lvlJc w:val="left"/>
      <w:pPr>
        <w:ind w:left="488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02334">
      <w:start w:val="1"/>
      <w:numFmt w:val="bullet"/>
      <w:lvlText w:val="o"/>
      <w:lvlJc w:val="left"/>
      <w:pPr>
        <w:ind w:left="560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46162">
      <w:start w:val="1"/>
      <w:numFmt w:val="bullet"/>
      <w:lvlText w:val="▪"/>
      <w:lvlJc w:val="left"/>
      <w:pPr>
        <w:ind w:left="632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3439FA"/>
    <w:multiLevelType w:val="hybridMultilevel"/>
    <w:tmpl w:val="DF8C97A0"/>
    <w:styleLink w:val="Zaimportowanystyl3"/>
    <w:lvl w:ilvl="0" w:tplc="691CF51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ACD546">
      <w:start w:val="1"/>
      <w:numFmt w:val="lowerLetter"/>
      <w:lvlText w:val="%2)"/>
      <w:lvlJc w:val="left"/>
      <w:pPr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3A3C0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C4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0B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EECC8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AF1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2459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2EA66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B13CC6"/>
    <w:multiLevelType w:val="hybridMultilevel"/>
    <w:tmpl w:val="847CEFE6"/>
    <w:numStyleLink w:val="Zaimportowanystyl4"/>
  </w:abstractNum>
  <w:abstractNum w:abstractNumId="4" w15:restartNumberingAfterBreak="0">
    <w:nsid w:val="08BE1614"/>
    <w:multiLevelType w:val="hybridMultilevel"/>
    <w:tmpl w:val="79A2DCF4"/>
    <w:styleLink w:val="Zaimportowanystyl20"/>
    <w:lvl w:ilvl="0" w:tplc="FFE0F2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C07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E62D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5A97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080C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693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769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6ED0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4F7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A06C83"/>
    <w:multiLevelType w:val="hybridMultilevel"/>
    <w:tmpl w:val="5D82C598"/>
    <w:styleLink w:val="Zaimportowanystyl30"/>
    <w:lvl w:ilvl="0" w:tplc="FE14D082">
      <w:start w:val="1"/>
      <w:numFmt w:val="bullet"/>
      <w:lvlText w:val="Þ"/>
      <w:lvlJc w:val="left"/>
      <w:pPr>
        <w:ind w:left="1509" w:hanging="4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1E4B3E">
      <w:start w:val="1"/>
      <w:numFmt w:val="bullet"/>
      <w:lvlText w:val="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EB7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5A16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8AE8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23E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9CFA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ED4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A266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73204"/>
    <w:multiLevelType w:val="hybridMultilevel"/>
    <w:tmpl w:val="092ACD36"/>
    <w:styleLink w:val="Zaimportowanystyl9"/>
    <w:lvl w:ilvl="0" w:tplc="19AC4EDE">
      <w:start w:val="1"/>
      <w:numFmt w:val="lowerLetter"/>
      <w:lvlText w:val="%1)"/>
      <w:lvlJc w:val="left"/>
      <w:pPr>
        <w:tabs>
          <w:tab w:val="left" w:pos="426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64360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0"/>
        </w:tabs>
        <w:ind w:left="14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4AE75A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1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08558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8E8D8E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0951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43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EAE242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A0276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4841B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64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C803718"/>
    <w:multiLevelType w:val="hybridMultilevel"/>
    <w:tmpl w:val="B9A8128A"/>
    <w:styleLink w:val="Zaimportowanystyl5"/>
    <w:lvl w:ilvl="0" w:tplc="A990ACBA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6E300">
      <w:start w:val="1"/>
      <w:numFmt w:val="lowerLetter"/>
      <w:lvlText w:val="%2."/>
      <w:lvlJc w:val="left"/>
      <w:pPr>
        <w:tabs>
          <w:tab w:val="left" w:pos="360"/>
        </w:tabs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06A40">
      <w:start w:val="1"/>
      <w:numFmt w:val="lowerRoman"/>
      <w:lvlText w:val="%3."/>
      <w:lvlJc w:val="left"/>
      <w:pPr>
        <w:tabs>
          <w:tab w:val="left" w:pos="36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A906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5C8356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BE9D38">
      <w:start w:val="1"/>
      <w:numFmt w:val="lowerRoman"/>
      <w:lvlText w:val="%6."/>
      <w:lvlJc w:val="left"/>
      <w:pPr>
        <w:tabs>
          <w:tab w:val="left" w:pos="36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67C6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D2889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097BE">
      <w:start w:val="1"/>
      <w:numFmt w:val="lowerRoman"/>
      <w:lvlText w:val="%9."/>
      <w:lvlJc w:val="left"/>
      <w:pPr>
        <w:tabs>
          <w:tab w:val="left" w:pos="36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F601890"/>
    <w:multiLevelType w:val="hybridMultilevel"/>
    <w:tmpl w:val="72886294"/>
    <w:numStyleLink w:val="Zaimportowanystyl2"/>
  </w:abstractNum>
  <w:abstractNum w:abstractNumId="9" w15:restartNumberingAfterBreak="0">
    <w:nsid w:val="12A33BFB"/>
    <w:multiLevelType w:val="hybridMultilevel"/>
    <w:tmpl w:val="9740F648"/>
    <w:numStyleLink w:val="Zaimportowanystyl13"/>
  </w:abstractNum>
  <w:abstractNum w:abstractNumId="10" w15:restartNumberingAfterBreak="0">
    <w:nsid w:val="17E01EA1"/>
    <w:multiLevelType w:val="multilevel"/>
    <w:tmpl w:val="8D64D72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661090"/>
    <w:multiLevelType w:val="hybridMultilevel"/>
    <w:tmpl w:val="B9A8128A"/>
    <w:numStyleLink w:val="Zaimportowanystyl5"/>
  </w:abstractNum>
  <w:abstractNum w:abstractNumId="12" w15:restartNumberingAfterBreak="0">
    <w:nsid w:val="23676C04"/>
    <w:multiLevelType w:val="hybridMultilevel"/>
    <w:tmpl w:val="CF2A245C"/>
    <w:numStyleLink w:val="Zaimportowanystyl6"/>
  </w:abstractNum>
  <w:abstractNum w:abstractNumId="13" w15:restartNumberingAfterBreak="0">
    <w:nsid w:val="2DA55685"/>
    <w:multiLevelType w:val="hybridMultilevel"/>
    <w:tmpl w:val="D83E49AA"/>
    <w:numStyleLink w:val="Zaimportowanystyl17"/>
  </w:abstractNum>
  <w:abstractNum w:abstractNumId="14" w15:restartNumberingAfterBreak="0">
    <w:nsid w:val="2FEC3559"/>
    <w:multiLevelType w:val="hybridMultilevel"/>
    <w:tmpl w:val="A210C388"/>
    <w:numStyleLink w:val="Zaimportowanystyl8"/>
  </w:abstractNum>
  <w:abstractNum w:abstractNumId="15" w15:restartNumberingAfterBreak="0">
    <w:nsid w:val="310F4A3F"/>
    <w:multiLevelType w:val="hybridMultilevel"/>
    <w:tmpl w:val="547803B8"/>
    <w:numStyleLink w:val="Zaimportowanystyl15"/>
  </w:abstractNum>
  <w:abstractNum w:abstractNumId="16" w15:restartNumberingAfterBreak="0">
    <w:nsid w:val="33796AF4"/>
    <w:multiLevelType w:val="hybridMultilevel"/>
    <w:tmpl w:val="CF2A245C"/>
    <w:styleLink w:val="Zaimportowanystyl6"/>
    <w:lvl w:ilvl="0" w:tplc="4104B7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C4742">
      <w:start w:val="1"/>
      <w:numFmt w:val="lowerLetter"/>
      <w:lvlText w:val="%2)"/>
      <w:lvlJc w:val="left"/>
      <w:pPr>
        <w:ind w:left="1440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08111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C72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F635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87CE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C0E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E7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BA4B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9D2583"/>
    <w:multiLevelType w:val="hybridMultilevel"/>
    <w:tmpl w:val="DA6AC51E"/>
    <w:numStyleLink w:val="Zaimportowanystyl12"/>
  </w:abstractNum>
  <w:abstractNum w:abstractNumId="18" w15:restartNumberingAfterBreak="0">
    <w:nsid w:val="37A02700"/>
    <w:multiLevelType w:val="hybridMultilevel"/>
    <w:tmpl w:val="A85C798E"/>
    <w:styleLink w:val="Zaimportowanystyl40"/>
    <w:lvl w:ilvl="0" w:tplc="D264CF74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4F5BA">
      <w:start w:val="1"/>
      <w:numFmt w:val="lowerLetter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4133A">
      <w:start w:val="1"/>
      <w:numFmt w:val="lowerRoman"/>
      <w:lvlText w:val="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86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A6924">
      <w:start w:val="1"/>
      <w:numFmt w:val="decimal"/>
      <w:lvlText w:val="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ABF9A">
      <w:start w:val="1"/>
      <w:numFmt w:val="lowerLetter"/>
      <w:lvlText w:val="%5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47D3A">
      <w:start w:val="1"/>
      <w:numFmt w:val="lowerRoman"/>
      <w:lvlText w:val="%6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502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8B746">
      <w:start w:val="1"/>
      <w:numFmt w:val="decimal"/>
      <w:lvlText w:val="%7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4490D2">
      <w:start w:val="1"/>
      <w:numFmt w:val="lowerLetter"/>
      <w:lvlText w:val="%8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44DEE">
      <w:start w:val="1"/>
      <w:numFmt w:val="lowerRoman"/>
      <w:lvlText w:val="%9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718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DFB0D45"/>
    <w:multiLevelType w:val="hybridMultilevel"/>
    <w:tmpl w:val="A210C388"/>
    <w:styleLink w:val="Zaimportowanystyl8"/>
    <w:lvl w:ilvl="0" w:tplc="CCF4670E">
      <w:start w:val="1"/>
      <w:numFmt w:val="lowerLetter"/>
      <w:lvlText w:val="%1)"/>
      <w:lvlJc w:val="left"/>
      <w:pPr>
        <w:tabs>
          <w:tab w:val="left" w:pos="426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30194A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0"/>
        </w:tabs>
        <w:ind w:left="14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23FB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1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DC8A40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A8E18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D200C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43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2823E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40E026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F219BE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64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5755A4E"/>
    <w:multiLevelType w:val="hybridMultilevel"/>
    <w:tmpl w:val="1D8CEF94"/>
    <w:numStyleLink w:val="Zaimportowanystyl10"/>
  </w:abstractNum>
  <w:abstractNum w:abstractNumId="21" w15:restartNumberingAfterBreak="0">
    <w:nsid w:val="45A50D00"/>
    <w:multiLevelType w:val="hybridMultilevel"/>
    <w:tmpl w:val="FFD64BC6"/>
    <w:numStyleLink w:val="Zaimportowanystyl100"/>
  </w:abstractNum>
  <w:abstractNum w:abstractNumId="22" w15:restartNumberingAfterBreak="0">
    <w:nsid w:val="45CD0769"/>
    <w:multiLevelType w:val="hybridMultilevel"/>
    <w:tmpl w:val="A05C5C0C"/>
    <w:numStyleLink w:val="Zaimportowanystyl11"/>
  </w:abstractNum>
  <w:abstractNum w:abstractNumId="23" w15:restartNumberingAfterBreak="0">
    <w:nsid w:val="46061649"/>
    <w:multiLevelType w:val="hybridMultilevel"/>
    <w:tmpl w:val="547803B8"/>
    <w:styleLink w:val="Zaimportowanystyl15"/>
    <w:lvl w:ilvl="0" w:tplc="0CD0CE06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45666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4A5572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4A962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41FE2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5E932C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0EA48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C82A16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4C28A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8FF2CFB"/>
    <w:multiLevelType w:val="hybridMultilevel"/>
    <w:tmpl w:val="9740F648"/>
    <w:styleLink w:val="Zaimportowanystyl13"/>
    <w:lvl w:ilvl="0" w:tplc="E29284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5295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4483B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E263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56E2F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A3E7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CDE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C8210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07CCA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EF53FBC"/>
    <w:multiLevelType w:val="hybridMultilevel"/>
    <w:tmpl w:val="CCFEC414"/>
    <w:numStyleLink w:val="Zaimportowanystyl14"/>
  </w:abstractNum>
  <w:abstractNum w:abstractNumId="26" w15:restartNumberingAfterBreak="0">
    <w:nsid w:val="5181077F"/>
    <w:multiLevelType w:val="hybridMultilevel"/>
    <w:tmpl w:val="847CEFE6"/>
    <w:styleLink w:val="Zaimportowanystyl4"/>
    <w:lvl w:ilvl="0" w:tplc="10F875AC">
      <w:start w:val="1"/>
      <w:numFmt w:val="bullet"/>
      <w:lvlText w:val="·"/>
      <w:lvlJc w:val="left"/>
      <w:pPr>
        <w:tabs>
          <w:tab w:val="left" w:pos="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AC064">
      <w:start w:val="1"/>
      <w:numFmt w:val="bullet"/>
      <w:lvlText w:val="o"/>
      <w:lvlJc w:val="left"/>
      <w:pPr>
        <w:tabs>
          <w:tab w:val="left" w:pos="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069364">
      <w:start w:val="1"/>
      <w:numFmt w:val="bullet"/>
      <w:lvlText w:val="▪"/>
      <w:lvlJc w:val="left"/>
      <w:pPr>
        <w:tabs>
          <w:tab w:val="left" w:pos="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6839C4">
      <w:start w:val="1"/>
      <w:numFmt w:val="bullet"/>
      <w:lvlText w:val="·"/>
      <w:lvlJc w:val="left"/>
      <w:pPr>
        <w:tabs>
          <w:tab w:val="left" w:pos="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A74F0">
      <w:start w:val="1"/>
      <w:numFmt w:val="bullet"/>
      <w:lvlText w:val="o"/>
      <w:lvlJc w:val="left"/>
      <w:pPr>
        <w:tabs>
          <w:tab w:val="left" w:pos="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2F002">
      <w:start w:val="1"/>
      <w:numFmt w:val="bullet"/>
      <w:lvlText w:val="▪"/>
      <w:lvlJc w:val="left"/>
      <w:pPr>
        <w:tabs>
          <w:tab w:val="left" w:pos="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786432">
      <w:start w:val="1"/>
      <w:numFmt w:val="bullet"/>
      <w:lvlText w:val="·"/>
      <w:lvlJc w:val="left"/>
      <w:pPr>
        <w:tabs>
          <w:tab w:val="left" w:pos="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5C559E">
      <w:start w:val="1"/>
      <w:numFmt w:val="bullet"/>
      <w:lvlText w:val="o"/>
      <w:lvlJc w:val="left"/>
      <w:pPr>
        <w:tabs>
          <w:tab w:val="left" w:pos="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DE7356">
      <w:start w:val="1"/>
      <w:numFmt w:val="bullet"/>
      <w:lvlText w:val="▪"/>
      <w:lvlJc w:val="left"/>
      <w:pPr>
        <w:tabs>
          <w:tab w:val="left" w:pos="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D94703"/>
    <w:multiLevelType w:val="hybridMultilevel"/>
    <w:tmpl w:val="1D8CEF94"/>
    <w:styleLink w:val="Zaimportowanystyl10"/>
    <w:lvl w:ilvl="0" w:tplc="82E4C2F4">
      <w:start w:val="1"/>
      <w:numFmt w:val="lowerLetter"/>
      <w:lvlText w:val="%1)"/>
      <w:lvlJc w:val="left"/>
      <w:pPr>
        <w:tabs>
          <w:tab w:val="left" w:pos="426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6EAF2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0"/>
        </w:tabs>
        <w:ind w:left="14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B0BA9E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1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246794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A58C4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0039A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43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ED748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CAA0E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89E7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64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5EC0BDA"/>
    <w:multiLevelType w:val="hybridMultilevel"/>
    <w:tmpl w:val="A05C5C0C"/>
    <w:styleLink w:val="Zaimportowanystyl11"/>
    <w:lvl w:ilvl="0" w:tplc="99D61E28">
      <w:start w:val="1"/>
      <w:numFmt w:val="lowerLetter"/>
      <w:lvlText w:val="%1)"/>
      <w:lvlJc w:val="left"/>
      <w:pPr>
        <w:tabs>
          <w:tab w:val="left" w:pos="426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2FC8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0"/>
        </w:tabs>
        <w:ind w:left="14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897D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1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62528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602E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284D8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43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8D0F6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40D0E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FED104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64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300549"/>
    <w:multiLevelType w:val="hybridMultilevel"/>
    <w:tmpl w:val="DA6AC51E"/>
    <w:styleLink w:val="Zaimportowanystyl12"/>
    <w:lvl w:ilvl="0" w:tplc="C032B9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8EA3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6C88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D4BD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A65A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019A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A651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9C52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7CF84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381D2A"/>
    <w:multiLevelType w:val="hybridMultilevel"/>
    <w:tmpl w:val="79A2DCF4"/>
    <w:numStyleLink w:val="Zaimportowanystyl20"/>
  </w:abstractNum>
  <w:abstractNum w:abstractNumId="31" w15:restartNumberingAfterBreak="0">
    <w:nsid w:val="601E3093"/>
    <w:multiLevelType w:val="multilevel"/>
    <w:tmpl w:val="6682EAF0"/>
    <w:styleLink w:val="Zaimportowanystyl16"/>
    <w:lvl w:ilvl="0">
      <w:start w:val="1"/>
      <w:numFmt w:val="decimal"/>
      <w:lvlText w:val="%1."/>
      <w:lvlJc w:val="left"/>
      <w:pPr>
        <w:tabs>
          <w:tab w:val="left" w:pos="56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66"/>
        </w:tabs>
        <w:ind w:left="156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66"/>
        </w:tabs>
        <w:ind w:left="246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66"/>
        </w:tabs>
        <w:ind w:left="300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66"/>
        </w:tabs>
        <w:ind w:left="37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66"/>
        </w:tabs>
        <w:ind w:left="462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66"/>
        </w:tabs>
        <w:ind w:left="516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66"/>
        </w:tabs>
        <w:ind w:left="588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66"/>
        </w:tabs>
        <w:ind w:left="678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9F4979"/>
    <w:multiLevelType w:val="hybridMultilevel"/>
    <w:tmpl w:val="DF8C97A0"/>
    <w:numStyleLink w:val="Zaimportowanystyl3"/>
  </w:abstractNum>
  <w:abstractNum w:abstractNumId="33" w15:restartNumberingAfterBreak="0">
    <w:nsid w:val="61EA2C63"/>
    <w:multiLevelType w:val="hybridMultilevel"/>
    <w:tmpl w:val="092ACD36"/>
    <w:numStyleLink w:val="Zaimportowanystyl9"/>
  </w:abstractNum>
  <w:abstractNum w:abstractNumId="34" w15:restartNumberingAfterBreak="0">
    <w:nsid w:val="62051418"/>
    <w:multiLevelType w:val="hybridMultilevel"/>
    <w:tmpl w:val="17800B1C"/>
    <w:numStyleLink w:val="Zaimportowanystyl7"/>
  </w:abstractNum>
  <w:abstractNum w:abstractNumId="35" w15:restartNumberingAfterBreak="0">
    <w:nsid w:val="62AE71C8"/>
    <w:multiLevelType w:val="multilevel"/>
    <w:tmpl w:val="6682EAF0"/>
    <w:numStyleLink w:val="Zaimportowanystyl16"/>
  </w:abstractNum>
  <w:abstractNum w:abstractNumId="36" w15:restartNumberingAfterBreak="0">
    <w:nsid w:val="6388319C"/>
    <w:multiLevelType w:val="hybridMultilevel"/>
    <w:tmpl w:val="5D82C598"/>
    <w:numStyleLink w:val="Zaimportowanystyl30"/>
  </w:abstractNum>
  <w:abstractNum w:abstractNumId="37" w15:restartNumberingAfterBreak="0">
    <w:nsid w:val="70FC32A2"/>
    <w:multiLevelType w:val="hybridMultilevel"/>
    <w:tmpl w:val="72886294"/>
    <w:styleLink w:val="Zaimportowanystyl2"/>
    <w:lvl w:ilvl="0" w:tplc="46686900">
      <w:start w:val="1"/>
      <w:numFmt w:val="bullet"/>
      <w:lvlText w:val="·"/>
      <w:lvlJc w:val="left"/>
      <w:pPr>
        <w:tabs>
          <w:tab w:val="left" w:pos="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E2586">
      <w:start w:val="1"/>
      <w:numFmt w:val="bullet"/>
      <w:lvlText w:val="o"/>
      <w:lvlJc w:val="left"/>
      <w:pPr>
        <w:tabs>
          <w:tab w:val="left" w:pos="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8742A">
      <w:start w:val="1"/>
      <w:numFmt w:val="bullet"/>
      <w:lvlText w:val="▪"/>
      <w:lvlJc w:val="left"/>
      <w:pPr>
        <w:tabs>
          <w:tab w:val="left" w:pos="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07DCC">
      <w:start w:val="1"/>
      <w:numFmt w:val="bullet"/>
      <w:lvlText w:val="·"/>
      <w:lvlJc w:val="left"/>
      <w:pPr>
        <w:tabs>
          <w:tab w:val="left" w:pos="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64E78">
      <w:start w:val="1"/>
      <w:numFmt w:val="bullet"/>
      <w:lvlText w:val="o"/>
      <w:lvlJc w:val="left"/>
      <w:pPr>
        <w:tabs>
          <w:tab w:val="left" w:pos="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0CFA4">
      <w:start w:val="1"/>
      <w:numFmt w:val="bullet"/>
      <w:lvlText w:val="▪"/>
      <w:lvlJc w:val="left"/>
      <w:pPr>
        <w:tabs>
          <w:tab w:val="left" w:pos="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4E856">
      <w:start w:val="1"/>
      <w:numFmt w:val="bullet"/>
      <w:lvlText w:val="·"/>
      <w:lvlJc w:val="left"/>
      <w:pPr>
        <w:tabs>
          <w:tab w:val="left" w:pos="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B0514E">
      <w:start w:val="1"/>
      <w:numFmt w:val="bullet"/>
      <w:lvlText w:val="o"/>
      <w:lvlJc w:val="left"/>
      <w:pPr>
        <w:tabs>
          <w:tab w:val="left" w:pos="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0F72C">
      <w:start w:val="1"/>
      <w:numFmt w:val="bullet"/>
      <w:lvlText w:val="▪"/>
      <w:lvlJc w:val="left"/>
      <w:pPr>
        <w:tabs>
          <w:tab w:val="left" w:pos="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23D5BB1"/>
    <w:multiLevelType w:val="hybridMultilevel"/>
    <w:tmpl w:val="D83E49AA"/>
    <w:styleLink w:val="Zaimportowanystyl17"/>
    <w:lvl w:ilvl="0" w:tplc="4E989922">
      <w:start w:val="1"/>
      <w:numFmt w:val="bullet"/>
      <w:lvlText w:val="·"/>
      <w:lvlJc w:val="left"/>
      <w:pPr>
        <w:ind w:left="56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E61E52">
      <w:start w:val="1"/>
      <w:numFmt w:val="bullet"/>
      <w:lvlText w:val="o"/>
      <w:lvlJc w:val="left"/>
      <w:pPr>
        <w:ind w:left="128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0E5E06">
      <w:start w:val="1"/>
      <w:numFmt w:val="bullet"/>
      <w:lvlText w:val="▪"/>
      <w:lvlJc w:val="left"/>
      <w:pPr>
        <w:ind w:left="200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AEDA9E">
      <w:start w:val="1"/>
      <w:numFmt w:val="bullet"/>
      <w:lvlText w:val="·"/>
      <w:lvlJc w:val="left"/>
      <w:pPr>
        <w:ind w:left="272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2C4CE">
      <w:start w:val="1"/>
      <w:numFmt w:val="bullet"/>
      <w:lvlText w:val="o"/>
      <w:lvlJc w:val="left"/>
      <w:pPr>
        <w:ind w:left="34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89712">
      <w:start w:val="1"/>
      <w:numFmt w:val="bullet"/>
      <w:lvlText w:val="▪"/>
      <w:lvlJc w:val="left"/>
      <w:pPr>
        <w:ind w:left="416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1AE2B2">
      <w:start w:val="1"/>
      <w:numFmt w:val="bullet"/>
      <w:lvlText w:val="·"/>
      <w:lvlJc w:val="left"/>
      <w:pPr>
        <w:ind w:left="488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1E9234">
      <w:start w:val="1"/>
      <w:numFmt w:val="bullet"/>
      <w:lvlText w:val="o"/>
      <w:lvlJc w:val="left"/>
      <w:pPr>
        <w:ind w:left="560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927C3C">
      <w:start w:val="1"/>
      <w:numFmt w:val="bullet"/>
      <w:lvlText w:val="▪"/>
      <w:lvlJc w:val="left"/>
      <w:pPr>
        <w:ind w:left="632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7FF56EA"/>
    <w:multiLevelType w:val="hybridMultilevel"/>
    <w:tmpl w:val="17800B1C"/>
    <w:styleLink w:val="Zaimportowanystyl7"/>
    <w:lvl w:ilvl="0" w:tplc="B080CF04">
      <w:start w:val="1"/>
      <w:numFmt w:val="lowerLetter"/>
      <w:lvlText w:val="%1)"/>
      <w:lvlJc w:val="left"/>
      <w:pPr>
        <w:tabs>
          <w:tab w:val="left" w:pos="426"/>
          <w:tab w:val="num" w:pos="828"/>
        </w:tabs>
        <w:ind w:left="839" w:hanging="4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CF6">
      <w:start w:val="1"/>
      <w:numFmt w:val="lowerLetter"/>
      <w:lvlText w:val="%2)"/>
      <w:lvlJc w:val="left"/>
      <w:pPr>
        <w:tabs>
          <w:tab w:val="left" w:pos="426"/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40B5A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60"/>
        </w:tabs>
        <w:ind w:left="217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ADE50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29848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8AD79C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320"/>
        </w:tabs>
        <w:ind w:left="433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80FD22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294B4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382C54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480"/>
        </w:tabs>
        <w:ind w:left="6491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96F63E0"/>
    <w:multiLevelType w:val="multilevel"/>
    <w:tmpl w:val="99887E4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C3E2E4A"/>
    <w:multiLevelType w:val="hybridMultilevel"/>
    <w:tmpl w:val="FFD64BC6"/>
    <w:styleLink w:val="Zaimportowanystyl100"/>
    <w:lvl w:ilvl="0" w:tplc="60061A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6A7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8F0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4EA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3C8F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EC8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D83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4410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ACF7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4325807">
    <w:abstractNumId w:val="40"/>
  </w:num>
  <w:num w:numId="2" w16cid:durableId="1675302767">
    <w:abstractNumId w:val="10"/>
  </w:num>
  <w:num w:numId="3" w16cid:durableId="403721468">
    <w:abstractNumId w:val="37"/>
  </w:num>
  <w:num w:numId="4" w16cid:durableId="2078282124">
    <w:abstractNumId w:val="8"/>
  </w:num>
  <w:num w:numId="5" w16cid:durableId="832766243">
    <w:abstractNumId w:val="10"/>
    <w:lvlOverride w:ilvl="0">
      <w:startOverride w:val="2"/>
    </w:lvlOverride>
  </w:num>
  <w:num w:numId="6" w16cid:durableId="205388">
    <w:abstractNumId w:val="41"/>
  </w:num>
  <w:num w:numId="7" w16cid:durableId="1538084821">
    <w:abstractNumId w:val="21"/>
  </w:num>
  <w:num w:numId="8" w16cid:durableId="407657821">
    <w:abstractNumId w:val="10"/>
    <w:lvlOverride w:ilvl="0">
      <w:startOverride w:val="4"/>
    </w:lvlOverride>
  </w:num>
  <w:num w:numId="9" w16cid:durableId="403838263">
    <w:abstractNumId w:val="2"/>
  </w:num>
  <w:num w:numId="10" w16cid:durableId="438648353">
    <w:abstractNumId w:val="32"/>
  </w:num>
  <w:num w:numId="11" w16cid:durableId="97993623">
    <w:abstractNumId w:val="26"/>
  </w:num>
  <w:num w:numId="12" w16cid:durableId="179315122">
    <w:abstractNumId w:val="3"/>
  </w:num>
  <w:num w:numId="13" w16cid:durableId="620117234">
    <w:abstractNumId w:val="10"/>
  </w:num>
  <w:num w:numId="14" w16cid:durableId="1938367111">
    <w:abstractNumId w:val="7"/>
  </w:num>
  <w:num w:numId="15" w16cid:durableId="1735466693">
    <w:abstractNumId w:val="11"/>
  </w:num>
  <w:num w:numId="16" w16cid:durableId="1195264213">
    <w:abstractNumId w:val="10"/>
  </w:num>
  <w:num w:numId="17" w16cid:durableId="792944266">
    <w:abstractNumId w:val="16"/>
  </w:num>
  <w:num w:numId="18" w16cid:durableId="1812675968">
    <w:abstractNumId w:val="12"/>
  </w:num>
  <w:num w:numId="19" w16cid:durableId="1030304829">
    <w:abstractNumId w:val="10"/>
  </w:num>
  <w:num w:numId="20" w16cid:durableId="939221670">
    <w:abstractNumId w:val="10"/>
  </w:num>
  <w:num w:numId="21" w16cid:durableId="1194734654">
    <w:abstractNumId w:val="39"/>
  </w:num>
  <w:num w:numId="22" w16cid:durableId="712269878">
    <w:abstractNumId w:val="34"/>
  </w:num>
  <w:num w:numId="23" w16cid:durableId="735473998">
    <w:abstractNumId w:val="10"/>
  </w:num>
  <w:num w:numId="24" w16cid:durableId="951782487">
    <w:abstractNumId w:val="19"/>
  </w:num>
  <w:num w:numId="25" w16cid:durableId="1757752359">
    <w:abstractNumId w:val="14"/>
  </w:num>
  <w:num w:numId="26" w16cid:durableId="1608541650">
    <w:abstractNumId w:val="10"/>
  </w:num>
  <w:num w:numId="27" w16cid:durableId="1617250756">
    <w:abstractNumId w:val="6"/>
  </w:num>
  <w:num w:numId="28" w16cid:durableId="996569718">
    <w:abstractNumId w:val="33"/>
  </w:num>
  <w:num w:numId="29" w16cid:durableId="1718048128">
    <w:abstractNumId w:val="10"/>
  </w:num>
  <w:num w:numId="30" w16cid:durableId="1846438021">
    <w:abstractNumId w:val="27"/>
  </w:num>
  <w:num w:numId="31" w16cid:durableId="1504322871">
    <w:abstractNumId w:val="20"/>
  </w:num>
  <w:num w:numId="32" w16cid:durableId="614748019">
    <w:abstractNumId w:val="10"/>
  </w:num>
  <w:num w:numId="33" w16cid:durableId="279995389">
    <w:abstractNumId w:val="28"/>
  </w:num>
  <w:num w:numId="34" w16cid:durableId="587809861">
    <w:abstractNumId w:val="22"/>
  </w:num>
  <w:num w:numId="35" w16cid:durableId="1912042417">
    <w:abstractNumId w:val="29"/>
  </w:num>
  <w:num w:numId="36" w16cid:durableId="1323046432">
    <w:abstractNumId w:val="17"/>
  </w:num>
  <w:num w:numId="37" w16cid:durableId="1815179991">
    <w:abstractNumId w:val="4"/>
  </w:num>
  <w:num w:numId="38" w16cid:durableId="707143895">
    <w:abstractNumId w:val="30"/>
  </w:num>
  <w:num w:numId="39" w16cid:durableId="2016181918">
    <w:abstractNumId w:val="24"/>
  </w:num>
  <w:num w:numId="40" w16cid:durableId="663822378">
    <w:abstractNumId w:val="9"/>
  </w:num>
  <w:num w:numId="41" w16cid:durableId="1564101499">
    <w:abstractNumId w:val="1"/>
  </w:num>
  <w:num w:numId="42" w16cid:durableId="989291781">
    <w:abstractNumId w:val="25"/>
  </w:num>
  <w:num w:numId="43" w16cid:durableId="1589577156">
    <w:abstractNumId w:val="23"/>
  </w:num>
  <w:num w:numId="44" w16cid:durableId="2067534244">
    <w:abstractNumId w:val="15"/>
  </w:num>
  <w:num w:numId="45" w16cid:durableId="1023937363">
    <w:abstractNumId w:val="15"/>
    <w:lvlOverride w:ilvl="0">
      <w:lvl w:ilvl="0" w:tplc="0576B958">
        <w:start w:val="1"/>
        <w:numFmt w:val="bullet"/>
        <w:lvlText w:val="·"/>
        <w:lvlJc w:val="left"/>
        <w:pPr>
          <w:ind w:left="402" w:hanging="2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234DBC2">
        <w:start w:val="1"/>
        <w:numFmt w:val="bullet"/>
        <w:lvlText w:val="o"/>
        <w:lvlJc w:val="left"/>
        <w:pPr>
          <w:ind w:left="1122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4F1E9E66">
        <w:start w:val="1"/>
        <w:numFmt w:val="bullet"/>
        <w:lvlText w:val="▪"/>
        <w:lvlJc w:val="left"/>
        <w:pPr>
          <w:ind w:left="1842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01038EC">
        <w:start w:val="1"/>
        <w:numFmt w:val="bullet"/>
        <w:lvlText w:val="·"/>
        <w:lvlJc w:val="left"/>
        <w:pPr>
          <w:ind w:left="2562" w:hanging="2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8F8D83E">
        <w:start w:val="1"/>
        <w:numFmt w:val="bullet"/>
        <w:lvlText w:val="o"/>
        <w:lvlJc w:val="left"/>
        <w:pPr>
          <w:ind w:left="3282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FF495B8">
        <w:start w:val="1"/>
        <w:numFmt w:val="bullet"/>
        <w:lvlText w:val="▪"/>
        <w:lvlJc w:val="left"/>
        <w:pPr>
          <w:ind w:left="4002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49AA9E8">
        <w:start w:val="1"/>
        <w:numFmt w:val="bullet"/>
        <w:lvlText w:val="·"/>
        <w:lvlJc w:val="left"/>
        <w:pPr>
          <w:ind w:left="4722" w:hanging="2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992DD2E">
        <w:start w:val="1"/>
        <w:numFmt w:val="bullet"/>
        <w:lvlText w:val="o"/>
        <w:lvlJc w:val="left"/>
        <w:pPr>
          <w:ind w:left="5442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40AE264">
        <w:start w:val="1"/>
        <w:numFmt w:val="bullet"/>
        <w:lvlText w:val="▪"/>
        <w:lvlJc w:val="left"/>
        <w:pPr>
          <w:ind w:left="6162" w:hanging="2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6" w16cid:durableId="223952593">
    <w:abstractNumId w:val="31"/>
  </w:num>
  <w:num w:numId="47" w16cid:durableId="1101338481">
    <w:abstractNumId w:val="35"/>
  </w:num>
  <w:num w:numId="48" w16cid:durableId="1217543927">
    <w:abstractNumId w:val="5"/>
  </w:num>
  <w:num w:numId="49" w16cid:durableId="1642269721">
    <w:abstractNumId w:val="36"/>
  </w:num>
  <w:num w:numId="50" w16cid:durableId="1408720653">
    <w:abstractNumId w:val="18"/>
  </w:num>
  <w:num w:numId="51" w16cid:durableId="1810515836">
    <w:abstractNumId w:val="0"/>
  </w:num>
  <w:num w:numId="52" w16cid:durableId="1599365623">
    <w:abstractNumId w:val="0"/>
    <w:lvlOverride w:ilvl="0">
      <w:lvl w:ilvl="0" w:tplc="50729EAA">
        <w:start w:val="1"/>
        <w:numFmt w:val="decimal"/>
        <w:lvlText w:val="%1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14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149ABE">
        <w:start w:val="1"/>
        <w:numFmt w:val="lowerLetter"/>
        <w:lvlText w:val="%2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21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04DDEE">
        <w:start w:val="1"/>
        <w:numFmt w:val="lowerRoman"/>
        <w:lvlText w:val="%3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286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526FAE">
        <w:start w:val="1"/>
        <w:numFmt w:val="decimal"/>
        <w:lvlText w:val="%4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35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9CAD60">
        <w:start w:val="1"/>
        <w:numFmt w:val="lowerLetter"/>
        <w:lvlText w:val="%5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43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E4DEE2">
        <w:start w:val="1"/>
        <w:numFmt w:val="lowerRoman"/>
        <w:lvlText w:val="%6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502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1A1ED6">
        <w:start w:val="1"/>
        <w:numFmt w:val="decimal"/>
        <w:lvlText w:val="%7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57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D43200">
        <w:start w:val="1"/>
        <w:numFmt w:val="lowerLetter"/>
        <w:lvlText w:val="%8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64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BC89BE">
        <w:start w:val="1"/>
        <w:numFmt w:val="lowerRoman"/>
        <w:lvlText w:val="%9."/>
        <w:lvlJc w:val="left"/>
        <w:pPr>
          <w:tabs>
            <w:tab w:val="left" w:pos="220"/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20"/>
          </w:tabs>
          <w:ind w:left="7188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409425134">
    <w:abstractNumId w:val="38"/>
  </w:num>
  <w:num w:numId="54" w16cid:durableId="1699888165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25"/>
    <w:rsid w:val="0002133C"/>
    <w:rsid w:val="00062924"/>
    <w:rsid w:val="0008560B"/>
    <w:rsid w:val="000A3113"/>
    <w:rsid w:val="000A4BA5"/>
    <w:rsid w:val="001144E6"/>
    <w:rsid w:val="001938AA"/>
    <w:rsid w:val="001A4724"/>
    <w:rsid w:val="00224125"/>
    <w:rsid w:val="00254D2E"/>
    <w:rsid w:val="00255174"/>
    <w:rsid w:val="00287FDC"/>
    <w:rsid w:val="00291BF0"/>
    <w:rsid w:val="00291D38"/>
    <w:rsid w:val="002B1A21"/>
    <w:rsid w:val="00313840"/>
    <w:rsid w:val="003344DD"/>
    <w:rsid w:val="00335B82"/>
    <w:rsid w:val="003E6616"/>
    <w:rsid w:val="004A180F"/>
    <w:rsid w:val="004E707F"/>
    <w:rsid w:val="00513CC9"/>
    <w:rsid w:val="00520D0E"/>
    <w:rsid w:val="00546BB9"/>
    <w:rsid w:val="005B389C"/>
    <w:rsid w:val="00606B51"/>
    <w:rsid w:val="00607002"/>
    <w:rsid w:val="00623104"/>
    <w:rsid w:val="00681452"/>
    <w:rsid w:val="00705520"/>
    <w:rsid w:val="00707B3A"/>
    <w:rsid w:val="00721E7A"/>
    <w:rsid w:val="00746372"/>
    <w:rsid w:val="0077294F"/>
    <w:rsid w:val="00786257"/>
    <w:rsid w:val="0079665D"/>
    <w:rsid w:val="00797F2D"/>
    <w:rsid w:val="007B41AA"/>
    <w:rsid w:val="007B79E9"/>
    <w:rsid w:val="007C2409"/>
    <w:rsid w:val="007D5084"/>
    <w:rsid w:val="0083432B"/>
    <w:rsid w:val="008764B1"/>
    <w:rsid w:val="008A338C"/>
    <w:rsid w:val="008D1602"/>
    <w:rsid w:val="009161BB"/>
    <w:rsid w:val="009452D2"/>
    <w:rsid w:val="00984140"/>
    <w:rsid w:val="009C454A"/>
    <w:rsid w:val="009D1B59"/>
    <w:rsid w:val="00A02ED0"/>
    <w:rsid w:val="00A05F44"/>
    <w:rsid w:val="00A2088E"/>
    <w:rsid w:val="00AB4E52"/>
    <w:rsid w:val="00AC1FE3"/>
    <w:rsid w:val="00AD67D2"/>
    <w:rsid w:val="00B236AF"/>
    <w:rsid w:val="00B25BE0"/>
    <w:rsid w:val="00B47673"/>
    <w:rsid w:val="00B878EC"/>
    <w:rsid w:val="00BD2E2E"/>
    <w:rsid w:val="00BF5B22"/>
    <w:rsid w:val="00C01871"/>
    <w:rsid w:val="00C65FA6"/>
    <w:rsid w:val="00C67FC0"/>
    <w:rsid w:val="00C73F93"/>
    <w:rsid w:val="00CE6FE4"/>
    <w:rsid w:val="00D260CC"/>
    <w:rsid w:val="00DA7112"/>
    <w:rsid w:val="00DD4675"/>
    <w:rsid w:val="00DF6B1E"/>
    <w:rsid w:val="00E240A8"/>
    <w:rsid w:val="00E4371D"/>
    <w:rsid w:val="00EC4433"/>
    <w:rsid w:val="00ED2C6A"/>
    <w:rsid w:val="00EE2765"/>
    <w:rsid w:val="00F1035F"/>
    <w:rsid w:val="00F15560"/>
    <w:rsid w:val="00F15F69"/>
    <w:rsid w:val="00F226D6"/>
    <w:rsid w:val="00F570B4"/>
    <w:rsid w:val="00F608D7"/>
    <w:rsid w:val="00F7441A"/>
    <w:rsid w:val="00FB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02F0AA"/>
  <w15:docId w15:val="{8599C9D4-8D6C-4CF7-90B9-FE727C45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1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100" w:after="240" w:line="23" w:lineRule="atLeast"/>
      <w:outlineLvl w:val="1"/>
    </w:pPr>
    <w:rPr>
      <w:rFonts w:ascii="Calibri Light" w:eastAsia="Calibri Light" w:hAnsi="Calibri Light" w:cs="Calibri Light"/>
      <w:color w:val="2F5496"/>
      <w:kern w:val="2"/>
      <w:sz w:val="26"/>
      <w:szCs w:val="26"/>
      <w:u w:color="2F5496"/>
    </w:rPr>
  </w:style>
  <w:style w:type="paragraph" w:styleId="Nagwek3">
    <w:name w:val="heading 3"/>
    <w:next w:val="Normalny"/>
    <w:uiPriority w:val="9"/>
    <w:unhideWhenUsed/>
    <w:qFormat/>
    <w:pPr>
      <w:keepNext/>
      <w:keepLines/>
      <w:spacing w:before="40" w:after="160" w:line="259" w:lineRule="auto"/>
      <w:outlineLvl w:val="2"/>
    </w:pPr>
    <w:rPr>
      <w:rFonts w:ascii="Calibri Light" w:eastAsia="Calibri Light" w:hAnsi="Calibri Light" w:cs="Calibri Light"/>
      <w:color w:val="1F3763"/>
      <w:kern w:val="2"/>
      <w:sz w:val="24"/>
      <w:szCs w:val="24"/>
      <w:u w:color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Spistreci1">
    <w:name w:val="toc 1"/>
    <w:pPr>
      <w:tabs>
        <w:tab w:val="left" w:pos="880"/>
        <w:tab w:val="right" w:leader="dot" w:pos="9000"/>
      </w:tabs>
      <w:spacing w:after="100" w:line="259" w:lineRule="auto"/>
      <w:ind w:left="440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paragraph" w:styleId="Spistreci2">
    <w:name w:val="toc 2"/>
    <w:uiPriority w:val="39"/>
    <w:pPr>
      <w:tabs>
        <w:tab w:val="right" w:leader="dot" w:pos="9000"/>
      </w:tabs>
      <w:spacing w:after="100" w:line="259" w:lineRule="auto"/>
      <w:ind w:left="440"/>
    </w:pPr>
    <w:rPr>
      <w:rFonts w:ascii="Calibri" w:eastAsia="Calibri" w:hAnsi="Calibri" w:cs="Calibri"/>
      <w:color w:val="000000"/>
      <w:kern w:val="2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2F5496"/>
      <w:u w:val="single" w:color="2F5496"/>
    </w:rPr>
  </w:style>
  <w:style w:type="numbering" w:customStyle="1" w:styleId="Zaimportowanystyl100">
    <w:name w:val="Zaimportowany styl 1.0"/>
    <w:pPr>
      <w:numPr>
        <w:numId w:val="6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numbering" w:customStyle="1" w:styleId="Zaimportowanystyl7">
    <w:name w:val="Zaimportowany styl 7"/>
    <w:pPr>
      <w:numPr>
        <w:numId w:val="21"/>
      </w:numPr>
    </w:pPr>
  </w:style>
  <w:style w:type="numbering" w:customStyle="1" w:styleId="Zaimportowanystyl8">
    <w:name w:val="Zaimportowany styl 8"/>
    <w:pPr>
      <w:numPr>
        <w:numId w:val="24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3"/>
      </w:numPr>
    </w:pPr>
  </w:style>
  <w:style w:type="numbering" w:customStyle="1" w:styleId="Zaimportowanystyl12">
    <w:name w:val="Zaimportowany styl 12"/>
    <w:pPr>
      <w:numPr>
        <w:numId w:val="35"/>
      </w:numPr>
    </w:pPr>
  </w:style>
  <w:style w:type="numbering" w:customStyle="1" w:styleId="Zaimportowanystyl20">
    <w:name w:val="Zaimportowany styl 2.0"/>
    <w:pPr>
      <w:numPr>
        <w:numId w:val="37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numbering" w:customStyle="1" w:styleId="Zaimportowanystyl14">
    <w:name w:val="Zaimportowany styl 14"/>
    <w:pPr>
      <w:numPr>
        <w:numId w:val="41"/>
      </w:numPr>
    </w:pPr>
  </w:style>
  <w:style w:type="numbering" w:customStyle="1" w:styleId="Zaimportowanystyl15">
    <w:name w:val="Zaimportowany styl 15"/>
    <w:pPr>
      <w:numPr>
        <w:numId w:val="43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30">
    <w:name w:val="Zaimportowany styl 3.0"/>
    <w:pPr>
      <w:numPr>
        <w:numId w:val="48"/>
      </w:numPr>
    </w:pPr>
  </w:style>
  <w:style w:type="paragraph" w:customStyle="1" w:styleId="DomylneA">
    <w:name w:val="Domyślne A"/>
    <w:pPr>
      <w:spacing w:before="160" w:after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40">
    <w:name w:val="Zaimportowany styl 4.0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0187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1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kern w:val="0"/>
      <w:bdr w:val="none" w:sz="0" w:space="0" w:color="auto"/>
    </w:rPr>
  </w:style>
  <w:style w:type="paragraph" w:styleId="Spistreci3">
    <w:name w:val="toc 3"/>
    <w:basedOn w:val="Normalny"/>
    <w:next w:val="Normalny"/>
    <w:autoRedefine/>
    <w:uiPriority w:val="39"/>
    <w:unhideWhenUsed/>
    <w:rsid w:val="00C01871"/>
    <w:pPr>
      <w:spacing w:after="100"/>
      <w:ind w:left="440"/>
    </w:pPr>
  </w:style>
  <w:style w:type="paragraph" w:styleId="Poprawka">
    <w:name w:val="Revision"/>
    <w:hidden/>
    <w:uiPriority w:val="99"/>
    <w:semiHidden/>
    <w:rsid w:val="007055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5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520"/>
    <w:rPr>
      <w:rFonts w:ascii="Calibri" w:hAnsi="Calibri" w:cs="Arial Unicode MS"/>
      <w:color w:val="000000"/>
      <w:kern w:val="2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5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520"/>
    <w:rPr>
      <w:rFonts w:ascii="Calibri" w:hAnsi="Calibri" w:cs="Arial Unicode MS"/>
      <w:b/>
      <w:bCs/>
      <w:color w:val="000000"/>
      <w:kern w:val="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4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140"/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cf01">
    <w:name w:val="cf01"/>
    <w:basedOn w:val="Domylnaczcionkaakapitu"/>
    <w:rsid w:val="000856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wnload.xsp/WDU20180001668/U/D20181668Lj.pdf" TargetMode="External"/><Relationship Id="rId13" Type="http://schemas.openxmlformats.org/officeDocument/2006/relationships/hyperlink" Target="https://isap.sejm.gov.pl/isap.nsf/download.xsp/WDU20190002019/U/D20192019Lj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2011209124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wnload.xsp/WDU20230000511/O/D2023051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sap.sejm.gov.pl/isap.nsf/download.xsp/WDU20190000848/T/D20190848L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wnload.xsp/WDU20190001696/T/D20191696L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08EB-2A9A-4718-985C-FE396F2C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19</Pages>
  <Words>6372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Marciniak</dc:creator>
  <cp:lastModifiedBy>Anna Marciniak</cp:lastModifiedBy>
  <cp:revision>4</cp:revision>
  <cp:lastPrinted>2023-08-30T08:40:00Z</cp:lastPrinted>
  <dcterms:created xsi:type="dcterms:W3CDTF">2023-09-10T13:00:00Z</dcterms:created>
  <dcterms:modified xsi:type="dcterms:W3CDTF">2023-09-10T17:44:00Z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2023-09-10T17:44:23Z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6f827a1b-d0c7-4a49-9eaf-66dee0aa16d9</vt:lpwstr>
  </property>
  <property fmtid="{D5CDD505-2E9C-101B-9397-08002B2CF9AE}" pid="8" name="MSIP_Label_8b72bd6a-5f70-4f6e-be10-f745206756ad_ContentBits">
    <vt:lpwstr>2</vt:lpwstr>
  </property>
</Properties>
</file>