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B2E" w:rsidRDefault="004C6AE0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do uchwały nr 10 </w:t>
      </w:r>
    </w:p>
    <w:p w:rsidR="00BF0B2E" w:rsidRDefault="004C6AE0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:rsidR="00BF0B2E" w:rsidRDefault="004C6AE0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bookmarkStart w:id="0" w:name="__DdeLink__523_2554509279"/>
      <w:bookmarkStart w:id="1" w:name="__DdeLink__1342_1957463298"/>
      <w:r>
        <w:rPr>
          <w:rFonts w:ascii="Arial" w:hAnsi="Arial" w:cs="Arial"/>
          <w:b/>
          <w:sz w:val="20"/>
          <w:szCs w:val="20"/>
        </w:rPr>
        <w:t xml:space="preserve">z dnia 16 kwietnia 2020 r.  </w:t>
      </w:r>
      <w:bookmarkEnd w:id="0"/>
      <w:bookmarkEnd w:id="1"/>
    </w:p>
    <w:p w:rsidR="00BF0B2E" w:rsidRDefault="00BF0B2E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:rsidR="00BF0B2E" w:rsidRDefault="004C6AE0">
      <w:pPr>
        <w:pStyle w:val="Nagwek1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Raportu z postępu rzeczowo-finansowego projektu informatycznego </w:t>
      </w:r>
    </w:p>
    <w:p w:rsidR="00BF0B2E" w:rsidRDefault="004C6AE0">
      <w:pPr>
        <w:pStyle w:val="Nagwek11"/>
        <w:spacing w:before="0" w:after="120" w:line="240" w:lineRule="auto"/>
        <w:jc w:val="center"/>
      </w:pPr>
      <w:r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1B0BEC">
        <w:rPr>
          <w:rFonts w:ascii="Arial" w:hAnsi="Arial" w:cs="Arial"/>
          <w:b/>
          <w:color w:val="auto"/>
          <w:sz w:val="24"/>
          <w:szCs w:val="24"/>
        </w:rPr>
        <w:t>II</w:t>
      </w:r>
      <w:r>
        <w:rPr>
          <w:rFonts w:ascii="Arial" w:hAnsi="Arial" w:cs="Arial"/>
          <w:b/>
          <w:color w:val="auto"/>
          <w:sz w:val="24"/>
          <w:szCs w:val="24"/>
        </w:rPr>
        <w:t xml:space="preserve"> kwartał 2021 roku</w:t>
      </w:r>
    </w:p>
    <w:p w:rsidR="00BF0B2E" w:rsidRDefault="004C6AE0">
      <w:pPr>
        <w:spacing w:after="360"/>
        <w:jc w:val="center"/>
        <w:rPr>
          <w:rFonts w:ascii="Arial" w:hAnsi="Arial" w:cs="Arial"/>
        </w:rPr>
      </w:pPr>
      <w:r>
        <w:rPr>
          <w:rFonts w:ascii="Arial" w:hAnsi="Arial" w:cs="Arial"/>
        </w:rPr>
        <w:t>(dane należy wskazać w zakresie odnoszącym się do okresu sprawozdawczego)</w:t>
      </w:r>
    </w:p>
    <w:tbl>
      <w:tblPr>
        <w:tblW w:w="5000" w:type="pct"/>
        <w:tblLook w:val="01E0"/>
      </w:tblPr>
      <w:tblGrid>
        <w:gridCol w:w="2756"/>
        <w:gridCol w:w="6534"/>
      </w:tblGrid>
      <w:tr w:rsidR="00BF0B2E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BF0B2E" w:rsidRDefault="004C6AE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F0B2E" w:rsidRDefault="004C6AE0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>
              <w:rPr>
                <w:rFonts w:ascii="Arial" w:hAnsi="Arial" w:cs="Arial"/>
                <w:i/>
                <w:sz w:val="20"/>
              </w:rPr>
              <w:t>Cyfrowe udostępnienie zasobów Muzeum Sztuki w Łodzi</w:t>
            </w:r>
          </w:p>
        </w:tc>
      </w:tr>
      <w:tr w:rsidR="00BF0B2E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BF0B2E" w:rsidRDefault="004C6AE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F0B2E" w:rsidRDefault="004C6AE0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Minister Kultury, Dziedzictwa Narodowego i Sportu</w:t>
            </w:r>
          </w:p>
        </w:tc>
      </w:tr>
      <w:tr w:rsidR="00BF0B2E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BF0B2E" w:rsidRDefault="004C6AE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F0B2E" w:rsidRDefault="004C6AE0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Muzeum Sztuki w Łodzi</w:t>
            </w:r>
          </w:p>
        </w:tc>
      </w:tr>
      <w:tr w:rsidR="00BF0B2E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BF0B2E" w:rsidRDefault="004C6AE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F0B2E" w:rsidRDefault="00BF0B2E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  <w:tr w:rsidR="00BF0B2E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BF0B2E" w:rsidRDefault="004C6AE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F0B2E" w:rsidRDefault="004C6AE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Program Operacyjny Polska Cyfrowa, Oś priorytetowa II E-administracja i otwarty urząd, 2.3 Cyfrowa dostępność i użyteczność informacji sektora p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>
              <w:rPr>
                <w:rFonts w:ascii="Arial" w:hAnsi="Arial" w:cs="Arial"/>
                <w:sz w:val="18"/>
                <w:szCs w:val="18"/>
              </w:rPr>
              <w:t>blicznego, 2.3.2 Cyfrowe udostępnienie zasobów kultury</w:t>
            </w:r>
          </w:p>
          <w:p w:rsidR="00BF0B2E" w:rsidRDefault="004C6AE0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Budżet Państwa w ramach wydatków cz.24 i cz.83 rezerwy celowej poz. 8</w:t>
            </w:r>
          </w:p>
        </w:tc>
      </w:tr>
      <w:tr w:rsidR="00BF0B2E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BF0B2E" w:rsidRDefault="004C6AE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BF0B2E" w:rsidRDefault="004C6AE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F0B2E" w:rsidRDefault="004C6AE0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4 994 130,11 zł</w:t>
            </w:r>
          </w:p>
        </w:tc>
      </w:tr>
      <w:tr w:rsidR="00BF0B2E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BF0B2E" w:rsidRDefault="004C6AE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</w:t>
            </w: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>
              <w:rPr>
                <w:rFonts w:ascii="Arial" w:hAnsi="Arial" w:cs="Arial"/>
                <w:b/>
                <w:sz w:val="24"/>
                <w:szCs w:val="24"/>
              </w:rPr>
              <w:t>jektu - wydatki kwal</w:t>
            </w:r>
            <w:r>
              <w:rPr>
                <w:rFonts w:ascii="Arial" w:hAnsi="Arial" w:cs="Arial"/>
                <w:b/>
                <w:sz w:val="24"/>
                <w:szCs w:val="24"/>
              </w:rPr>
              <w:t>i</w:t>
            </w:r>
            <w:r>
              <w:rPr>
                <w:rFonts w:ascii="Arial" w:hAnsi="Arial" w:cs="Arial"/>
                <w:b/>
                <w:sz w:val="24"/>
                <w:szCs w:val="24"/>
              </w:rPr>
              <w:t>fikowalne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F0B2E" w:rsidRDefault="004C6AE0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4 432 737,49 zł</w:t>
            </w:r>
          </w:p>
        </w:tc>
      </w:tr>
      <w:tr w:rsidR="00BF0B2E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BF0B2E" w:rsidRDefault="004C6AE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:rsidR="00BF0B2E" w:rsidRDefault="004C6AE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F0B2E" w:rsidRDefault="004C6AE0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01.08.2020 – 31.07.2023 r.</w:t>
            </w:r>
          </w:p>
        </w:tc>
      </w:tr>
    </w:tbl>
    <w:p w:rsidR="00BF0B2E" w:rsidRDefault="004C6AE0">
      <w:pPr>
        <w:pStyle w:val="Nagwek21"/>
        <w:numPr>
          <w:ilvl w:val="0"/>
          <w:numId w:val="1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Otoczenie prawne </w:t>
      </w:r>
      <w:r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:rsidR="00BF0B2E" w:rsidRDefault="004C6AE0">
      <w:pPr>
        <w:pStyle w:val="Nagwek31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auto"/>
          <w:sz w:val="18"/>
          <w:szCs w:val="18"/>
        </w:rPr>
        <w:t>Nie dotyczy</w:t>
      </w:r>
      <w:r>
        <w:rPr>
          <w:rFonts w:ascii="Arial" w:eastAsiaTheme="minorHAnsi" w:hAnsi="Arial" w:cs="Arial"/>
          <w:color w:val="auto"/>
          <w:sz w:val="18"/>
          <w:szCs w:val="18"/>
        </w:rPr>
        <w:t>.</w:t>
      </w:r>
    </w:p>
    <w:p w:rsidR="00BF0B2E" w:rsidRDefault="004C6AE0">
      <w:pPr>
        <w:pStyle w:val="Nagwek21"/>
        <w:numPr>
          <w:ilvl w:val="0"/>
          <w:numId w:val="1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Postęp finansowy</w:t>
      </w:r>
    </w:p>
    <w:tbl>
      <w:tblPr>
        <w:tblStyle w:val="Tabela-Siatka"/>
        <w:tblW w:w="9634" w:type="dxa"/>
        <w:tblLook w:val="04A0"/>
      </w:tblPr>
      <w:tblGrid>
        <w:gridCol w:w="1335"/>
        <w:gridCol w:w="6225"/>
        <w:gridCol w:w="2074"/>
      </w:tblGrid>
      <w:tr w:rsidR="00BF0B2E">
        <w:trPr>
          <w:tblHeader/>
        </w:trPr>
        <w:tc>
          <w:tcPr>
            <w:tcW w:w="1335" w:type="dxa"/>
            <w:shd w:val="clear" w:color="auto" w:fill="D0CECE" w:themeFill="background2" w:themeFillShade="E6"/>
            <w:vAlign w:val="center"/>
          </w:tcPr>
          <w:p w:rsidR="00BF0B2E" w:rsidRDefault="004C6AE0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Czas real</w:t>
            </w: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>zacji pr</w:t>
            </w:r>
            <w:r>
              <w:rPr>
                <w:rFonts w:ascii="Arial" w:hAnsi="Arial" w:cs="Arial"/>
                <w:b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sz w:val="20"/>
                <w:szCs w:val="20"/>
              </w:rPr>
              <w:t>jektu</w:t>
            </w:r>
          </w:p>
        </w:tc>
        <w:tc>
          <w:tcPr>
            <w:tcW w:w="6225" w:type="dxa"/>
            <w:shd w:val="clear" w:color="auto" w:fill="D0CECE" w:themeFill="background2" w:themeFillShade="E6"/>
            <w:vAlign w:val="center"/>
          </w:tcPr>
          <w:p w:rsidR="00BF0B2E" w:rsidRDefault="004C6AE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2074" w:type="dxa"/>
            <w:shd w:val="clear" w:color="auto" w:fill="D0CECE" w:themeFill="background2" w:themeFillShade="E6"/>
            <w:vAlign w:val="center"/>
          </w:tcPr>
          <w:p w:rsidR="00BF0B2E" w:rsidRDefault="004C6AE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BF0B2E">
        <w:tc>
          <w:tcPr>
            <w:tcW w:w="1335" w:type="dxa"/>
            <w:shd w:val="clear" w:color="auto" w:fill="auto"/>
          </w:tcPr>
          <w:p w:rsidR="00BF0B2E" w:rsidRDefault="001B0BEC">
            <w:pPr>
              <w:spacing w:after="0" w:line="240" w:lineRule="auto"/>
            </w:pPr>
            <w:r>
              <w:rPr>
                <w:rFonts w:ascii="Arial" w:hAnsi="Arial" w:cs="Calibri"/>
              </w:rPr>
              <w:t xml:space="preserve">30,55 </w:t>
            </w:r>
            <w:r w:rsidR="004C6AE0">
              <w:rPr>
                <w:rFonts w:ascii="Arial" w:hAnsi="Arial" w:cs="Calibri"/>
              </w:rPr>
              <w:t>%</w:t>
            </w:r>
          </w:p>
        </w:tc>
        <w:tc>
          <w:tcPr>
            <w:tcW w:w="6225" w:type="dxa"/>
            <w:shd w:val="clear" w:color="auto" w:fill="auto"/>
          </w:tcPr>
          <w:p w:rsidR="00BF0B2E" w:rsidRDefault="004C6AE0">
            <w:pPr>
              <w:pStyle w:val="Akapitzlist"/>
              <w:numPr>
                <w:ilvl w:val="3"/>
                <w:numId w:val="1"/>
              </w:num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24,03 %</w:t>
            </w:r>
          </w:p>
          <w:p w:rsidR="00BF0B2E" w:rsidRDefault="004C6AE0">
            <w:pPr>
              <w:pStyle w:val="Akapitzlist"/>
              <w:numPr>
                <w:ilvl w:val="3"/>
                <w:numId w:val="1"/>
              </w:num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23,83 %</w:t>
            </w:r>
          </w:p>
          <w:p w:rsidR="00BF0B2E" w:rsidRDefault="004C6AE0">
            <w:pPr>
              <w:pStyle w:val="Akapitzlist"/>
              <w:numPr>
                <w:ilvl w:val="3"/>
                <w:numId w:val="1"/>
              </w:num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2074" w:type="dxa"/>
            <w:shd w:val="clear" w:color="auto" w:fill="auto"/>
          </w:tcPr>
          <w:p w:rsidR="00BF0B2E" w:rsidRDefault="004C6AE0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1. 24,03 %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:rsidR="00BF0B2E" w:rsidRDefault="00BF0B2E">
      <w:pPr>
        <w:pStyle w:val="Nagwek31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:rsidR="00BF0B2E" w:rsidRDefault="004C6AE0">
      <w:pPr>
        <w:pStyle w:val="Nagwek31"/>
        <w:numPr>
          <w:ilvl w:val="0"/>
          <w:numId w:val="1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Postęp rzeczowy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5000 znaków&gt;</w:t>
      </w:r>
    </w:p>
    <w:p w:rsidR="00BF0B2E" w:rsidRDefault="004C6AE0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/>
      </w:tblPr>
      <w:tblGrid>
        <w:gridCol w:w="2217"/>
        <w:gridCol w:w="1617"/>
        <w:gridCol w:w="1306"/>
        <w:gridCol w:w="1860"/>
        <w:gridCol w:w="2639"/>
      </w:tblGrid>
      <w:tr w:rsidR="00BF0B2E">
        <w:trPr>
          <w:tblHeader/>
        </w:trPr>
        <w:tc>
          <w:tcPr>
            <w:tcW w:w="2216" w:type="dxa"/>
            <w:shd w:val="clear" w:color="auto" w:fill="D0CECE" w:themeFill="background2" w:themeFillShade="E6"/>
          </w:tcPr>
          <w:p w:rsidR="00BF0B2E" w:rsidRDefault="004C6AE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616" w:type="dxa"/>
            <w:shd w:val="clear" w:color="auto" w:fill="D0CECE" w:themeFill="background2" w:themeFillShade="E6"/>
          </w:tcPr>
          <w:p w:rsidR="00BF0B2E" w:rsidRDefault="004C6AE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>
              <w:rPr>
                <w:rStyle w:val="Zakotwicze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:rsidR="00BF0B2E" w:rsidRDefault="004C6AE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860" w:type="dxa"/>
            <w:shd w:val="clear" w:color="auto" w:fill="D0CECE" w:themeFill="background2" w:themeFillShade="E6"/>
          </w:tcPr>
          <w:p w:rsidR="00BF0B2E" w:rsidRDefault="004C6AE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Rzeczywisty termin osiągni</w:t>
            </w:r>
            <w:r>
              <w:rPr>
                <w:rFonts w:ascii="Arial" w:hAnsi="Arial" w:cs="Arial"/>
                <w:b/>
                <w:sz w:val="20"/>
                <w:szCs w:val="20"/>
              </w:rPr>
              <w:t>ę</w:t>
            </w:r>
            <w:r>
              <w:rPr>
                <w:rFonts w:ascii="Arial" w:hAnsi="Arial" w:cs="Arial"/>
                <w:b/>
                <w:sz w:val="20"/>
                <w:szCs w:val="20"/>
              </w:rPr>
              <w:t>cia</w:t>
            </w:r>
          </w:p>
        </w:tc>
        <w:tc>
          <w:tcPr>
            <w:tcW w:w="2641" w:type="dxa"/>
            <w:shd w:val="clear" w:color="auto" w:fill="D0CECE" w:themeFill="background2" w:themeFillShade="E6"/>
          </w:tcPr>
          <w:p w:rsidR="00BF0B2E" w:rsidRDefault="004C6AE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Status realizacji kami</w:t>
            </w:r>
            <w:r>
              <w:rPr>
                <w:rFonts w:ascii="Arial" w:hAnsi="Arial" w:cs="Arial"/>
                <w:b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sz w:val="20"/>
                <w:szCs w:val="20"/>
              </w:rPr>
              <w:t>nia milowego</w:t>
            </w:r>
          </w:p>
        </w:tc>
      </w:tr>
      <w:tr w:rsidR="00BF0B2E">
        <w:tc>
          <w:tcPr>
            <w:tcW w:w="2216" w:type="dxa"/>
            <w:shd w:val="clear" w:color="auto" w:fill="auto"/>
          </w:tcPr>
          <w:p w:rsidR="00BF0B2E" w:rsidRDefault="004C6AE0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Opracowanie Studium Wykonalności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BF0B2E" w:rsidRDefault="004C6AE0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Adaptacja serwerowni i zakup wyposażenia – protokół odbioru prac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4C6AE0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Zakup i zainstalowanie nowego programu do ewidencji zasobów – protokół odbioru prac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4C6AE0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Zakończenie prac pr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gramistycznych dotycz</w:t>
            </w:r>
            <w:r>
              <w:rPr>
                <w:rFonts w:ascii="Arial" w:hAnsi="Arial" w:cs="Arial"/>
                <w:sz w:val="18"/>
                <w:szCs w:val="18"/>
              </w:rPr>
              <w:t>ą</w:t>
            </w:r>
            <w:r>
              <w:rPr>
                <w:rFonts w:ascii="Arial" w:hAnsi="Arial" w:cs="Arial"/>
                <w:sz w:val="18"/>
                <w:szCs w:val="18"/>
              </w:rPr>
              <w:t>cych portalu on-line-protokół odbioru prac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4C6AE0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Zakup sprzętu i opr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gramowania do praco</w:t>
            </w:r>
            <w:r>
              <w:rPr>
                <w:rFonts w:ascii="Arial" w:hAnsi="Arial" w:cs="Arial"/>
                <w:sz w:val="18"/>
                <w:szCs w:val="18"/>
              </w:rPr>
              <w:t>w</w:t>
            </w:r>
            <w:r>
              <w:rPr>
                <w:rFonts w:ascii="Arial" w:hAnsi="Arial" w:cs="Arial"/>
                <w:sz w:val="18"/>
                <w:szCs w:val="18"/>
              </w:rPr>
              <w:t>ni digitalizacji – protokół odbioru prac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</w:p>
          <w:p w:rsidR="00BF0B2E" w:rsidRDefault="004C6AE0">
            <w:pPr>
              <w:spacing w:after="0" w:line="240" w:lineRule="auto"/>
            </w:pPr>
            <w:r>
              <w:rPr>
                <w:rFonts w:ascii="Arial" w:hAnsi="Arial"/>
                <w:sz w:val="18"/>
                <w:szCs w:val="18"/>
              </w:rPr>
              <w:t>Zakup i dostawa sprzętu informatycznego – pr</w:t>
            </w:r>
            <w:r>
              <w:rPr>
                <w:rFonts w:ascii="Arial" w:hAnsi="Arial"/>
                <w:sz w:val="18"/>
                <w:szCs w:val="18"/>
              </w:rPr>
              <w:t>o</w:t>
            </w:r>
            <w:r>
              <w:rPr>
                <w:rFonts w:ascii="Arial" w:hAnsi="Arial"/>
                <w:sz w:val="18"/>
                <w:szCs w:val="18"/>
              </w:rPr>
              <w:t>tokół odbioru prac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4C6AE0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Digitalizacja zasobów - raport końcowy pods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>
              <w:rPr>
                <w:rFonts w:ascii="Arial" w:hAnsi="Arial" w:cs="Arial"/>
                <w:sz w:val="18"/>
                <w:szCs w:val="18"/>
              </w:rPr>
              <w:t>mowujący realizację projektu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BF0B2E" w:rsidRDefault="004C6AE0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 xml:space="preserve">Upowszechnianie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zdig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z w:val="18"/>
                <w:szCs w:val="18"/>
              </w:rPr>
              <w:t>talizowanych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zasobów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Spotkanie podsumow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>
              <w:rPr>
                <w:rFonts w:ascii="Arial" w:hAnsi="Arial" w:cs="Arial"/>
                <w:sz w:val="18"/>
                <w:szCs w:val="18"/>
              </w:rPr>
              <w:t>jące/ upowszechniające platformę - Raport ko</w:t>
            </w:r>
            <w:r>
              <w:rPr>
                <w:rFonts w:ascii="Arial" w:hAnsi="Arial" w:cs="Arial"/>
                <w:sz w:val="18"/>
                <w:szCs w:val="18"/>
              </w:rPr>
              <w:t>ń</w:t>
            </w:r>
            <w:r>
              <w:rPr>
                <w:rFonts w:ascii="Arial" w:hAnsi="Arial" w:cs="Arial"/>
                <w:sz w:val="18"/>
                <w:szCs w:val="18"/>
              </w:rPr>
              <w:t>cowe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4C6AE0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Konferencja podsum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wująca projekt</w:t>
            </w:r>
          </w:p>
          <w:p w:rsidR="00BF0B2E" w:rsidRDefault="004C6AE0">
            <w:pPr>
              <w:spacing w:after="0" w:line="240" w:lineRule="auto"/>
            </w:pPr>
            <w:r>
              <w:rPr>
                <w:rFonts w:ascii="Arial" w:hAnsi="Arial"/>
                <w:color w:val="000000"/>
                <w:sz w:val="18"/>
                <w:szCs w:val="18"/>
              </w:rPr>
              <w:t>Raport podsumowujący działania informacy</w:t>
            </w:r>
            <w:r>
              <w:rPr>
                <w:rFonts w:ascii="Arial" w:hAnsi="Arial"/>
                <w:color w:val="000000"/>
                <w:sz w:val="18"/>
                <w:szCs w:val="18"/>
              </w:rPr>
              <w:t>j</w:t>
            </w:r>
            <w:r>
              <w:rPr>
                <w:rFonts w:ascii="Arial" w:hAnsi="Arial"/>
                <w:color w:val="000000"/>
                <w:sz w:val="18"/>
                <w:szCs w:val="18"/>
              </w:rPr>
              <w:t>no/promocyjne</w:t>
            </w:r>
          </w:p>
        </w:tc>
        <w:tc>
          <w:tcPr>
            <w:tcW w:w="1616" w:type="dxa"/>
            <w:shd w:val="clear" w:color="auto" w:fill="auto"/>
          </w:tcPr>
          <w:p w:rsidR="00BF0B2E" w:rsidRDefault="004C6AE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Nie dotyczy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4C6AE0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4C6AE0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nie dotyczy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4C6AE0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BF0B2E" w:rsidRDefault="004C6AE0">
            <w:pPr>
              <w:spacing w:after="0" w:line="240" w:lineRule="auto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KPI - 5: </w:t>
            </w:r>
            <w:r>
              <w:rPr>
                <w:rFonts w:ascii="Arial" w:hAnsi="Arial" w:cs="Arial"/>
                <w:sz w:val="18"/>
                <w:szCs w:val="18"/>
              </w:rPr>
              <w:t>Liczba pracowni dop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sażonych w sprzęt do digital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z w:val="18"/>
                <w:szCs w:val="18"/>
              </w:rPr>
              <w:t>zacji – wartość docelowa szt.1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4C6AE0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4C6AE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KPI – 3: </w:t>
            </w:r>
            <w:r>
              <w:rPr>
                <w:rFonts w:ascii="Arial" w:hAnsi="Arial" w:cs="Arial"/>
                <w:sz w:val="18"/>
                <w:szCs w:val="18"/>
              </w:rPr>
              <w:t>Liczba podmiotów, które udostępniły on-line informacje sektora public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  <w:r>
              <w:rPr>
                <w:rFonts w:ascii="Arial" w:hAnsi="Arial" w:cs="Arial"/>
                <w:sz w:val="18"/>
                <w:szCs w:val="18"/>
              </w:rPr>
              <w:t>nego - wartość docelowa szt. 1</w:t>
            </w:r>
          </w:p>
          <w:p w:rsidR="00BF0B2E" w:rsidRDefault="004C6AE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KPI – 6:</w:t>
            </w:r>
            <w:r>
              <w:rPr>
                <w:rFonts w:ascii="Arial" w:hAnsi="Arial" w:cs="Arial"/>
                <w:sz w:val="18"/>
                <w:szCs w:val="18"/>
              </w:rPr>
              <w:t xml:space="preserve"> Liczba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zdigitalizowanych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dokumentów zawierających informacje sekt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ra publicznego - wartość docel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wa szt. 1228</w:t>
            </w:r>
          </w:p>
          <w:p w:rsidR="00BF0B2E" w:rsidRDefault="004C6AE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KPI – 1: </w:t>
            </w:r>
            <w:r>
              <w:rPr>
                <w:rFonts w:ascii="Arial" w:hAnsi="Arial" w:cs="Arial"/>
                <w:sz w:val="18"/>
                <w:szCs w:val="18"/>
              </w:rPr>
              <w:t>Liczba udostępnionych on-line dokume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z w:val="18"/>
                <w:szCs w:val="18"/>
              </w:rPr>
              <w:t>tów zawieraj</w:t>
            </w:r>
            <w:r>
              <w:rPr>
                <w:rFonts w:ascii="Arial" w:hAnsi="Arial" w:cs="Arial"/>
                <w:sz w:val="18"/>
                <w:szCs w:val="18"/>
              </w:rPr>
              <w:t>ą</w:t>
            </w:r>
            <w:r>
              <w:rPr>
                <w:rFonts w:ascii="Arial" w:hAnsi="Arial" w:cs="Arial"/>
                <w:sz w:val="18"/>
                <w:szCs w:val="18"/>
              </w:rPr>
              <w:t>cych informacje sektora public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  <w:r>
              <w:rPr>
                <w:rFonts w:ascii="Arial" w:hAnsi="Arial" w:cs="Arial"/>
                <w:sz w:val="18"/>
                <w:szCs w:val="18"/>
              </w:rPr>
              <w:t>nego - wartość docelowa szt. 6150</w:t>
            </w:r>
          </w:p>
          <w:p w:rsidR="00BF0B2E" w:rsidRDefault="004C6AE0">
            <w:pPr>
              <w:spacing w:after="0" w:line="240" w:lineRule="auto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KPI – 7: </w:t>
            </w:r>
            <w:r>
              <w:rPr>
                <w:rFonts w:ascii="Arial" w:hAnsi="Arial" w:cs="Arial"/>
                <w:sz w:val="18"/>
                <w:szCs w:val="18"/>
              </w:rPr>
              <w:t xml:space="preserve">Rozmiar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zdigitalizowanej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informacji sekt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ra publicznego - wartość docel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wa 16 TB</w:t>
            </w:r>
          </w:p>
          <w:p w:rsidR="00BF0B2E" w:rsidRDefault="004C6AE0">
            <w:pPr>
              <w:spacing w:after="0" w:line="240" w:lineRule="auto"/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KPI – 4: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Liczba baz danych ud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stępnionych on-line poprzez API - wartość doc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e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lowa szt. 1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4C6AE0" w:rsidRDefault="004C6AE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4C6AE0" w:rsidRDefault="004C6AE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4C6AE0" w:rsidRDefault="004C6AE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4C6AE0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4C6AE0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306" w:type="dxa"/>
            <w:shd w:val="clear" w:color="auto" w:fill="auto"/>
          </w:tcPr>
          <w:p w:rsidR="00BF0B2E" w:rsidRDefault="004C6AE0">
            <w:pPr>
              <w:spacing w:after="0" w:line="240" w:lineRule="auto"/>
              <w:rPr>
                <w:rFonts w:cs="Arial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09-2019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spacing w:after="0" w:line="240" w:lineRule="auto"/>
              <w:rPr>
                <w:rFonts w:cs="Arial"/>
                <w:lang w:eastAsia="pl-PL"/>
              </w:rPr>
            </w:pPr>
          </w:p>
          <w:p w:rsidR="00BF0B2E" w:rsidRDefault="004C6AE0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4E481D">
              <w:rPr>
                <w:rFonts w:ascii="Arial" w:hAnsi="Arial" w:cs="Arial"/>
                <w:sz w:val="18"/>
                <w:szCs w:val="18"/>
                <w:lang w:eastAsia="pl-PL"/>
              </w:rPr>
              <w:t>7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-2021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4C6AE0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4E481D">
              <w:rPr>
                <w:rFonts w:ascii="Arial" w:hAnsi="Arial" w:cs="Arial"/>
                <w:sz w:val="18"/>
                <w:szCs w:val="18"/>
                <w:lang w:eastAsia="pl-PL"/>
              </w:rPr>
              <w:t>6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-2022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cs="Arial"/>
              </w:rPr>
            </w:pPr>
          </w:p>
          <w:p w:rsidR="00BF0B2E" w:rsidRDefault="00BF0B2E">
            <w:pPr>
              <w:spacing w:after="0" w:line="240" w:lineRule="auto"/>
              <w:rPr>
                <w:rFonts w:cs="Arial"/>
              </w:rPr>
            </w:pPr>
          </w:p>
          <w:p w:rsidR="00BF0B2E" w:rsidRDefault="00BF0B2E">
            <w:pPr>
              <w:spacing w:after="0" w:line="240" w:lineRule="auto"/>
              <w:rPr>
                <w:rFonts w:cs="Arial"/>
              </w:rPr>
            </w:pPr>
          </w:p>
          <w:p w:rsidR="00BF0B2E" w:rsidRDefault="004C6AE0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4E481D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>-2022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cs="Arial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4C6AE0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4E481D"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>-2022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4C6AE0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4E481D"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z w:val="18"/>
                <w:szCs w:val="18"/>
              </w:rPr>
              <w:t>-2022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cs="Arial"/>
              </w:rPr>
            </w:pPr>
          </w:p>
          <w:p w:rsidR="00BF0B2E" w:rsidRDefault="00BF0B2E">
            <w:pPr>
              <w:spacing w:after="0" w:line="240" w:lineRule="auto"/>
              <w:rPr>
                <w:rFonts w:cs="Arial"/>
              </w:rPr>
            </w:pPr>
          </w:p>
          <w:p w:rsidR="00BF0B2E" w:rsidRDefault="00BF0B2E">
            <w:pPr>
              <w:spacing w:after="0" w:line="240" w:lineRule="auto"/>
              <w:rPr>
                <w:rFonts w:cs="Arial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4C6AE0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07-2023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cs="Arial"/>
              </w:rPr>
            </w:pPr>
          </w:p>
          <w:p w:rsidR="00BF0B2E" w:rsidRDefault="00BF0B2E">
            <w:pPr>
              <w:spacing w:after="0" w:line="240" w:lineRule="auto"/>
              <w:rPr>
                <w:rFonts w:cs="Arial"/>
              </w:rPr>
            </w:pPr>
          </w:p>
          <w:p w:rsidR="00BF0B2E" w:rsidRDefault="00BF0B2E">
            <w:pPr>
              <w:spacing w:after="0" w:line="240" w:lineRule="auto"/>
              <w:rPr>
                <w:rFonts w:cs="Arial"/>
              </w:rPr>
            </w:pPr>
          </w:p>
          <w:p w:rsidR="00BF0B2E" w:rsidRDefault="00BF0B2E">
            <w:pPr>
              <w:spacing w:after="0" w:line="240" w:lineRule="auto"/>
              <w:rPr>
                <w:rFonts w:cs="Arial"/>
              </w:rPr>
            </w:pPr>
          </w:p>
          <w:p w:rsidR="00BF0B2E" w:rsidRDefault="00BF0B2E">
            <w:pPr>
              <w:spacing w:after="0" w:line="240" w:lineRule="auto"/>
              <w:rPr>
                <w:rFonts w:cs="Arial"/>
              </w:rPr>
            </w:pPr>
          </w:p>
          <w:p w:rsidR="00BF0B2E" w:rsidRDefault="00BF0B2E">
            <w:pPr>
              <w:spacing w:after="0" w:line="240" w:lineRule="auto"/>
              <w:rPr>
                <w:rFonts w:cs="Arial"/>
              </w:rPr>
            </w:pPr>
          </w:p>
          <w:p w:rsidR="00BF0B2E" w:rsidRDefault="00BF0B2E">
            <w:pPr>
              <w:spacing w:after="0" w:line="240" w:lineRule="auto"/>
              <w:rPr>
                <w:rFonts w:cs="Arial"/>
              </w:rPr>
            </w:pPr>
          </w:p>
          <w:p w:rsidR="00BF0B2E" w:rsidRDefault="00BF0B2E">
            <w:pPr>
              <w:spacing w:after="0" w:line="240" w:lineRule="auto"/>
              <w:rPr>
                <w:rFonts w:cs="Arial"/>
              </w:rPr>
            </w:pPr>
          </w:p>
          <w:p w:rsidR="00BF0B2E" w:rsidRDefault="00BF0B2E">
            <w:pPr>
              <w:spacing w:after="0" w:line="240" w:lineRule="auto"/>
              <w:rPr>
                <w:rFonts w:cs="Arial"/>
              </w:rPr>
            </w:pPr>
          </w:p>
          <w:p w:rsidR="00BF0B2E" w:rsidRDefault="00BF0B2E">
            <w:pPr>
              <w:spacing w:after="0" w:line="240" w:lineRule="auto"/>
              <w:rPr>
                <w:rFonts w:cs="Arial"/>
              </w:rPr>
            </w:pPr>
          </w:p>
          <w:p w:rsidR="00BF0B2E" w:rsidRDefault="00BF0B2E">
            <w:pPr>
              <w:spacing w:after="0" w:line="240" w:lineRule="auto"/>
              <w:rPr>
                <w:rFonts w:cs="Arial"/>
              </w:rPr>
            </w:pPr>
          </w:p>
          <w:p w:rsidR="00BF0B2E" w:rsidRDefault="00BF0B2E">
            <w:pPr>
              <w:spacing w:after="0" w:line="240" w:lineRule="auto"/>
              <w:rPr>
                <w:rFonts w:cs="Arial"/>
              </w:rPr>
            </w:pPr>
          </w:p>
          <w:p w:rsidR="00BF0B2E" w:rsidRDefault="00BF0B2E">
            <w:pPr>
              <w:spacing w:after="0" w:line="240" w:lineRule="auto"/>
              <w:rPr>
                <w:rFonts w:cs="Arial"/>
              </w:rPr>
            </w:pPr>
          </w:p>
          <w:p w:rsidR="00BF0B2E" w:rsidRDefault="00BF0B2E">
            <w:pPr>
              <w:spacing w:after="0" w:line="240" w:lineRule="auto"/>
              <w:rPr>
                <w:rFonts w:cs="Arial"/>
              </w:rPr>
            </w:pPr>
          </w:p>
          <w:p w:rsidR="00BF0B2E" w:rsidRDefault="00BF0B2E">
            <w:pPr>
              <w:spacing w:after="0" w:line="240" w:lineRule="auto"/>
              <w:rPr>
                <w:rFonts w:cs="Arial"/>
              </w:rPr>
            </w:pPr>
          </w:p>
          <w:p w:rsidR="00BF0B2E" w:rsidRDefault="00BF0B2E">
            <w:pPr>
              <w:spacing w:after="0" w:line="240" w:lineRule="auto"/>
              <w:rPr>
                <w:rFonts w:cs="Arial"/>
              </w:rPr>
            </w:pPr>
          </w:p>
          <w:p w:rsidR="00BF0B2E" w:rsidRDefault="00BF0B2E">
            <w:pPr>
              <w:spacing w:after="0" w:line="240" w:lineRule="auto"/>
              <w:rPr>
                <w:rFonts w:cs="Arial"/>
              </w:rPr>
            </w:pPr>
          </w:p>
          <w:p w:rsidR="00BF0B2E" w:rsidRDefault="00BF0B2E">
            <w:pPr>
              <w:spacing w:after="0" w:line="240" w:lineRule="auto"/>
              <w:rPr>
                <w:rFonts w:cs="Arial"/>
              </w:rPr>
            </w:pPr>
          </w:p>
          <w:p w:rsidR="00BF0B2E" w:rsidRDefault="00BF0B2E">
            <w:pPr>
              <w:spacing w:after="0" w:line="240" w:lineRule="auto"/>
              <w:rPr>
                <w:rFonts w:cs="Arial"/>
              </w:rPr>
            </w:pPr>
          </w:p>
          <w:p w:rsidR="00BF0B2E" w:rsidRDefault="00BF0B2E">
            <w:pPr>
              <w:spacing w:after="0" w:line="240" w:lineRule="auto"/>
              <w:rPr>
                <w:rFonts w:cs="Arial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4C6AE0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4E481D"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>-2023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cs="Arial"/>
              </w:rPr>
            </w:pPr>
          </w:p>
          <w:p w:rsidR="00BF0B2E" w:rsidRDefault="00BF0B2E">
            <w:pPr>
              <w:spacing w:after="0" w:line="240" w:lineRule="auto"/>
              <w:rPr>
                <w:rFonts w:cs="Arial"/>
              </w:rPr>
            </w:pPr>
          </w:p>
          <w:p w:rsidR="00BF0B2E" w:rsidRDefault="00BF0B2E">
            <w:pPr>
              <w:spacing w:after="0" w:line="240" w:lineRule="auto"/>
              <w:rPr>
                <w:rFonts w:cs="Arial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4C6AE0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4E481D">
              <w:rPr>
                <w:rFonts w:ascii="Arial" w:hAnsi="Arial" w:cs="Arial"/>
                <w:sz w:val="18"/>
                <w:szCs w:val="18"/>
              </w:rPr>
              <w:t>6</w:t>
            </w:r>
            <w:bookmarkStart w:id="2" w:name="_GoBack"/>
            <w:bookmarkEnd w:id="2"/>
            <w:r>
              <w:rPr>
                <w:rFonts w:ascii="Arial" w:hAnsi="Arial" w:cs="Arial"/>
                <w:sz w:val="18"/>
                <w:szCs w:val="18"/>
              </w:rPr>
              <w:t>-2023</w:t>
            </w:r>
          </w:p>
        </w:tc>
        <w:tc>
          <w:tcPr>
            <w:tcW w:w="1860" w:type="dxa"/>
            <w:shd w:val="clear" w:color="auto" w:fill="auto"/>
          </w:tcPr>
          <w:p w:rsidR="00BF0B2E" w:rsidRDefault="004C6AE0">
            <w:pPr>
              <w:pStyle w:val="Akapitzlist"/>
              <w:spacing w:after="0" w:line="240" w:lineRule="auto"/>
              <w:ind w:left="7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 xml:space="preserve">09-2019 </w:t>
            </w:r>
          </w:p>
          <w:p w:rsidR="00BF0B2E" w:rsidRDefault="00BF0B2E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4C6AE0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06-2021</w:t>
            </w:r>
          </w:p>
          <w:p w:rsidR="00BF0B2E" w:rsidRDefault="00BF0B2E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4C6AE0">
            <w:pPr>
              <w:pStyle w:val="Akapitzlist"/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12-2020</w:t>
            </w:r>
          </w:p>
        </w:tc>
        <w:tc>
          <w:tcPr>
            <w:tcW w:w="2641" w:type="dxa"/>
            <w:shd w:val="clear" w:color="auto" w:fill="auto"/>
          </w:tcPr>
          <w:p w:rsidR="00BF0B2E" w:rsidRDefault="004C6AE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- osiągnięty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4C6AE0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- osiągnięty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4C6AE0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- w trakcie realizacji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4C6AE0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- w trakcie realizacji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4C6AE0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- w trakcie realizacji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4C6AE0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- osiągnięty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4C6AE0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- w trakcie realizacji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4C6AE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trakcie realizacji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4C6AE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trakcie realizacji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F0B2E" w:rsidRDefault="004C6AE0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Wskaźniki efektywności projektu (KPI)</w:t>
      </w:r>
    </w:p>
    <w:tbl>
      <w:tblPr>
        <w:tblStyle w:val="Tabela-Siatka"/>
        <w:tblW w:w="9634" w:type="dxa"/>
        <w:tblLook w:val="04A0"/>
      </w:tblPr>
      <w:tblGrid>
        <w:gridCol w:w="2545"/>
        <w:gridCol w:w="1276"/>
        <w:gridCol w:w="1842"/>
        <w:gridCol w:w="1707"/>
        <w:gridCol w:w="2264"/>
      </w:tblGrid>
      <w:tr w:rsidR="00BF0B2E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BF0B2E" w:rsidRDefault="004C6AE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:rsidR="00BF0B2E" w:rsidRDefault="004C6AE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Jedn. mi</w:t>
            </w: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sz w:val="20"/>
                <w:szCs w:val="20"/>
              </w:rPr>
              <w:t>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BF0B2E" w:rsidRDefault="004C6AE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:rsidR="00BF0B2E" w:rsidRDefault="004C6AE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7" w:type="dxa"/>
            <w:shd w:val="clear" w:color="auto" w:fill="D0CECE" w:themeFill="background2" w:themeFillShade="E6"/>
            <w:vAlign w:val="center"/>
          </w:tcPr>
          <w:p w:rsidR="00BF0B2E" w:rsidRDefault="004C6AE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</w:t>
            </w:r>
            <w:r>
              <w:rPr>
                <w:rFonts w:ascii="Arial" w:hAnsi="Arial" w:cs="Arial"/>
                <w:b/>
                <w:sz w:val="20"/>
                <w:szCs w:val="20"/>
              </w:rPr>
              <w:t>ą</w:t>
            </w:r>
            <w:r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2264" w:type="dxa"/>
            <w:shd w:val="clear" w:color="auto" w:fill="D0CECE" w:themeFill="background2" w:themeFillShade="E6"/>
            <w:vAlign w:val="center"/>
          </w:tcPr>
          <w:p w:rsidR="00BF0B2E" w:rsidRDefault="004C6AE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osiągnięta od początku realiz</w:t>
            </w: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sz w:val="20"/>
                <w:szCs w:val="20"/>
              </w:rPr>
              <w:t>cji projektu (narast</w:t>
            </w: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sz w:val="20"/>
                <w:szCs w:val="20"/>
              </w:rPr>
              <w:t>jąco)</w:t>
            </w:r>
          </w:p>
        </w:tc>
      </w:tr>
      <w:tr w:rsidR="00BF0B2E">
        <w:trPr>
          <w:trHeight w:val="777"/>
        </w:trPr>
        <w:tc>
          <w:tcPr>
            <w:tcW w:w="2545" w:type="dxa"/>
            <w:shd w:val="clear" w:color="auto" w:fill="auto"/>
          </w:tcPr>
          <w:p w:rsidR="00BF0B2E" w:rsidRDefault="004C6AE0">
            <w:pPr>
              <w:spacing w:after="0" w:line="240" w:lineRule="auto"/>
            </w:pP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KPI 1: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Liczba udostępni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nych on-line dokumentów zwierających informację sektora publicznego 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4C6AE0">
            <w:pPr>
              <w:spacing w:after="0" w:line="240" w:lineRule="auto"/>
            </w:pP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KPI 2: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Liczba p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brań/odtworzeni dokume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n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tów zawierających inform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cje sektora publicznego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:rsidR="00BF0B2E" w:rsidRDefault="004C6AE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KPI 3: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Liczba podmiotów, które udostępniły on-line informacje sektora public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z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nego 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4C6AE0">
            <w:pPr>
              <w:spacing w:after="0" w:line="240" w:lineRule="auto"/>
            </w:pP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KPI 4: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Liczba baz danych udostępnionych on-line p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przez API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4C6AE0">
            <w:pPr>
              <w:spacing w:after="0" w:line="240" w:lineRule="auto"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KPI 5: </w:t>
            </w:r>
            <w:r>
              <w:rPr>
                <w:rFonts w:ascii="Arial" w:hAnsi="Arial"/>
                <w:sz w:val="18"/>
                <w:szCs w:val="18"/>
              </w:rPr>
              <w:t>Liczba pracowni d</w:t>
            </w:r>
            <w:r>
              <w:rPr>
                <w:rFonts w:ascii="Arial" w:hAnsi="Arial"/>
                <w:sz w:val="18"/>
                <w:szCs w:val="18"/>
              </w:rPr>
              <w:t>o</w:t>
            </w:r>
            <w:r>
              <w:rPr>
                <w:rFonts w:ascii="Arial" w:hAnsi="Arial"/>
                <w:sz w:val="18"/>
                <w:szCs w:val="18"/>
              </w:rPr>
              <w:t>posażonych w sprzęt do digitalizacji.</w:t>
            </w:r>
          </w:p>
          <w:p w:rsidR="00BF0B2E" w:rsidRDefault="00BF0B2E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</w:p>
          <w:p w:rsidR="00BF0B2E" w:rsidRDefault="004C6AE0">
            <w:pPr>
              <w:spacing w:after="0" w:line="240" w:lineRule="auto"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KPI 6: </w:t>
            </w:r>
            <w:r>
              <w:rPr>
                <w:rFonts w:ascii="Arial" w:hAnsi="Arial"/>
                <w:sz w:val="18"/>
                <w:szCs w:val="18"/>
              </w:rPr>
              <w:t xml:space="preserve">Liczba 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zdigitalizow</w:t>
            </w:r>
            <w:r>
              <w:rPr>
                <w:rFonts w:ascii="Arial" w:hAnsi="Arial"/>
                <w:sz w:val="18"/>
                <w:szCs w:val="18"/>
              </w:rPr>
              <w:t>a</w:t>
            </w:r>
            <w:r>
              <w:rPr>
                <w:rFonts w:ascii="Arial" w:hAnsi="Arial"/>
                <w:sz w:val="18"/>
                <w:szCs w:val="18"/>
              </w:rPr>
              <w:t>nych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 xml:space="preserve"> dokumentów zawier</w:t>
            </w:r>
            <w:r>
              <w:rPr>
                <w:rFonts w:ascii="Arial" w:hAnsi="Arial"/>
                <w:sz w:val="18"/>
                <w:szCs w:val="18"/>
              </w:rPr>
              <w:t>a</w:t>
            </w:r>
            <w:r>
              <w:rPr>
                <w:rFonts w:ascii="Arial" w:hAnsi="Arial"/>
                <w:sz w:val="18"/>
                <w:szCs w:val="18"/>
              </w:rPr>
              <w:t>jących informacje sektora publicznego</w:t>
            </w:r>
          </w:p>
          <w:p w:rsidR="00BF0B2E" w:rsidRDefault="00BF0B2E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</w:p>
          <w:p w:rsidR="00BF0B2E" w:rsidRDefault="004C6AE0">
            <w:pPr>
              <w:spacing w:after="0" w:line="240" w:lineRule="auto"/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KPI 7: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Rozmiar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pl-PL"/>
              </w:rPr>
              <w:t>zdigitaliz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wanej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informacji sektora publicznego. Pomiar jedn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krotny na zakończenie pr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jektu.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</w:tcPr>
          <w:p w:rsidR="00BF0B2E" w:rsidRDefault="004C6AE0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Szt.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4C6AE0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szt./rok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4C6AE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4C6AE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4C6AE0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4C6AE0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4C6AE0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  <w:shd w:val="clear" w:color="auto" w:fill="auto"/>
          </w:tcPr>
          <w:p w:rsidR="00BF0B2E" w:rsidRDefault="004C6AE0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6150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4C6AE0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23000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4C6AE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4C6AE0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4C6AE0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 xml:space="preserve">1 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4C6AE0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1228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4C6AE0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16 TB</w:t>
            </w:r>
          </w:p>
        </w:tc>
        <w:tc>
          <w:tcPr>
            <w:tcW w:w="1707" w:type="dxa"/>
            <w:shd w:val="clear" w:color="auto" w:fill="auto"/>
          </w:tcPr>
          <w:p w:rsidR="00BF0B2E" w:rsidRDefault="004C6AE0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07.2023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4C6AE0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07.2024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4C6AE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07.2023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4C6AE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07.2023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4C6AE0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07.2023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4C6AE0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07.2023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4C6AE0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07.2023</w:t>
            </w:r>
          </w:p>
        </w:tc>
        <w:tc>
          <w:tcPr>
            <w:tcW w:w="2264" w:type="dxa"/>
            <w:shd w:val="clear" w:color="auto" w:fill="auto"/>
          </w:tcPr>
          <w:p w:rsidR="00BF0B2E" w:rsidRDefault="00BF0B2E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:rsidR="00BF0B2E" w:rsidRDefault="004C6AE0">
      <w:pPr>
        <w:pStyle w:val="Nagwek21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E-usługi A2A, A2B, A2C</w:t>
      </w:r>
      <w:r>
        <w:rPr>
          <w:rFonts w:ascii="Arial" w:hAnsi="Arial" w:cs="Arial"/>
          <w:color w:val="auto"/>
        </w:rPr>
        <w:t xml:space="preserve"> </w:t>
      </w:r>
      <w:bookmarkStart w:id="3" w:name="_Hlk506932259"/>
      <w:r>
        <w:rPr>
          <w:rFonts w:ascii="Arial" w:hAnsi="Arial" w:cs="Arial"/>
          <w:sz w:val="20"/>
          <w:szCs w:val="20"/>
        </w:rPr>
        <w:t>&lt;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maksymalnie 2000 znaków&gt;</w:t>
      </w:r>
      <w:bookmarkEnd w:id="3"/>
    </w:p>
    <w:tbl>
      <w:tblPr>
        <w:tblStyle w:val="Tabela-Siatka"/>
        <w:tblW w:w="9634" w:type="dxa"/>
        <w:tblLook w:val="04A0"/>
      </w:tblPr>
      <w:tblGrid>
        <w:gridCol w:w="2809"/>
        <w:gridCol w:w="1261"/>
        <w:gridCol w:w="1395"/>
        <w:gridCol w:w="4169"/>
      </w:tblGrid>
      <w:tr w:rsidR="00BF0B2E">
        <w:trPr>
          <w:tblHeader/>
        </w:trPr>
        <w:tc>
          <w:tcPr>
            <w:tcW w:w="2808" w:type="dxa"/>
            <w:shd w:val="clear" w:color="auto" w:fill="D0CECE" w:themeFill="background2" w:themeFillShade="E6"/>
            <w:vAlign w:val="center"/>
          </w:tcPr>
          <w:p w:rsidR="00BF0B2E" w:rsidRDefault="004C6AE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:rsidR="00BF0B2E" w:rsidRDefault="004C6AE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>
              <w:rPr>
                <w:rFonts w:ascii="Arial" w:hAnsi="Arial" w:cs="Arial"/>
                <w:b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:rsidR="00BF0B2E" w:rsidRDefault="004C6AE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>
              <w:rPr>
                <w:rFonts w:ascii="Arial" w:hAnsi="Arial" w:cs="Arial"/>
                <w:b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169" w:type="dxa"/>
            <w:shd w:val="clear" w:color="auto" w:fill="D0CECE" w:themeFill="background2" w:themeFillShade="E6"/>
            <w:vAlign w:val="center"/>
          </w:tcPr>
          <w:p w:rsidR="00BF0B2E" w:rsidRDefault="004C6AE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BF0B2E">
        <w:tc>
          <w:tcPr>
            <w:tcW w:w="2808" w:type="dxa"/>
            <w:shd w:val="clear" w:color="auto" w:fill="auto"/>
          </w:tcPr>
          <w:p w:rsidR="00BF0B2E" w:rsidRDefault="004C6AE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1261" w:type="dxa"/>
            <w:shd w:val="clear" w:color="auto" w:fill="auto"/>
          </w:tcPr>
          <w:p w:rsidR="00BF0B2E" w:rsidRDefault="00BF0B2E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395" w:type="dxa"/>
            <w:shd w:val="clear" w:color="auto" w:fill="auto"/>
          </w:tcPr>
          <w:p w:rsidR="00BF0B2E" w:rsidRDefault="00BF0B2E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69" w:type="dxa"/>
            <w:shd w:val="clear" w:color="auto" w:fill="auto"/>
          </w:tcPr>
          <w:p w:rsidR="00BF0B2E" w:rsidRDefault="00BF0B2E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:rsidR="00BF0B2E" w:rsidRDefault="004C6AE0">
      <w:pPr>
        <w:pStyle w:val="Nagwek21"/>
        <w:numPr>
          <w:ilvl w:val="0"/>
          <w:numId w:val="1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k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symalnie 2000 znaków&gt;</w:t>
      </w:r>
    </w:p>
    <w:tbl>
      <w:tblPr>
        <w:tblStyle w:val="Tabela-Siatka"/>
        <w:tblW w:w="9634" w:type="dxa"/>
        <w:tblLook w:val="04A0"/>
      </w:tblPr>
      <w:tblGrid>
        <w:gridCol w:w="2838"/>
        <w:gridCol w:w="1261"/>
        <w:gridCol w:w="1395"/>
        <w:gridCol w:w="4140"/>
      </w:tblGrid>
      <w:tr w:rsidR="00BF0B2E">
        <w:trPr>
          <w:tblHeader/>
        </w:trPr>
        <w:tc>
          <w:tcPr>
            <w:tcW w:w="2837" w:type="dxa"/>
            <w:shd w:val="clear" w:color="auto" w:fill="D0CECE" w:themeFill="background2" w:themeFillShade="E6"/>
            <w:vAlign w:val="center"/>
          </w:tcPr>
          <w:p w:rsidR="00BF0B2E" w:rsidRDefault="004C6AE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:rsidR="00BF0B2E" w:rsidRDefault="004C6AE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>
              <w:rPr>
                <w:rFonts w:ascii="Arial" w:hAnsi="Arial" w:cs="Arial"/>
                <w:b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:rsidR="00BF0B2E" w:rsidRDefault="004C6AE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>
              <w:rPr>
                <w:rFonts w:ascii="Arial" w:hAnsi="Arial" w:cs="Arial"/>
                <w:b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140" w:type="dxa"/>
            <w:shd w:val="clear" w:color="auto" w:fill="D0CECE" w:themeFill="background2" w:themeFillShade="E6"/>
            <w:vAlign w:val="center"/>
          </w:tcPr>
          <w:p w:rsidR="00BF0B2E" w:rsidRDefault="004C6AE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BF0B2E">
        <w:tc>
          <w:tcPr>
            <w:tcW w:w="2837" w:type="dxa"/>
            <w:shd w:val="clear" w:color="auto" w:fill="auto"/>
          </w:tcPr>
          <w:p w:rsidR="00BF0B2E" w:rsidRDefault="004C6AE0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proofErr w:type="spellStart"/>
            <w:r>
              <w:rPr>
                <w:rFonts w:ascii="Arial" w:hAnsi="Arial" w:cs="Arial"/>
                <w:sz w:val="18"/>
                <w:szCs w:val="20"/>
              </w:rPr>
              <w:t>Zdigitalizowanie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i udostępnienie: Dzieł Sztuki Nowoczesnej, Dzieł Sztuki Dawnej i materiałów audiowizualne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61" w:type="dxa"/>
            <w:shd w:val="clear" w:color="auto" w:fill="auto"/>
          </w:tcPr>
          <w:p w:rsidR="00BF0B2E" w:rsidRDefault="004C6AE0">
            <w:pPr>
              <w:spacing w:after="0" w:line="240" w:lineRule="auto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07-2023</w:t>
            </w:r>
          </w:p>
          <w:p w:rsidR="00BF0B2E" w:rsidRDefault="00BF0B2E">
            <w:pPr>
              <w:spacing w:after="0" w:line="240" w:lineRule="auto"/>
              <w:rPr>
                <w:rFonts w:cs="Arial"/>
                <w:lang w:eastAsia="pl-PL"/>
              </w:rPr>
            </w:pPr>
          </w:p>
          <w:p w:rsidR="00BF0B2E" w:rsidRDefault="00BF0B2E">
            <w:pPr>
              <w:spacing w:after="0" w:line="240" w:lineRule="auto"/>
              <w:ind w:left="44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395" w:type="dxa"/>
            <w:shd w:val="clear" w:color="auto" w:fill="auto"/>
          </w:tcPr>
          <w:p w:rsidR="00BF0B2E" w:rsidRDefault="00BF0B2E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40" w:type="dxa"/>
            <w:shd w:val="clear" w:color="auto" w:fill="auto"/>
          </w:tcPr>
          <w:p w:rsidR="00BF0B2E" w:rsidRDefault="00BF0B2E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:rsidR="00BF0B2E" w:rsidRDefault="004C6AE0">
      <w:pPr>
        <w:pStyle w:val="Nagwek31"/>
        <w:numPr>
          <w:ilvl w:val="0"/>
          <w:numId w:val="1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4 i 5)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767171" w:themeColor="background2" w:themeShade="80"/>
          <w:sz w:val="20"/>
          <w:szCs w:val="18"/>
        </w:rPr>
        <w:t>&lt;maksymalnie 2000 znaków&gt;</w:t>
      </w:r>
      <w:r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/>
      </w:tblPr>
      <w:tblGrid>
        <w:gridCol w:w="2549"/>
        <w:gridCol w:w="1700"/>
        <w:gridCol w:w="1843"/>
        <w:gridCol w:w="3542"/>
      </w:tblGrid>
      <w:tr w:rsidR="00BF0B2E">
        <w:trPr>
          <w:tblHeader/>
        </w:trPr>
        <w:tc>
          <w:tcPr>
            <w:tcW w:w="2548" w:type="dxa"/>
            <w:shd w:val="clear" w:color="auto" w:fill="D0CECE" w:themeFill="background2" w:themeFillShade="E6"/>
          </w:tcPr>
          <w:p w:rsidR="00BF0B2E" w:rsidRDefault="004C6AE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0" w:type="dxa"/>
            <w:shd w:val="clear" w:color="auto" w:fill="D0CECE" w:themeFill="background2" w:themeFillShade="E6"/>
          </w:tcPr>
          <w:p w:rsidR="00BF0B2E" w:rsidRDefault="004C6AE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:rsidR="00BF0B2E" w:rsidRDefault="004C6AE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2" w:type="dxa"/>
            <w:shd w:val="clear" w:color="auto" w:fill="D0CECE" w:themeFill="background2" w:themeFillShade="E6"/>
          </w:tcPr>
          <w:p w:rsidR="00BF0B2E" w:rsidRDefault="004C6AE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F0B2E">
        <w:tc>
          <w:tcPr>
            <w:tcW w:w="2548" w:type="dxa"/>
            <w:shd w:val="clear" w:color="auto" w:fill="auto"/>
          </w:tcPr>
          <w:p w:rsidR="00BF0B2E" w:rsidRDefault="004C6AE0">
            <w:pPr>
              <w:spacing w:after="0" w:line="240" w:lineRule="auto"/>
            </w:pPr>
            <w:r>
              <w:rPr>
                <w:rFonts w:ascii="Arial" w:hAnsi="Arial" w:cs="Calibri"/>
                <w:sz w:val="18"/>
                <w:szCs w:val="18"/>
              </w:rPr>
              <w:t>Publiczny Interfejs API d</w:t>
            </w:r>
            <w:r>
              <w:rPr>
                <w:rFonts w:ascii="Arial" w:hAnsi="Arial" w:cs="Calibri"/>
                <w:sz w:val="18"/>
                <w:szCs w:val="18"/>
              </w:rPr>
              <w:t>o</w:t>
            </w:r>
            <w:r>
              <w:rPr>
                <w:rFonts w:ascii="Arial" w:hAnsi="Arial" w:cs="Calibri"/>
                <w:sz w:val="18"/>
                <w:szCs w:val="18"/>
              </w:rPr>
              <w:t>stępu do zasobów kultury</w:t>
            </w:r>
          </w:p>
          <w:p w:rsidR="00BF0B2E" w:rsidRDefault="00BF0B2E">
            <w:pPr>
              <w:spacing w:after="0" w:line="240" w:lineRule="auto"/>
              <w:rPr>
                <w:rFonts w:cs="Calibri"/>
              </w:rPr>
            </w:pPr>
          </w:p>
          <w:p w:rsidR="00BF0B2E" w:rsidRDefault="004C6AE0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 xml:space="preserve">Oprogramowanie Systemu Muzealnego do ewidencji zasobów kultury </w:t>
            </w:r>
          </w:p>
          <w:p w:rsidR="00BF0B2E" w:rsidRDefault="00BF0B2E">
            <w:pPr>
              <w:spacing w:after="0" w:line="240" w:lineRule="auto"/>
              <w:rPr>
                <w:rFonts w:cs="Calibri"/>
              </w:rPr>
            </w:pPr>
          </w:p>
          <w:p w:rsidR="00BF0B2E" w:rsidRDefault="004C6AE0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 xml:space="preserve">Repozytorium </w:t>
            </w:r>
            <w:proofErr w:type="spellStart"/>
            <w:r>
              <w:rPr>
                <w:rFonts w:ascii="Arial" w:hAnsi="Arial" w:cs="Calibri"/>
                <w:sz w:val="18"/>
                <w:szCs w:val="18"/>
              </w:rPr>
              <w:t>Zdigitalizow</w:t>
            </w:r>
            <w:r>
              <w:rPr>
                <w:rFonts w:ascii="Arial" w:hAnsi="Arial" w:cs="Calibri"/>
                <w:sz w:val="18"/>
                <w:szCs w:val="18"/>
              </w:rPr>
              <w:t>a</w:t>
            </w:r>
            <w:r>
              <w:rPr>
                <w:rFonts w:ascii="Arial" w:hAnsi="Arial" w:cs="Calibri"/>
                <w:sz w:val="18"/>
                <w:szCs w:val="18"/>
              </w:rPr>
              <w:t>nych</w:t>
            </w:r>
            <w:proofErr w:type="spellEnd"/>
            <w:r>
              <w:rPr>
                <w:rFonts w:ascii="Arial" w:hAnsi="Arial" w:cs="Calibri"/>
                <w:sz w:val="18"/>
                <w:szCs w:val="18"/>
              </w:rPr>
              <w:t xml:space="preserve"> Dzieł</w:t>
            </w:r>
          </w:p>
          <w:p w:rsidR="00BF0B2E" w:rsidRDefault="00BF0B2E">
            <w:pPr>
              <w:spacing w:after="0" w:line="240" w:lineRule="auto"/>
              <w:rPr>
                <w:rFonts w:ascii="Calibri" w:hAnsi="Calibri" w:cs="Calibri"/>
              </w:rPr>
            </w:pPr>
          </w:p>
          <w:p w:rsidR="00BF0B2E" w:rsidRDefault="00BF0B2E">
            <w:pPr>
              <w:spacing w:after="0" w:line="240" w:lineRule="auto"/>
              <w:rPr>
                <w:rFonts w:ascii="Calibri" w:hAnsi="Calibri" w:cs="Calibri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0" w:type="dxa"/>
            <w:shd w:val="clear" w:color="auto" w:fill="auto"/>
          </w:tcPr>
          <w:p w:rsidR="00BF0B2E" w:rsidRDefault="004C6AE0">
            <w:pPr>
              <w:spacing w:after="0" w:line="240" w:lineRule="auto"/>
            </w:pPr>
            <w:r>
              <w:rPr>
                <w:rFonts w:cs="Arial"/>
                <w:lang w:eastAsia="pl-PL"/>
              </w:rPr>
              <w:t>07-2023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4C6AE0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07-2022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4C6AE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07-2023</w:t>
            </w:r>
          </w:p>
        </w:tc>
        <w:tc>
          <w:tcPr>
            <w:tcW w:w="1843" w:type="dxa"/>
            <w:shd w:val="clear" w:color="auto" w:fill="auto"/>
          </w:tcPr>
          <w:p w:rsidR="00BF0B2E" w:rsidRDefault="00BF0B2E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2" w:type="dxa"/>
            <w:shd w:val="clear" w:color="auto" w:fill="auto"/>
          </w:tcPr>
          <w:p w:rsidR="00BF0B2E" w:rsidRDefault="00BF0B2E">
            <w:pPr>
              <w:pStyle w:val="LO-normal"/>
              <w:rPr>
                <w:sz w:val="20"/>
                <w:szCs w:val="20"/>
              </w:rPr>
            </w:pPr>
          </w:p>
          <w:p w:rsidR="00BF0B2E" w:rsidRDefault="004D1EFB">
            <w:pPr>
              <w:pStyle w:val="LO-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Status: analizowanie</w:t>
            </w:r>
          </w:p>
          <w:p w:rsidR="00BF0B2E" w:rsidRDefault="00BF0B2E">
            <w:pPr>
              <w:pStyle w:val="LO-normal"/>
              <w:rPr>
                <w:sz w:val="20"/>
                <w:szCs w:val="20"/>
              </w:rPr>
            </w:pPr>
          </w:p>
          <w:p w:rsidR="00BF0B2E" w:rsidRDefault="004C6AE0">
            <w:pPr>
              <w:pStyle w:val="LO-normal"/>
            </w:pPr>
            <w:r>
              <w:rPr>
                <w:sz w:val="20"/>
                <w:szCs w:val="20"/>
              </w:rPr>
              <w:t xml:space="preserve">System Muzealny będzie zawierał moduł  pozwalający na dostarczenie z bazy danych </w:t>
            </w:r>
            <w:proofErr w:type="spellStart"/>
            <w:r>
              <w:rPr>
                <w:sz w:val="20"/>
                <w:szCs w:val="20"/>
              </w:rPr>
              <w:t>zdigitalizowanych</w:t>
            </w:r>
            <w:proofErr w:type="spellEnd"/>
            <w:r>
              <w:rPr>
                <w:sz w:val="20"/>
                <w:szCs w:val="20"/>
              </w:rPr>
              <w:t xml:space="preserve"> dzieł do KRONIK@. Obsłużenie API platformy KRONIK@. Umożliwienie wymiany danych z portalem KRONIK@. Kierunek przepływu danych to przekazywanie z Systemu Muzealnego danych do portalu KR</w:t>
            </w:r>
            <w:r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NIK@.</w:t>
            </w:r>
          </w:p>
        </w:tc>
      </w:tr>
    </w:tbl>
    <w:p w:rsidR="00BF0B2E" w:rsidRDefault="004C6AE0">
      <w:pPr>
        <w:pStyle w:val="Akapitzlist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Ryzyka</w:t>
      </w:r>
      <w:r>
        <w:rPr>
          <w:rStyle w:val="Nagwek3Znak"/>
          <w:rFonts w:ascii="Arial" w:hAnsi="Arial" w:cs="Arial"/>
          <w:b/>
          <w:color w:val="auto"/>
        </w:rPr>
        <w:t xml:space="preserve"> </w:t>
      </w:r>
      <w:r>
        <w:rPr>
          <w:rFonts w:ascii="Arial" w:hAnsi="Arial" w:cs="Arial"/>
          <w:color w:val="0070C0"/>
        </w:rPr>
        <w:t xml:space="preserve"> 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 w:rsidR="00BF0B2E" w:rsidRDefault="004C6AE0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/>
      </w:tblPr>
      <w:tblGrid>
        <w:gridCol w:w="3152"/>
        <w:gridCol w:w="1688"/>
        <w:gridCol w:w="2294"/>
        <w:gridCol w:w="2364"/>
      </w:tblGrid>
      <w:tr w:rsidR="00BF0B2E">
        <w:trPr>
          <w:tblHeader/>
        </w:trPr>
        <w:tc>
          <w:tcPr>
            <w:tcW w:w="3152" w:type="dxa"/>
            <w:shd w:val="clear" w:color="auto" w:fill="D0CECE" w:themeFill="background2" w:themeFillShade="E6"/>
            <w:vAlign w:val="center"/>
          </w:tcPr>
          <w:p w:rsidR="00BF0B2E" w:rsidRDefault="004C6AE0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88" w:type="dxa"/>
            <w:shd w:val="clear" w:color="auto" w:fill="D0CECE" w:themeFill="background2" w:themeFillShade="E6"/>
            <w:vAlign w:val="center"/>
          </w:tcPr>
          <w:p w:rsidR="00BF0B2E" w:rsidRDefault="004C6AE0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Siła oddział</w:t>
            </w:r>
            <w:r>
              <w:rPr>
                <w:rFonts w:ascii="Arial" w:hAnsi="Arial" w:cs="Arial"/>
                <w:b/>
                <w:sz w:val="20"/>
                <w:szCs w:val="20"/>
              </w:rPr>
              <w:t>y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wania </w:t>
            </w:r>
          </w:p>
        </w:tc>
        <w:tc>
          <w:tcPr>
            <w:tcW w:w="2293" w:type="dxa"/>
            <w:shd w:val="clear" w:color="auto" w:fill="D0CECE" w:themeFill="background2" w:themeFillShade="E6"/>
          </w:tcPr>
          <w:p w:rsidR="00BF0B2E" w:rsidRDefault="004C6AE0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364" w:type="dxa"/>
            <w:shd w:val="clear" w:color="auto" w:fill="D0CECE" w:themeFill="background2" w:themeFillShade="E6"/>
            <w:vAlign w:val="center"/>
          </w:tcPr>
          <w:p w:rsidR="00BF0B2E" w:rsidRDefault="004C6AE0">
            <w:pPr>
              <w:spacing w:after="12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Sposób zarządzania ryzykiem</w:t>
            </w:r>
          </w:p>
        </w:tc>
      </w:tr>
      <w:tr w:rsidR="00BF0B2E">
        <w:tc>
          <w:tcPr>
            <w:tcW w:w="3152" w:type="dxa"/>
            <w:shd w:val="clear" w:color="auto" w:fill="auto"/>
            <w:vAlign w:val="center"/>
          </w:tcPr>
          <w:p w:rsidR="00BF0B2E" w:rsidRDefault="004C6AE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Opory dotyczące wymiany informacji podczas realizacji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4C6AE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Zmiana przepisów dotyczących procesów jednostki (muzeum)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4C6AE0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Zmiana przepisów dotyczących Praw autorskich i danych wrażliwych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4C6AE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Zmiany zakresu prac</w:t>
            </w:r>
          </w:p>
          <w:p w:rsidR="00BF0B2E" w:rsidRDefault="004C6AE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przekroczenia budżetu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4C6AE0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Opóźnienia przy realizacji zamówień publicznych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4C6AE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Związane z przekroczeniem harm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nogramu</w:t>
            </w:r>
          </w:p>
          <w:p w:rsidR="00BF0B2E" w:rsidRDefault="004C6AE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Niedotrzymywanie terminów wyk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nania zleceń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4C6AE0" w:rsidRDefault="004C6AE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4C6AE0" w:rsidRDefault="004C6AE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4C6AE0" w:rsidRDefault="004C6AE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4C6AE0" w:rsidRDefault="004C6AE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4C6AE0" w:rsidRDefault="004C6AE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4C6AE0" w:rsidRDefault="004C6AE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4C6AE0" w:rsidRDefault="004C6AE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4C6AE0" w:rsidRDefault="004C6AE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4C6AE0" w:rsidRDefault="004C6AE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4C6AE0" w:rsidRDefault="004C6AE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4C6AE0" w:rsidRDefault="004C6AE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4C6AE0" w:rsidRDefault="004C6AE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4C6AE0" w:rsidRDefault="004C6AE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4C6AE0" w:rsidRDefault="004C6AE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4C6AE0" w:rsidRDefault="004C6AE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4C6AE0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Ryzyko związane z tzw. czynnikiem ludzkim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4C6AE0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Zmiana celów w</w:t>
            </w:r>
          </w:p>
          <w:p w:rsidR="00BF0B2E" w:rsidRDefault="004C6AE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trakcie trwania projektu</w:t>
            </w:r>
          </w:p>
        </w:tc>
        <w:tc>
          <w:tcPr>
            <w:tcW w:w="1688" w:type="dxa"/>
            <w:shd w:val="clear" w:color="auto" w:fill="auto"/>
          </w:tcPr>
          <w:p w:rsidR="00BF0B2E" w:rsidRDefault="004C6AE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Średnia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4C6AE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4C6AE0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4C6AE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4C6AE0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4C6AE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4C6AE0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4C6AE0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93" w:type="dxa"/>
            <w:shd w:val="clear" w:color="auto" w:fill="auto"/>
          </w:tcPr>
          <w:p w:rsidR="00BF0B2E" w:rsidRDefault="004C6AE0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lastRenderedPageBreak/>
              <w:t>Niskie</w:t>
            </w:r>
          </w:p>
          <w:p w:rsidR="00BF0B2E" w:rsidRDefault="00BF0B2E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4C6AE0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Średnie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4C6AE0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Niskie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4C6AE0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Niskie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4C6AE0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Niskie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4C6AE0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Niskie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4C6AE0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Niskie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4C6AE0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niskie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364" w:type="dxa"/>
            <w:shd w:val="clear" w:color="auto" w:fill="auto"/>
          </w:tcPr>
          <w:p w:rsidR="00BF0B2E" w:rsidRDefault="004C6AE0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lastRenderedPageBreak/>
              <w:t>1. podejmowane działania zarządcze:</w:t>
            </w:r>
          </w:p>
          <w:p w:rsidR="00BF0B2E" w:rsidRDefault="004C6AE0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wprowadzenie polityki informacyjnej wewnątrz jednostki - informowanie, czyli dokładne wyjaśni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>nie, na czym polegają zmiany i w czym mogą pomóc (usprawnić dział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nie jednostki).</w:t>
            </w:r>
            <w:r>
              <w:rPr>
                <w:rFonts w:ascii="Arial" w:hAnsi="Arial" w:cs="Calibri"/>
                <w:sz w:val="18"/>
                <w:szCs w:val="18"/>
              </w:rPr>
              <w:br/>
              <w:t>2. spodziewane lub fa</w:t>
            </w:r>
            <w:r>
              <w:rPr>
                <w:rFonts w:ascii="Arial" w:hAnsi="Arial" w:cs="Calibri"/>
                <w:sz w:val="18"/>
                <w:szCs w:val="18"/>
              </w:rPr>
              <w:t>k</w:t>
            </w:r>
            <w:r>
              <w:rPr>
                <w:rFonts w:ascii="Arial" w:hAnsi="Arial" w:cs="Calibri"/>
                <w:sz w:val="18"/>
                <w:szCs w:val="18"/>
              </w:rPr>
              <w:t>tyczne efekty tych działań:</w:t>
            </w:r>
          </w:p>
          <w:p w:rsidR="00BF0B2E" w:rsidRDefault="004C6AE0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wyeliminowanie oporów dotyczących wymiany informacji podczas real</w:t>
            </w:r>
            <w:r>
              <w:rPr>
                <w:rFonts w:ascii="Arial" w:hAnsi="Arial" w:cs="Calibri"/>
                <w:sz w:val="18"/>
                <w:szCs w:val="18"/>
              </w:rPr>
              <w:t>i</w:t>
            </w:r>
            <w:r>
              <w:rPr>
                <w:rFonts w:ascii="Arial" w:hAnsi="Arial" w:cs="Calibri"/>
                <w:sz w:val="18"/>
                <w:szCs w:val="18"/>
              </w:rPr>
              <w:t>zacji.</w:t>
            </w:r>
            <w:r>
              <w:rPr>
                <w:rFonts w:ascii="Arial" w:hAnsi="Arial" w:cs="Calibri"/>
                <w:sz w:val="18"/>
                <w:szCs w:val="18"/>
              </w:rPr>
              <w:br/>
              <w:t>3. czy nastąpiła zmiana w zakresie danego ryzyka w stosunku do poprzedniego okresu sprawozdawczego: nie nastąpiła.</w:t>
            </w:r>
          </w:p>
          <w:p w:rsidR="00BF0B2E" w:rsidRDefault="00BF0B2E">
            <w:pPr>
              <w:spacing w:after="0" w:line="240" w:lineRule="auto"/>
              <w:rPr>
                <w:rFonts w:cs="Arial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4C6AE0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bookmarkStart w:id="4" w:name="__DdeLink__7751_2756344845"/>
            <w:bookmarkEnd w:id="4"/>
            <w:r>
              <w:rPr>
                <w:rFonts w:ascii="Arial" w:hAnsi="Arial" w:cs="Calibri"/>
                <w:sz w:val="18"/>
                <w:szCs w:val="18"/>
              </w:rPr>
              <w:t>1. podejmowane działania zarządcze:</w:t>
            </w:r>
          </w:p>
          <w:p w:rsidR="00BF0B2E" w:rsidRDefault="004C6AE0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monitorowanie aktualnych przepisów, dostosowyw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nie oprogramowania.</w:t>
            </w:r>
          </w:p>
          <w:p w:rsidR="00BF0B2E" w:rsidRDefault="004C6AE0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2. spodziewane lub fa</w:t>
            </w:r>
            <w:r>
              <w:rPr>
                <w:rFonts w:ascii="Arial" w:hAnsi="Arial" w:cs="Calibri"/>
                <w:sz w:val="18"/>
                <w:szCs w:val="18"/>
              </w:rPr>
              <w:t>k</w:t>
            </w:r>
            <w:r>
              <w:rPr>
                <w:rFonts w:ascii="Arial" w:hAnsi="Arial" w:cs="Calibri"/>
                <w:sz w:val="18"/>
                <w:szCs w:val="18"/>
              </w:rPr>
              <w:t>tyczne efekty tych działań:</w:t>
            </w:r>
          </w:p>
          <w:p w:rsidR="00BF0B2E" w:rsidRDefault="004C6AE0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dostosowanie projektu do zmieniających się przep</w:t>
            </w:r>
            <w:r>
              <w:rPr>
                <w:rFonts w:ascii="Arial" w:hAnsi="Arial" w:cs="Calibri"/>
                <w:sz w:val="18"/>
                <w:szCs w:val="18"/>
              </w:rPr>
              <w:t>i</w:t>
            </w:r>
            <w:r>
              <w:rPr>
                <w:rFonts w:ascii="Arial" w:hAnsi="Arial" w:cs="Calibri"/>
                <w:sz w:val="18"/>
                <w:szCs w:val="18"/>
              </w:rPr>
              <w:t>sów</w:t>
            </w:r>
          </w:p>
          <w:p w:rsidR="00BF0B2E" w:rsidRDefault="004C6AE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3. czy nastąpiła zmiana w zakresie danego ryzyka w stosunku do poprzedniego okresu sprawozdawczego: nie nastąpiła.</w:t>
            </w:r>
            <w:bookmarkStart w:id="5" w:name="__DdeLink__7751_27563448451"/>
            <w:bookmarkEnd w:id="5"/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4C6AE0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1. podejmowane działania zarządcze:</w:t>
            </w:r>
          </w:p>
          <w:p w:rsidR="00BF0B2E" w:rsidRDefault="004C6AE0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monitorowanie aktualnych przepisów, dostosowyw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nie oprogramowania.</w:t>
            </w:r>
          </w:p>
          <w:p w:rsidR="00BF0B2E" w:rsidRDefault="004C6AE0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2. spodziewane lub fa</w:t>
            </w:r>
            <w:r>
              <w:rPr>
                <w:rFonts w:ascii="Arial" w:hAnsi="Arial" w:cs="Calibri"/>
                <w:sz w:val="18"/>
                <w:szCs w:val="18"/>
              </w:rPr>
              <w:t>k</w:t>
            </w:r>
            <w:r>
              <w:rPr>
                <w:rFonts w:ascii="Arial" w:hAnsi="Arial" w:cs="Calibri"/>
                <w:sz w:val="18"/>
                <w:szCs w:val="18"/>
              </w:rPr>
              <w:t>tyczne efekty tych działań:</w:t>
            </w:r>
          </w:p>
          <w:p w:rsidR="00BF0B2E" w:rsidRDefault="004C6AE0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dostosowanie projektu do zmieniających się przep</w:t>
            </w:r>
            <w:r>
              <w:rPr>
                <w:rFonts w:ascii="Arial" w:hAnsi="Arial" w:cs="Calibri"/>
                <w:sz w:val="18"/>
                <w:szCs w:val="18"/>
              </w:rPr>
              <w:t>i</w:t>
            </w:r>
            <w:r>
              <w:rPr>
                <w:rFonts w:ascii="Arial" w:hAnsi="Arial" w:cs="Calibri"/>
                <w:sz w:val="18"/>
                <w:szCs w:val="18"/>
              </w:rPr>
              <w:t>sów</w:t>
            </w:r>
          </w:p>
          <w:p w:rsidR="00BF0B2E" w:rsidRDefault="004C6AE0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3. czy nastąpiła zmiana w zakresie danego ryzyka w stosunku do poprzedniego okresu sprawozdawczego: nie nastąpiła.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Calibri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Calibri"/>
              </w:rPr>
            </w:pPr>
          </w:p>
          <w:p w:rsidR="00BF0B2E" w:rsidRDefault="004C6AE0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1. podejmowane działania zarządcze:</w:t>
            </w:r>
          </w:p>
          <w:p w:rsidR="00BF0B2E" w:rsidRDefault="004C6AE0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to będzie elimin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wane poprzez stały i st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ranny monitoring budżetu projektu.</w:t>
            </w:r>
          </w:p>
          <w:p w:rsidR="00BF0B2E" w:rsidRDefault="004C6AE0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2. spodziewane lub fa</w:t>
            </w:r>
            <w:r>
              <w:rPr>
                <w:rFonts w:ascii="Arial" w:hAnsi="Arial" w:cs="Calibri"/>
                <w:sz w:val="18"/>
                <w:szCs w:val="18"/>
              </w:rPr>
              <w:t>k</w:t>
            </w:r>
            <w:r>
              <w:rPr>
                <w:rFonts w:ascii="Arial" w:hAnsi="Arial" w:cs="Calibri"/>
                <w:sz w:val="18"/>
                <w:szCs w:val="18"/>
              </w:rPr>
              <w:lastRenderedPageBreak/>
              <w:t>tyczne efekty tych działań:</w:t>
            </w:r>
          </w:p>
          <w:p w:rsidR="00BF0B2E" w:rsidRDefault="004C6AE0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przypadku przekrocz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>nia kosztów zawartych w poszczególnych zad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niach zostanie zaangaż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wana rezerwa finansowa przewidziana w projekcie.</w:t>
            </w:r>
          </w:p>
          <w:p w:rsidR="00BF0B2E" w:rsidRDefault="004C6AE0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3. czy nastąpiła zmiana w zakresie danego ryzyka w stosunku do poprzedniego okresu sprawozdawczego: nie nastąpiła.</w:t>
            </w:r>
          </w:p>
          <w:p w:rsidR="00BF0B2E" w:rsidRDefault="00BF0B2E">
            <w:pPr>
              <w:spacing w:after="0" w:line="240" w:lineRule="auto"/>
              <w:rPr>
                <w:rFonts w:cs="Arial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cs="Calibri"/>
              </w:rPr>
            </w:pPr>
          </w:p>
          <w:p w:rsidR="00BF0B2E" w:rsidRDefault="004C6AE0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1. podejmowane działania zarządcze:</w:t>
            </w:r>
          </w:p>
          <w:p w:rsidR="00BF0B2E" w:rsidRDefault="004C6AE0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minimalizację tego ryzyka, powodowanego z prz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z w:val="18"/>
                <w:szCs w:val="18"/>
              </w:rPr>
              <w:t>czyn niezależnych od Wnioskodawcy, zapewni odpowiednia organizacja zamówień, uwzględniająca to zagrożenie. Wniosk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dawca przygotuje specyf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z w:val="18"/>
                <w:szCs w:val="18"/>
              </w:rPr>
              <w:t>kację SIWZ pod kątem przeprowadzenia przeta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gów w projekcie w taki szczegółowy sposób, aby ograniczyć lub wyelimin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wać pytania i protesty potencjalnych oferentów.</w:t>
            </w:r>
          </w:p>
          <w:p w:rsidR="00BF0B2E" w:rsidRDefault="004C6AE0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2. spodziewane lub fa</w:t>
            </w:r>
            <w:r>
              <w:rPr>
                <w:rFonts w:ascii="Arial" w:hAnsi="Arial" w:cs="Calibri"/>
                <w:sz w:val="18"/>
                <w:szCs w:val="18"/>
              </w:rPr>
              <w:t>k</w:t>
            </w:r>
            <w:r>
              <w:rPr>
                <w:rFonts w:ascii="Arial" w:hAnsi="Arial" w:cs="Calibri"/>
                <w:sz w:val="18"/>
                <w:szCs w:val="18"/>
              </w:rPr>
              <w:t>tyczne efekty tych działań:</w:t>
            </w:r>
          </w:p>
          <w:p w:rsidR="00BF0B2E" w:rsidRDefault="004C6AE0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brak opóźnień przy real</w:t>
            </w:r>
            <w:r>
              <w:rPr>
                <w:rFonts w:ascii="Arial" w:hAnsi="Arial" w:cs="Calibri"/>
                <w:sz w:val="18"/>
                <w:szCs w:val="18"/>
              </w:rPr>
              <w:t>i</w:t>
            </w:r>
            <w:r>
              <w:rPr>
                <w:rFonts w:ascii="Arial" w:hAnsi="Arial" w:cs="Calibri"/>
                <w:sz w:val="18"/>
                <w:szCs w:val="18"/>
              </w:rPr>
              <w:t>zacji zamówień public</w:t>
            </w:r>
            <w:r>
              <w:rPr>
                <w:rFonts w:ascii="Arial" w:hAnsi="Arial" w:cs="Calibri"/>
                <w:sz w:val="18"/>
                <w:szCs w:val="18"/>
              </w:rPr>
              <w:t>z</w:t>
            </w:r>
            <w:r>
              <w:rPr>
                <w:rFonts w:ascii="Arial" w:hAnsi="Arial" w:cs="Calibri"/>
                <w:sz w:val="18"/>
                <w:szCs w:val="18"/>
              </w:rPr>
              <w:t>nych</w:t>
            </w:r>
          </w:p>
          <w:p w:rsidR="00BF0B2E" w:rsidRDefault="004C6AE0">
            <w:pPr>
              <w:spacing w:after="0" w:line="240" w:lineRule="auto"/>
              <w:rPr>
                <w:rFonts w:cs="Arial"/>
              </w:rPr>
            </w:pPr>
            <w:r>
              <w:rPr>
                <w:rFonts w:ascii="Arial" w:hAnsi="Arial" w:cs="Calibri"/>
                <w:sz w:val="18"/>
                <w:szCs w:val="18"/>
              </w:rPr>
              <w:t>3. czy nastąpiła zmiana w zakresie danego ryzyka w stosunku do poprzedniego okresu sprawozdawczego: nie nastąpiła.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4C6AE0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1. podejmowane działania zarządcze:</w:t>
            </w:r>
          </w:p>
          <w:p w:rsidR="00BF0B2E" w:rsidRDefault="004C6AE0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Wnioskodawca będzie na każdym etapie realizacji projektu dokonywał ko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z w:val="18"/>
                <w:szCs w:val="18"/>
              </w:rPr>
              <w:t>troli postępów prac pr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gramistycznych, inwest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z w:val="18"/>
                <w:szCs w:val="18"/>
              </w:rPr>
              <w:t>cyjnych i wdrożeniowych. Umowy z dostawcami lub podwykonawcami będą starannie formułowane, aby wyeliminować ten czynnik ryzyka. Ponadto opracowany harmonogram zawiera niezbędny marg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z w:val="18"/>
                <w:szCs w:val="18"/>
              </w:rPr>
              <w:t>nes czasowy, pozwalający przeprowadzić projekt w zakładanym terminie.</w:t>
            </w:r>
          </w:p>
          <w:p w:rsidR="00BF0B2E" w:rsidRDefault="004C6AE0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2. spodziewane lub fa</w:t>
            </w:r>
            <w:r>
              <w:rPr>
                <w:rFonts w:ascii="Arial" w:hAnsi="Arial" w:cs="Calibri"/>
                <w:sz w:val="18"/>
                <w:szCs w:val="18"/>
              </w:rPr>
              <w:t>k</w:t>
            </w:r>
            <w:r>
              <w:rPr>
                <w:rFonts w:ascii="Arial" w:hAnsi="Arial" w:cs="Calibri"/>
                <w:sz w:val="18"/>
                <w:szCs w:val="18"/>
              </w:rPr>
              <w:t>tyczne efekty tych działań:</w:t>
            </w:r>
          </w:p>
          <w:p w:rsidR="00BF0B2E" w:rsidRDefault="004C6AE0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 xml:space="preserve">realizacja zadań zgodnie z </w:t>
            </w:r>
            <w:r>
              <w:rPr>
                <w:rFonts w:ascii="Arial" w:hAnsi="Arial" w:cs="Calibri"/>
                <w:sz w:val="18"/>
                <w:szCs w:val="18"/>
              </w:rPr>
              <w:lastRenderedPageBreak/>
              <w:t>harmonogramem projektu.</w:t>
            </w:r>
          </w:p>
          <w:p w:rsidR="00BF0B2E" w:rsidRDefault="004C6AE0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3. czy nastąpiła zmiana w zakresie danego ryzyka w stosunku do poprzedniego okresu sprawozdawczego: nie nastąpiła.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Calibri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Calibri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Calibri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Calibri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Calibri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Calibri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Calibri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Calibri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Calibri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Calibri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Calibri"/>
                <w:sz w:val="18"/>
                <w:szCs w:val="18"/>
              </w:rPr>
            </w:pPr>
          </w:p>
          <w:p w:rsidR="00BF0B2E" w:rsidRDefault="004C6AE0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1. podejmowane działania zarządcze:</w:t>
            </w:r>
          </w:p>
          <w:p w:rsidR="00BF0B2E" w:rsidRDefault="004C6AE0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zostanie wdrożony prec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z w:val="18"/>
                <w:szCs w:val="18"/>
              </w:rPr>
              <w:t>zyjny sposób zarządzania projektem oraz prowadz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ny będzie stały monitoring kadr projektu, a dobór kadry programistów i i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z w:val="18"/>
                <w:szCs w:val="18"/>
              </w:rPr>
              <w:t>formatyków będzie p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przedzony staranną anal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z w:val="18"/>
                <w:szCs w:val="18"/>
              </w:rPr>
              <w:t>zą kompetencji oraz kwal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z w:val="18"/>
                <w:szCs w:val="18"/>
              </w:rPr>
              <w:t>fikacji zgodnych z oczek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z w:val="18"/>
                <w:szCs w:val="18"/>
              </w:rPr>
              <w:t>waniami i wymogami tw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rzonego systemu.</w:t>
            </w:r>
          </w:p>
          <w:p w:rsidR="00BF0B2E" w:rsidRDefault="004C6AE0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2. spodziewane lub fa</w:t>
            </w:r>
            <w:r>
              <w:rPr>
                <w:rFonts w:ascii="Arial" w:hAnsi="Arial" w:cs="Calibri"/>
                <w:sz w:val="18"/>
                <w:szCs w:val="18"/>
              </w:rPr>
              <w:t>k</w:t>
            </w:r>
            <w:r>
              <w:rPr>
                <w:rFonts w:ascii="Arial" w:hAnsi="Arial" w:cs="Calibri"/>
                <w:sz w:val="18"/>
                <w:szCs w:val="18"/>
              </w:rPr>
              <w:t>tyczne efekty tych działań:</w:t>
            </w:r>
          </w:p>
          <w:p w:rsidR="00BF0B2E" w:rsidRDefault="004C6AE0">
            <w:pPr>
              <w:spacing w:after="0" w:line="240" w:lineRule="auto"/>
            </w:pPr>
            <w:r>
              <w:rPr>
                <w:rFonts w:ascii="Arial" w:hAnsi="Arial" w:cs="Calibri"/>
                <w:sz w:val="18"/>
                <w:szCs w:val="18"/>
              </w:rPr>
              <w:t>brak zmian kadrowych w zespole projektowym.</w:t>
            </w:r>
          </w:p>
          <w:p w:rsidR="00BF0B2E" w:rsidRDefault="004C6AE0">
            <w:pPr>
              <w:spacing w:after="0" w:line="240" w:lineRule="auto"/>
              <w:rPr>
                <w:rFonts w:ascii="Arial" w:hAnsi="Arial" w:cs="Calibri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3. czy nastąpiła zmiana w zakresie danego ryzyka w stosunku do poprzedniego okresu sprawozdawczego: nie nastąpiła.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4C6AE0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1. podejmowane działania zarządcze:</w:t>
            </w:r>
          </w:p>
          <w:p w:rsidR="00BF0B2E" w:rsidRDefault="004C6AE0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uzgodnienie szczegół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wego i spójnego zakresu prac oraz uwzględnienie wszystkich etapów real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z w:val="18"/>
                <w:szCs w:val="18"/>
              </w:rPr>
              <w:t>zacji z całej dokumentacji projektowej.</w:t>
            </w:r>
          </w:p>
          <w:p w:rsidR="00BF0B2E" w:rsidRDefault="004C6AE0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2. spodziewane lub fa</w:t>
            </w:r>
            <w:r>
              <w:rPr>
                <w:rFonts w:ascii="Arial" w:hAnsi="Arial" w:cs="Calibri"/>
                <w:sz w:val="18"/>
                <w:szCs w:val="18"/>
              </w:rPr>
              <w:t>k</w:t>
            </w:r>
            <w:r>
              <w:rPr>
                <w:rFonts w:ascii="Arial" w:hAnsi="Arial" w:cs="Calibri"/>
                <w:sz w:val="18"/>
                <w:szCs w:val="18"/>
              </w:rPr>
              <w:t>tyczne efekty tych działań:</w:t>
            </w:r>
          </w:p>
          <w:p w:rsidR="00BF0B2E" w:rsidRDefault="004C6AE0">
            <w:pPr>
              <w:spacing w:after="0" w:line="240" w:lineRule="auto"/>
              <w:rPr>
                <w:rFonts w:cs="Arial"/>
              </w:rPr>
            </w:pPr>
            <w:r>
              <w:rPr>
                <w:rFonts w:ascii="Arial" w:hAnsi="Arial" w:cs="Calibri"/>
                <w:sz w:val="18"/>
                <w:szCs w:val="18"/>
              </w:rPr>
              <w:t>brak zmian celów w tra</w:t>
            </w:r>
            <w:r>
              <w:rPr>
                <w:rFonts w:ascii="Arial" w:hAnsi="Arial" w:cs="Calibri"/>
                <w:sz w:val="18"/>
                <w:szCs w:val="18"/>
              </w:rPr>
              <w:t>k</w:t>
            </w:r>
            <w:r>
              <w:rPr>
                <w:rFonts w:ascii="Arial" w:hAnsi="Arial" w:cs="Calibri"/>
                <w:sz w:val="18"/>
                <w:szCs w:val="18"/>
              </w:rPr>
              <w:t>cie trwania projektu.</w:t>
            </w:r>
          </w:p>
          <w:p w:rsidR="00BF0B2E" w:rsidRDefault="004C6AE0">
            <w:pPr>
              <w:spacing w:after="0" w:line="240" w:lineRule="auto"/>
              <w:rPr>
                <w:rFonts w:cs="Arial"/>
              </w:rPr>
            </w:pPr>
            <w:r>
              <w:rPr>
                <w:rFonts w:ascii="Arial" w:hAnsi="Arial" w:cs="Calibri"/>
                <w:sz w:val="18"/>
                <w:szCs w:val="18"/>
              </w:rPr>
              <w:t>3. czy nastąpiła zmiana w zakresie danego ryzyka w stosunku do poprzedniego okresu sprawozdawczego: nie nastąpiła.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F0B2E" w:rsidRDefault="00BF0B2E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BF0B2E" w:rsidRDefault="004C6AE0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Look w:val="00A0"/>
      </w:tblPr>
      <w:tblGrid>
        <w:gridCol w:w="3162"/>
        <w:gridCol w:w="1694"/>
        <w:gridCol w:w="2296"/>
        <w:gridCol w:w="2628"/>
      </w:tblGrid>
      <w:tr w:rsidR="00BF0B2E">
        <w:trPr>
          <w:trHeight w:val="724"/>
        </w:trPr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F0B2E" w:rsidRDefault="004C6AE0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>
              <w:rPr>
                <w:rFonts w:ascii="Arial" w:eastAsia="MS MinNew Roman" w:hAnsi="Arial" w:cs="Arial"/>
                <w:b/>
                <w:bCs/>
                <w:sz w:val="20"/>
              </w:rPr>
              <w:lastRenderedPageBreak/>
              <w:t>Nazwa ryzyka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F0B2E" w:rsidRDefault="004C6AE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BF0B2E" w:rsidRDefault="004C6AE0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F0B2E" w:rsidRDefault="004C6AE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BF0B2E">
        <w:trPr>
          <w:trHeight w:val="724"/>
        </w:trPr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0B2E" w:rsidRDefault="004C6AE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Uzależnienie dalszych prac od w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y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konawcy (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pl-PL"/>
              </w:rPr>
              <w:t>vendor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pl-PL"/>
              </w:rPr>
              <w:t>lock-in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pl-PL"/>
              </w:rPr>
              <w:t>)</w:t>
            </w:r>
          </w:p>
          <w:p w:rsidR="00BF0B2E" w:rsidRDefault="00BF0B2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4C6AE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Awarie modułów oprogramowania i serwerowni</w:t>
            </w:r>
          </w:p>
          <w:p w:rsidR="00BF0B2E" w:rsidRDefault="00BF0B2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rPr>
                <w:rFonts w:cs="Arial"/>
                <w:lang w:eastAsia="pl-PL"/>
              </w:rPr>
            </w:pPr>
          </w:p>
          <w:p w:rsidR="00BF0B2E" w:rsidRDefault="004C6AE0">
            <w:pPr>
              <w:rPr>
                <w:rFonts w:ascii="Arial" w:hAnsi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pl-PL"/>
              </w:rPr>
              <w:t>Cyberataki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w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pl-PL"/>
              </w:rPr>
              <w:t>internecie</w:t>
            </w:r>
            <w:proofErr w:type="spellEnd"/>
          </w:p>
          <w:p w:rsidR="00BF0B2E" w:rsidRDefault="00BF0B2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4C6AE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Modyfikacja zgromadzonych danych</w:t>
            </w:r>
          </w:p>
          <w:p w:rsidR="00BF0B2E" w:rsidRDefault="00BF0B2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4C6AE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Zwiększony ruch na stronie</w:t>
            </w:r>
          </w:p>
          <w:p w:rsidR="00BF0B2E" w:rsidRDefault="00BF0B2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4C6AE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Niespójność danych pomiędzy po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r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talem on-line, a nowym Systemem Muzealnym</w:t>
            </w:r>
          </w:p>
          <w:p w:rsidR="00BF0B2E" w:rsidRDefault="00BF0B2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F0B2E" w:rsidRDefault="004C6AE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duża </w:t>
            </w:r>
          </w:p>
          <w:p w:rsidR="00BF0B2E" w:rsidRDefault="00BF0B2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4C6AE0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mała</w:t>
            </w:r>
          </w:p>
          <w:p w:rsidR="00BF0B2E" w:rsidRDefault="00BF0B2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rPr>
                <w:rFonts w:cs="Arial"/>
                <w:lang w:eastAsia="pl-PL"/>
              </w:rPr>
            </w:pPr>
          </w:p>
          <w:p w:rsidR="00BF0B2E" w:rsidRDefault="004C6AE0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mała</w:t>
            </w:r>
          </w:p>
          <w:p w:rsidR="00BF0B2E" w:rsidRDefault="00BF0B2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4C6AE0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mała</w:t>
            </w:r>
          </w:p>
          <w:p w:rsidR="00BF0B2E" w:rsidRDefault="00BF0B2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4C6AE0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mała</w:t>
            </w:r>
          </w:p>
          <w:p w:rsidR="00BF0B2E" w:rsidRDefault="00BF0B2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rPr>
                <w:rFonts w:cs="Arial"/>
                <w:lang w:eastAsia="pl-PL"/>
              </w:rPr>
            </w:pPr>
          </w:p>
          <w:p w:rsidR="00BF0B2E" w:rsidRDefault="004C6AE0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F0B2E" w:rsidRDefault="004C6AE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  <w:p w:rsidR="00BF0B2E" w:rsidRDefault="00BF0B2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4C6AE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Średnie</w:t>
            </w:r>
          </w:p>
          <w:p w:rsidR="00BF0B2E" w:rsidRDefault="00BF0B2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rPr>
                <w:rFonts w:cs="Arial"/>
                <w:lang w:eastAsia="pl-PL"/>
              </w:rPr>
            </w:pPr>
          </w:p>
          <w:p w:rsidR="00BF0B2E" w:rsidRDefault="004C6AE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Niskie</w:t>
            </w:r>
          </w:p>
          <w:p w:rsidR="00BF0B2E" w:rsidRDefault="00BF0B2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4C6AE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Średnie</w:t>
            </w:r>
          </w:p>
          <w:p w:rsidR="00BF0B2E" w:rsidRDefault="00BF0B2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4C6AE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Średnie</w:t>
            </w:r>
          </w:p>
          <w:p w:rsidR="00BF0B2E" w:rsidRDefault="00BF0B2E">
            <w:pPr>
              <w:rPr>
                <w:rFonts w:ascii="Arial" w:hAnsi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rPr>
                <w:rFonts w:ascii="Arial" w:hAnsi="Arial"/>
                <w:sz w:val="18"/>
                <w:szCs w:val="18"/>
                <w:lang w:eastAsia="pl-PL"/>
              </w:rPr>
            </w:pPr>
          </w:p>
          <w:p w:rsidR="00BF0B2E" w:rsidRDefault="004C6AE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F0B2E" w:rsidRDefault="004C6AE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Definiowanie jednoznacznych wymagań, utrzymanie otwartych standardów, modułowość rozwiązań.</w:t>
            </w:r>
          </w:p>
          <w:p w:rsidR="00BF0B2E" w:rsidRDefault="00BF0B2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4C6AE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Wsparcie powdrożeniowe oraz wprowadzanie poprawek w oprogramowaniu.</w:t>
            </w:r>
          </w:p>
          <w:p w:rsidR="00BF0B2E" w:rsidRDefault="00BF0B2E">
            <w:pPr>
              <w:rPr>
                <w:rFonts w:cs="Arial"/>
                <w:lang w:eastAsia="pl-PL"/>
              </w:rPr>
            </w:pPr>
          </w:p>
          <w:p w:rsidR="00BF0B2E" w:rsidRDefault="004C6AE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Stosowanie najnowszych rozwiązań w zakresie bezpi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e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czeństwa oraz audyt bezpi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e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czeństwa.</w:t>
            </w:r>
          </w:p>
          <w:p w:rsidR="00BF0B2E" w:rsidRDefault="00BF0B2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4C6AE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Wdrożenie mechanizmów w zakresie utrzymania integra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l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ności i wiarygodności info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r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macji oraz rozliczalności aktywności w systemie, st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sowanie mechanizmów kopii bezpieczeństwa.</w:t>
            </w:r>
          </w:p>
          <w:p w:rsidR="00BF0B2E" w:rsidRDefault="004C6AE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W przypadku wzrostów n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stąpi zwiększenie zasobów. Monitoring i Alerty.</w:t>
            </w:r>
          </w:p>
          <w:p w:rsidR="00BF0B2E" w:rsidRDefault="00BF0B2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4C6AE0">
            <w:pPr>
              <w:rPr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Planuje się użycie obecnie istniejącej bazy danych tylko w minimalnym stopniu - do umieszczania i prezentowania dzieł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pl-PL"/>
              </w:rPr>
              <w:t>on-line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, które zostaną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pl-PL"/>
              </w:rPr>
              <w:t>zdigitalizowane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i umieszczone w nowym oprogramowaniu Systemu Muzealnego. Nie występuje ryzyko dublowania danych - dane w bazie portalu on-line mają charakter repr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e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zentacyjny - informacyjny.</w:t>
            </w:r>
          </w:p>
        </w:tc>
      </w:tr>
    </w:tbl>
    <w:p w:rsidR="00BF0B2E" w:rsidRDefault="004C6AE0">
      <w:pPr>
        <w:pStyle w:val="Akapitzlist"/>
        <w:numPr>
          <w:ilvl w:val="0"/>
          <w:numId w:val="1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:rsidR="00BF0B2E" w:rsidRDefault="004C6AE0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</w:rPr>
        <w:t>Nie dotyczy.</w:t>
      </w:r>
    </w:p>
    <w:p w:rsidR="00BF0B2E" w:rsidRDefault="004C6AE0">
      <w:pPr>
        <w:pStyle w:val="Akapitzlist"/>
        <w:numPr>
          <w:ilvl w:val="0"/>
          <w:numId w:val="1"/>
        </w:numPr>
        <w:spacing w:before="360"/>
        <w:jc w:val="both"/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>
        <w:rPr>
          <w:rFonts w:ascii="Arial" w:hAnsi="Arial" w:cs="Arial"/>
          <w:b/>
        </w:rPr>
        <w:t xml:space="preserve"> </w:t>
      </w:r>
      <w:bookmarkStart w:id="6" w:name="_Hlk18274129"/>
      <w:r>
        <w:rPr>
          <w:rFonts w:ascii="Arial" w:hAnsi="Arial" w:cs="Arial"/>
        </w:rPr>
        <w:t xml:space="preserve">Emilia Antosz, Muzeum Sztuki w Łodzi, </w:t>
      </w:r>
      <w:hyperlink r:id="rId8">
        <w:r>
          <w:rPr>
            <w:rStyle w:val="czeinternetowe"/>
            <w:rFonts w:ascii="Arial" w:hAnsi="Arial" w:cs="Arial"/>
          </w:rPr>
          <w:t>e.antosz@msl.org.pl</w:t>
        </w:r>
      </w:hyperlink>
      <w:r>
        <w:rPr>
          <w:rFonts w:ascii="Arial" w:hAnsi="Arial" w:cs="Arial"/>
        </w:rPr>
        <w:t xml:space="preserve"> tel. 531 621 813 </w:t>
      </w:r>
      <w:bookmarkEnd w:id="6"/>
    </w:p>
    <w:p w:rsidR="00BF0B2E" w:rsidRDefault="00BF0B2E">
      <w:pPr>
        <w:spacing w:after="0"/>
        <w:jc w:val="both"/>
        <w:rPr>
          <w:rFonts w:ascii="Arial" w:hAnsi="Arial" w:cs="Arial"/>
        </w:rPr>
      </w:pPr>
    </w:p>
    <w:p w:rsidR="00BF0B2E" w:rsidRDefault="00BF0B2E">
      <w:pPr>
        <w:spacing w:after="0"/>
        <w:jc w:val="both"/>
        <w:rPr>
          <w:rFonts w:ascii="Arial" w:hAnsi="Arial" w:cs="Arial"/>
        </w:rPr>
      </w:pPr>
    </w:p>
    <w:p w:rsidR="00BF0B2E" w:rsidRDefault="00BF0B2E">
      <w:pPr>
        <w:spacing w:after="0"/>
        <w:jc w:val="both"/>
      </w:pPr>
    </w:p>
    <w:sectPr w:rsidR="00BF0B2E" w:rsidSect="00FE3AB8">
      <w:footerReference w:type="default" r:id="rId9"/>
      <w:pgSz w:w="11906" w:h="16838"/>
      <w:pgMar w:top="1416" w:right="1416" w:bottom="1417" w:left="1416" w:header="0" w:footer="709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pgNumType w:start="1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7E1E" w:rsidRDefault="004C6AE0">
      <w:pPr>
        <w:spacing w:after="0" w:line="240" w:lineRule="auto"/>
      </w:pPr>
      <w:r>
        <w:separator/>
      </w:r>
    </w:p>
  </w:endnote>
  <w:endnote w:type="continuationSeparator" w:id="1">
    <w:p w:rsidR="005B7E1E" w:rsidRDefault="004C6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roman"/>
    <w:pitch w:val="variable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73311464"/>
      <w:docPartObj>
        <w:docPartGallery w:val="Page Numbers (Top of Page)"/>
        <w:docPartUnique/>
      </w:docPartObj>
    </w:sdtPr>
    <w:sdtContent>
      <w:p w:rsidR="00BF0B2E" w:rsidRDefault="004C6AE0">
        <w:pPr>
          <w:pStyle w:val="Stopka1"/>
          <w:jc w:val="right"/>
        </w:pPr>
        <w:r>
          <w:t xml:space="preserve">Strona </w:t>
        </w:r>
        <w:r w:rsidR="00FE3AB8"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 w:rsidR="00FE3AB8">
          <w:rPr>
            <w:b/>
            <w:bCs/>
            <w:sz w:val="24"/>
            <w:szCs w:val="24"/>
          </w:rPr>
          <w:fldChar w:fldCharType="separate"/>
        </w:r>
        <w:r w:rsidR="004D1EFB">
          <w:rPr>
            <w:b/>
            <w:bCs/>
            <w:noProof/>
            <w:sz w:val="24"/>
            <w:szCs w:val="24"/>
          </w:rPr>
          <w:t>4</w:t>
        </w:r>
        <w:r w:rsidR="00FE3AB8"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</w:rPr>
          <w:t>5</w:t>
        </w:r>
      </w:p>
    </w:sdtContent>
  </w:sdt>
  <w:p w:rsidR="00BF0B2E" w:rsidRDefault="00BF0B2E">
    <w:pPr>
      <w:pStyle w:val="Stopka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0B2E" w:rsidRDefault="004C6AE0">
      <w:r>
        <w:separator/>
      </w:r>
    </w:p>
  </w:footnote>
  <w:footnote w:type="continuationSeparator" w:id="1">
    <w:p w:rsidR="00BF0B2E" w:rsidRDefault="004C6AE0">
      <w:r>
        <w:continuationSeparator/>
      </w:r>
    </w:p>
  </w:footnote>
  <w:footnote w:id="2">
    <w:p w:rsidR="00BF0B2E" w:rsidRDefault="004C6AE0">
      <w:pPr>
        <w:pStyle w:val="Tekstprzypisudolnego1"/>
      </w:pPr>
      <w:r>
        <w:rPr>
          <w:rStyle w:val="Znakiprzypiswdolnych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CA2FC3"/>
    <w:multiLevelType w:val="multilevel"/>
    <w:tmpl w:val="0FB298C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/>
        <w:i w:val="0"/>
        <w:color w:val="auto"/>
        <w:sz w:val="24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083ADF"/>
    <w:multiLevelType w:val="multilevel"/>
    <w:tmpl w:val="858CE04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F0B2E"/>
    <w:rsid w:val="001B0BEC"/>
    <w:rsid w:val="004C6AE0"/>
    <w:rsid w:val="004D1EFB"/>
    <w:rsid w:val="004E481D"/>
    <w:rsid w:val="005B7E1E"/>
    <w:rsid w:val="00BF0B2E"/>
    <w:rsid w:val="00FE3A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nhideWhenUsed/>
    <w:qFormat/>
    <w:rsid w:val="001C2D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C2D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C2D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2D74"/>
    <w:rPr>
      <w:rFonts w:ascii="Segoe UI" w:hAnsi="Segoe UI" w:cs="Segoe UI"/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qFormat/>
    <w:rsid w:val="00BB2420"/>
    <w:rPr>
      <w:sz w:val="20"/>
      <w:szCs w:val="20"/>
    </w:rPr>
  </w:style>
  <w:style w:type="character" w:customStyle="1" w:styleId="Zakotwiczenieprzypisudolnego">
    <w:name w:val="Zakotwiczenie przypisu dolnego"/>
    <w:rsid w:val="00747005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1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1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1"/>
    <w:uiPriority w:val="9"/>
    <w:qFormat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C77BB"/>
  </w:style>
  <w:style w:type="character" w:customStyle="1" w:styleId="StopkaZnak">
    <w:name w:val="Stopka Znak"/>
    <w:basedOn w:val="Domylnaczcionkaakapitu"/>
    <w:link w:val="Stopka1"/>
    <w:uiPriority w:val="99"/>
    <w:qFormat/>
    <w:rsid w:val="005C77BB"/>
  </w:style>
  <w:style w:type="character" w:customStyle="1" w:styleId="BodyText1Char">
    <w:name w:val="Body Text 1 Char"/>
    <w:basedOn w:val="Domylnaczcionkaakapitu"/>
    <w:link w:val="BodyText1"/>
    <w:qFormat/>
    <w:rsid w:val="002B6F21"/>
    <w:rPr>
      <w:rFonts w:ascii="Arial" w:eastAsia="Times New Roman" w:hAnsi="Arial" w:cs="Arial"/>
      <w:b/>
      <w:iCs/>
      <w:color w:val="0070C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6A60AA"/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AE1643"/>
  </w:style>
  <w:style w:type="character" w:customStyle="1" w:styleId="czeinternetowe">
    <w:name w:val="Łącze internetowe"/>
    <w:basedOn w:val="Domylnaczcionkaakapitu"/>
    <w:uiPriority w:val="99"/>
    <w:unhideWhenUsed/>
    <w:rsid w:val="00D67AA2"/>
    <w:rPr>
      <w:color w:val="0563C1" w:themeColor="hyperlink"/>
      <w:u w:val="single"/>
    </w:rPr>
  </w:style>
  <w:style w:type="character" w:customStyle="1" w:styleId="ListLabel1">
    <w:name w:val="ListLabel 1"/>
    <w:qFormat/>
    <w:rsid w:val="00747005"/>
    <w:rPr>
      <w:i w:val="0"/>
      <w:color w:val="auto"/>
    </w:rPr>
  </w:style>
  <w:style w:type="character" w:customStyle="1" w:styleId="ListLabel2">
    <w:name w:val="ListLabel 2"/>
    <w:qFormat/>
    <w:rsid w:val="00747005"/>
    <w:rPr>
      <w:i w:val="0"/>
      <w:color w:val="auto"/>
    </w:rPr>
  </w:style>
  <w:style w:type="character" w:customStyle="1" w:styleId="ListLabel3">
    <w:name w:val="ListLabel 3"/>
    <w:qFormat/>
    <w:rsid w:val="00747005"/>
    <w:rPr>
      <w:i w:val="0"/>
      <w:color w:val="auto"/>
    </w:rPr>
  </w:style>
  <w:style w:type="character" w:customStyle="1" w:styleId="ListLabel4">
    <w:name w:val="ListLabel 4"/>
    <w:qFormat/>
    <w:rsid w:val="00747005"/>
    <w:rPr>
      <w:rFonts w:eastAsia="Calibri"/>
    </w:rPr>
  </w:style>
  <w:style w:type="character" w:customStyle="1" w:styleId="ListLabel5">
    <w:name w:val="ListLabel 5"/>
    <w:qFormat/>
    <w:rsid w:val="00747005"/>
    <w:rPr>
      <w:rFonts w:cs="Courier New"/>
    </w:rPr>
  </w:style>
  <w:style w:type="character" w:customStyle="1" w:styleId="ListLabel6">
    <w:name w:val="ListLabel 6"/>
    <w:qFormat/>
    <w:rsid w:val="00747005"/>
    <w:rPr>
      <w:rFonts w:cs="Courier New"/>
    </w:rPr>
  </w:style>
  <w:style w:type="character" w:customStyle="1" w:styleId="ListLabel7">
    <w:name w:val="ListLabel 7"/>
    <w:qFormat/>
    <w:rsid w:val="00747005"/>
    <w:rPr>
      <w:rFonts w:cs="Courier New"/>
    </w:rPr>
  </w:style>
  <w:style w:type="character" w:customStyle="1" w:styleId="ListLabel8">
    <w:name w:val="ListLabel 8"/>
    <w:qFormat/>
    <w:rsid w:val="00747005"/>
    <w:rPr>
      <w:rFonts w:cs="Calibri Light"/>
      <w:i w:val="0"/>
      <w:sz w:val="22"/>
      <w:szCs w:val="22"/>
    </w:rPr>
  </w:style>
  <w:style w:type="character" w:customStyle="1" w:styleId="ListLabel9">
    <w:name w:val="ListLabel 9"/>
    <w:qFormat/>
    <w:rsid w:val="00747005"/>
    <w:rPr>
      <w:i w:val="0"/>
      <w:color w:val="auto"/>
    </w:rPr>
  </w:style>
  <w:style w:type="character" w:customStyle="1" w:styleId="ListLabel10">
    <w:name w:val="ListLabel 10"/>
    <w:qFormat/>
    <w:rsid w:val="00747005"/>
    <w:rPr>
      <w:i w:val="0"/>
      <w:color w:val="auto"/>
    </w:rPr>
  </w:style>
  <w:style w:type="character" w:customStyle="1" w:styleId="ListLabel11">
    <w:name w:val="ListLabel 11"/>
    <w:qFormat/>
    <w:rsid w:val="00747005"/>
    <w:rPr>
      <w:i w:val="0"/>
      <w:color w:val="auto"/>
    </w:rPr>
  </w:style>
  <w:style w:type="character" w:customStyle="1" w:styleId="ListLabel12">
    <w:name w:val="ListLabel 12"/>
    <w:qFormat/>
    <w:rsid w:val="00747005"/>
    <w:rPr>
      <w:rFonts w:cs="Calibri Light"/>
      <w:i w:val="0"/>
      <w:sz w:val="22"/>
      <w:szCs w:val="22"/>
    </w:rPr>
  </w:style>
  <w:style w:type="character" w:customStyle="1" w:styleId="ListLabel13">
    <w:name w:val="ListLabel 13"/>
    <w:qFormat/>
    <w:rsid w:val="00747005"/>
    <w:rPr>
      <w:rFonts w:cs="Courier New"/>
    </w:rPr>
  </w:style>
  <w:style w:type="character" w:customStyle="1" w:styleId="ListLabel14">
    <w:name w:val="ListLabel 14"/>
    <w:qFormat/>
    <w:rsid w:val="00747005"/>
    <w:rPr>
      <w:rFonts w:cs="Courier New"/>
    </w:rPr>
  </w:style>
  <w:style w:type="character" w:customStyle="1" w:styleId="ListLabel15">
    <w:name w:val="ListLabel 15"/>
    <w:qFormat/>
    <w:rsid w:val="00747005"/>
    <w:rPr>
      <w:rFonts w:cs="Courier New"/>
    </w:rPr>
  </w:style>
  <w:style w:type="character" w:customStyle="1" w:styleId="ListLabel16">
    <w:name w:val="ListLabel 16"/>
    <w:qFormat/>
    <w:rsid w:val="00747005"/>
    <w:rPr>
      <w:b/>
      <w:i w:val="0"/>
      <w:color w:val="0070C0"/>
    </w:rPr>
  </w:style>
  <w:style w:type="character" w:customStyle="1" w:styleId="ListLabel17">
    <w:name w:val="ListLabel 17"/>
    <w:qFormat/>
    <w:rsid w:val="00747005"/>
    <w:rPr>
      <w:b/>
      <w:i w:val="0"/>
      <w:color w:val="0070C0"/>
    </w:rPr>
  </w:style>
  <w:style w:type="character" w:customStyle="1" w:styleId="ListLabel18">
    <w:name w:val="ListLabel 18"/>
    <w:qFormat/>
    <w:rsid w:val="00747005"/>
    <w:rPr>
      <w:b/>
      <w:i w:val="0"/>
      <w:color w:val="0070C0"/>
    </w:rPr>
  </w:style>
  <w:style w:type="character" w:customStyle="1" w:styleId="ListLabel19">
    <w:name w:val="ListLabel 19"/>
    <w:qFormat/>
    <w:rsid w:val="00747005"/>
    <w:rPr>
      <w:b/>
      <w:i w:val="0"/>
      <w:color w:val="2E74B5"/>
      <w:sz w:val="26"/>
      <w:szCs w:val="26"/>
    </w:rPr>
  </w:style>
  <w:style w:type="character" w:customStyle="1" w:styleId="ListLabel20">
    <w:name w:val="ListLabel 20"/>
    <w:qFormat/>
    <w:rsid w:val="00747005"/>
    <w:rPr>
      <w:b/>
      <w:i w:val="0"/>
      <w:color w:val="2E74B5"/>
      <w:sz w:val="26"/>
      <w:szCs w:val="26"/>
    </w:rPr>
  </w:style>
  <w:style w:type="character" w:customStyle="1" w:styleId="ListLabel21">
    <w:name w:val="ListLabel 21"/>
    <w:qFormat/>
    <w:rsid w:val="00747005"/>
    <w:rPr>
      <w:rFonts w:ascii="Arial" w:hAnsi="Arial"/>
      <w:b/>
      <w:i w:val="0"/>
      <w:color w:val="auto"/>
      <w:sz w:val="24"/>
      <w:szCs w:val="26"/>
    </w:rPr>
  </w:style>
  <w:style w:type="character" w:customStyle="1" w:styleId="ListLabel22">
    <w:name w:val="ListLabel 22"/>
    <w:qFormat/>
    <w:rsid w:val="00747005"/>
    <w:rPr>
      <w:rFonts w:cs="Courier New"/>
    </w:rPr>
  </w:style>
  <w:style w:type="character" w:customStyle="1" w:styleId="ListLabel23">
    <w:name w:val="ListLabel 23"/>
    <w:qFormat/>
    <w:rsid w:val="00747005"/>
    <w:rPr>
      <w:rFonts w:cs="Courier New"/>
    </w:rPr>
  </w:style>
  <w:style w:type="character" w:customStyle="1" w:styleId="ListLabel24">
    <w:name w:val="ListLabel 24"/>
    <w:qFormat/>
    <w:rsid w:val="00747005"/>
    <w:rPr>
      <w:rFonts w:cs="Courier New"/>
    </w:rPr>
  </w:style>
  <w:style w:type="character" w:customStyle="1" w:styleId="ListLabel25">
    <w:name w:val="ListLabel 25"/>
    <w:qFormat/>
    <w:rsid w:val="00747005"/>
    <w:rPr>
      <w:rFonts w:ascii="Arial" w:hAnsi="Arial" w:cs="Arial"/>
    </w:rPr>
  </w:style>
  <w:style w:type="character" w:customStyle="1" w:styleId="Znakiprzypiswdolnych">
    <w:name w:val="Znaki przypisów dolnych"/>
    <w:qFormat/>
    <w:rsid w:val="00747005"/>
  </w:style>
  <w:style w:type="character" w:customStyle="1" w:styleId="Zakotwiczenieprzypisukocowego">
    <w:name w:val="Zakotwiczenie przypisu końcowego"/>
    <w:rsid w:val="00747005"/>
    <w:rPr>
      <w:vertAlign w:val="superscript"/>
    </w:rPr>
  </w:style>
  <w:style w:type="character" w:customStyle="1" w:styleId="Znakiprzypiswkocowych">
    <w:name w:val="Znaki przypisów końcowych"/>
    <w:qFormat/>
    <w:rsid w:val="00747005"/>
  </w:style>
  <w:style w:type="character" w:customStyle="1" w:styleId="ListLabel26">
    <w:name w:val="ListLabel 26"/>
    <w:qFormat/>
    <w:rsid w:val="00747005"/>
    <w:rPr>
      <w:rFonts w:ascii="Arial" w:hAnsi="Arial"/>
      <w:b/>
      <w:i w:val="0"/>
      <w:color w:val="auto"/>
      <w:sz w:val="24"/>
      <w:szCs w:val="26"/>
    </w:rPr>
  </w:style>
  <w:style w:type="character" w:customStyle="1" w:styleId="ListLabel27">
    <w:name w:val="ListLabel 27"/>
    <w:qFormat/>
    <w:rsid w:val="00747005"/>
    <w:rPr>
      <w:rFonts w:ascii="Arial" w:hAnsi="Arial" w:cs="Arial"/>
    </w:rPr>
  </w:style>
  <w:style w:type="character" w:customStyle="1" w:styleId="ListLabel28">
    <w:name w:val="ListLabel 28"/>
    <w:qFormat/>
    <w:rsid w:val="00747005"/>
    <w:rPr>
      <w:rFonts w:ascii="Arial" w:hAnsi="Arial"/>
      <w:b/>
      <w:i w:val="0"/>
      <w:color w:val="auto"/>
      <w:sz w:val="24"/>
      <w:szCs w:val="26"/>
    </w:rPr>
  </w:style>
  <w:style w:type="character" w:customStyle="1" w:styleId="ListLabel29">
    <w:name w:val="ListLabel 29"/>
    <w:qFormat/>
    <w:rsid w:val="00747005"/>
    <w:rPr>
      <w:rFonts w:ascii="Arial" w:hAnsi="Arial" w:cs="Arial"/>
    </w:rPr>
  </w:style>
  <w:style w:type="character" w:customStyle="1" w:styleId="ListLabel30">
    <w:name w:val="ListLabel 30"/>
    <w:qFormat/>
    <w:rsid w:val="00747005"/>
    <w:rPr>
      <w:rFonts w:ascii="Arial" w:hAnsi="Arial"/>
      <w:b/>
      <w:i w:val="0"/>
      <w:color w:val="auto"/>
      <w:sz w:val="24"/>
      <w:szCs w:val="26"/>
    </w:rPr>
  </w:style>
  <w:style w:type="character" w:customStyle="1" w:styleId="ListLabel31">
    <w:name w:val="ListLabel 31"/>
    <w:qFormat/>
    <w:rsid w:val="00747005"/>
    <w:rPr>
      <w:rFonts w:ascii="Arial" w:hAnsi="Arial" w:cs="Arial"/>
    </w:rPr>
  </w:style>
  <w:style w:type="character" w:customStyle="1" w:styleId="ListLabel32">
    <w:name w:val="ListLabel 32"/>
    <w:qFormat/>
    <w:rsid w:val="00747005"/>
    <w:rPr>
      <w:rFonts w:ascii="Arial" w:hAnsi="Arial"/>
      <w:b/>
      <w:i w:val="0"/>
      <w:color w:val="auto"/>
      <w:sz w:val="24"/>
      <w:szCs w:val="26"/>
    </w:rPr>
  </w:style>
  <w:style w:type="character" w:customStyle="1" w:styleId="ListLabel33">
    <w:name w:val="ListLabel 33"/>
    <w:qFormat/>
    <w:rsid w:val="00747005"/>
    <w:rPr>
      <w:rFonts w:ascii="Arial" w:hAnsi="Arial" w:cs="Arial"/>
    </w:rPr>
  </w:style>
  <w:style w:type="character" w:customStyle="1" w:styleId="ListLabel34">
    <w:name w:val="ListLabel 34"/>
    <w:qFormat/>
    <w:rsid w:val="00FE3AB8"/>
    <w:rPr>
      <w:rFonts w:ascii="Arial" w:hAnsi="Arial"/>
      <w:b/>
      <w:i w:val="0"/>
      <w:color w:val="auto"/>
      <w:sz w:val="24"/>
      <w:szCs w:val="26"/>
    </w:rPr>
  </w:style>
  <w:style w:type="character" w:customStyle="1" w:styleId="ListLabel35">
    <w:name w:val="ListLabel 35"/>
    <w:qFormat/>
    <w:rsid w:val="00FE3AB8"/>
    <w:rPr>
      <w:rFonts w:ascii="Arial" w:hAnsi="Arial" w:cs="Arial"/>
    </w:rPr>
  </w:style>
  <w:style w:type="character" w:customStyle="1" w:styleId="ListLabel36">
    <w:name w:val="ListLabel 36"/>
    <w:qFormat/>
    <w:rsid w:val="00FE3AB8"/>
    <w:rPr>
      <w:rFonts w:ascii="Arial" w:hAnsi="Arial"/>
      <w:b/>
      <w:i w:val="0"/>
      <w:color w:val="auto"/>
      <w:sz w:val="24"/>
      <w:szCs w:val="26"/>
    </w:rPr>
  </w:style>
  <w:style w:type="character" w:customStyle="1" w:styleId="ListLabel37">
    <w:name w:val="ListLabel 37"/>
    <w:qFormat/>
    <w:rsid w:val="00FE3AB8"/>
    <w:rPr>
      <w:rFonts w:ascii="Arial" w:hAnsi="Arial" w:cs="Arial"/>
    </w:rPr>
  </w:style>
  <w:style w:type="paragraph" w:styleId="Nagwek">
    <w:name w:val="header"/>
    <w:basedOn w:val="Normalny"/>
    <w:next w:val="Tekstpodstawowy"/>
    <w:link w:val="NagwekZnak"/>
    <w:qFormat/>
    <w:rsid w:val="0074700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paragraph" w:styleId="Lista">
    <w:name w:val="List"/>
    <w:basedOn w:val="Tekstpodstawowy"/>
    <w:rsid w:val="00747005"/>
    <w:rPr>
      <w:rFonts w:cs="Arial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2"/>
      <w:sz w:val="24"/>
      <w:szCs w:val="24"/>
    </w:rPr>
  </w:style>
  <w:style w:type="paragraph" w:customStyle="1" w:styleId="Indeks">
    <w:name w:val="Indeks"/>
    <w:basedOn w:val="Normalny"/>
    <w:qFormat/>
    <w:rsid w:val="00747005"/>
    <w:pPr>
      <w:suppressLineNumbers/>
    </w:pPr>
    <w:rPr>
      <w:rFonts w:cs="Arial"/>
    </w:rPr>
  </w:style>
  <w:style w:type="paragraph" w:customStyle="1" w:styleId="Nagwek11">
    <w:name w:val="Nagłówek 1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Nagwek21">
    <w:name w:val="Nagłówek 21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Nagwek31">
    <w:name w:val="Nagłówek 31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Legenda1">
    <w:name w:val="Legenda1"/>
    <w:basedOn w:val="Normalny"/>
    <w:qFormat/>
    <w:rsid w:val="0074700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C2D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C2D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unhideWhenUsed/>
    <w:qFormat/>
    <w:rsid w:val="00BB2420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qFormat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qFormat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Bodytext1blueitalic">
    <w:name w:val="Body text 1 + blue + italic"/>
    <w:basedOn w:val="Normalny"/>
    <w:autoRedefine/>
    <w:qFormat/>
    <w:rsid w:val="002B6F21"/>
    <w:pPr>
      <w:widowControl w:val="0"/>
      <w:spacing w:before="240" w:after="240" w:line="240" w:lineRule="auto"/>
      <w:ind w:left="360"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widowControl w:val="0"/>
      <w:spacing w:before="240" w:after="240" w:line="240" w:lineRule="auto"/>
      <w:ind w:left="360"/>
    </w:pPr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qFormat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paragraph" w:customStyle="1" w:styleId="LO-normal">
    <w:name w:val="LO-normal"/>
    <w:qFormat/>
    <w:rsid w:val="00747005"/>
    <w:rPr>
      <w:sz w:val="22"/>
    </w:rPr>
  </w:style>
  <w:style w:type="paragraph" w:styleId="Tekstprzypisudolnego">
    <w:name w:val="footnote text"/>
    <w:basedOn w:val="Normalny"/>
    <w:rsid w:val="00FE3AB8"/>
  </w:style>
  <w:style w:type="paragraph" w:styleId="Stopka">
    <w:name w:val="footer"/>
    <w:basedOn w:val="Normalny"/>
    <w:rsid w:val="00FE3AB8"/>
  </w:style>
  <w:style w:type="table" w:styleId="Tabela-Siatka">
    <w:name w:val="Table Grid"/>
    <w:basedOn w:val="Standardowy"/>
    <w:uiPriority w:val="39"/>
    <w:rsid w:val="00C42A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.antosz@msl.org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18D14E-72A1-4599-8A40-80F286ED7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1678</Words>
  <Characters>10070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EAntosz</dc:creator>
  <dc:description/>
  <cp:lastModifiedBy>IBM</cp:lastModifiedBy>
  <cp:revision>3</cp:revision>
  <dcterms:created xsi:type="dcterms:W3CDTF">2021-08-10T08:11:00Z</dcterms:created>
  <dcterms:modified xsi:type="dcterms:W3CDTF">2021-08-12T12:14:00Z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