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B" w:rsidRPr="0046048B" w:rsidRDefault="004C0E4B" w:rsidP="0046048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46048B">
        <w:rPr>
          <w:rFonts w:ascii="Verdana" w:hAnsi="Verdana" w:cs="Arial"/>
          <w:b/>
          <w:sz w:val="28"/>
          <w:szCs w:val="28"/>
        </w:rPr>
        <w:t xml:space="preserve">Wymagania techniczne dla uprzywilejowania w ruchu. </w:t>
      </w:r>
    </w:p>
    <w:p w:rsidR="004C0E4B" w:rsidRPr="00564ED3" w:rsidRDefault="004C0E4B" w:rsidP="004C0E4B">
      <w:pPr>
        <w:spacing w:after="0" w:line="240" w:lineRule="auto"/>
        <w:ind w:left="851" w:hanging="851"/>
        <w:rPr>
          <w:rFonts w:ascii="Verdana" w:hAnsi="Verdana" w:cs="Arial"/>
          <w:b/>
          <w:sz w:val="17"/>
          <w:szCs w:val="17"/>
        </w:rPr>
      </w:pPr>
    </w:p>
    <w:p w:rsidR="002C5887" w:rsidRPr="0046048B" w:rsidRDefault="004C0E4B" w:rsidP="00A760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Pojazd musi być wyposażony w system uprzywilejowania w ruchu drogowym, w którego skład wchodzić muszą urząd</w:t>
      </w:r>
      <w:r w:rsidR="00A760E8">
        <w:rPr>
          <w:rFonts w:ascii="Arial" w:hAnsi="Arial" w:cs="Arial"/>
          <w:sz w:val="20"/>
          <w:szCs w:val="20"/>
        </w:rPr>
        <w:t xml:space="preserve">zenia określone w pkt. od 2 do </w:t>
      </w:r>
      <w:r w:rsidRPr="0046048B">
        <w:rPr>
          <w:rFonts w:ascii="Arial" w:hAnsi="Arial" w:cs="Arial"/>
          <w:sz w:val="20"/>
          <w:szCs w:val="20"/>
        </w:rPr>
        <w:t>13.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Na dachu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 xml:space="preserve">pojazdu należy zamontować symetrycznie i prostopadle do podłużnej osi symetrii pojazdu, zespoloną lampę ostrzegawczą spełniająca wymagania określone w Regulaminie </w:t>
      </w:r>
      <w:bookmarkStart w:id="0" w:name="_GoBack"/>
      <w:bookmarkEnd w:id="0"/>
      <w:r w:rsidRPr="0046048B">
        <w:rPr>
          <w:rFonts w:ascii="Arial" w:eastAsia="Times New Roman" w:hAnsi="Arial" w:cs="Arial"/>
          <w:sz w:val="20"/>
          <w:szCs w:val="20"/>
          <w:lang w:eastAsia="ar-SA"/>
        </w:rPr>
        <w:t>65 EKG ONZ dla klasy 2. Lampa musi być wyposażona w automatyczną funkcje przełączania trybu dzień/noc. Funkcja włączenia jednego z trybów musi być sygnalizowana świeceniem się lampki kontrolnej umieszczonej np. w man</w:t>
      </w:r>
      <w:r w:rsidR="008D1FF1">
        <w:rPr>
          <w:rFonts w:ascii="Arial" w:eastAsia="Times New Roman" w:hAnsi="Arial" w:cs="Arial"/>
          <w:sz w:val="20"/>
          <w:szCs w:val="20"/>
          <w:lang w:eastAsia="ar-SA"/>
        </w:rPr>
        <w:t xml:space="preserve">ipulatorze opisanym w pkt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13. Lampa nie może wystawać poza obrys dachu i musi być zamontowana w sposób, jak najmniej ingerujący w strukturę pojazdu oraz umożliwiający mycie pojazdu w myjni automatycznej szczotkowej bez konieczności jej demontażu. Wytrzymałość lampy ostrzegawczej wraz z mocowaniami, zamontowanej w pojeździe musi zapewnić pewne przytrzymanie podczas zadziałania opóźnienia o wartości co najmniej 5g w pięciu prostopadłych kierunkach: do przodu (X+), do tyłu (X-), w lewo (Y+), w prawo (Y-), pionowo (Z+).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Spełnienie wymogu musi być potwierdzone oświadczeniem Wykonawcy wystawionym na podstawie sprawozdania z badań wykonanego metodą niszczącą lub obliczeniową (symulacja komputerowa) przez akredytowaną jednostkę badawczą oraz pozytywnym wynikiem oględzin dokonanych przez przedstawicieli Zamawiającego w fazie oceny projektu modyfikacji pojazdu.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Wszystkie przewody doprowadzone do lampy ostrzegawczej muszą być poprowadzone </w:t>
      </w:r>
      <w:r w:rsidR="008D1FF1">
        <w:rPr>
          <w:rFonts w:ascii="Arial" w:hAnsi="Arial" w:cs="Arial"/>
          <w:sz w:val="20"/>
          <w:szCs w:val="20"/>
        </w:rPr>
        <w:br/>
      </w:r>
      <w:r w:rsidRPr="0046048B">
        <w:rPr>
          <w:rFonts w:ascii="Arial" w:hAnsi="Arial" w:cs="Arial"/>
          <w:sz w:val="20"/>
          <w:szCs w:val="20"/>
        </w:rPr>
        <w:t>w sposób wykorzystujący fabryczne otwory i elementy pojazdu. Zamawiający dopuszcza zastosowanie systemu montażu lampy bezpośrednio do dachu pojazdu, lecz w takim przypadku Wykonawca zobowiązany jest do zastosowania pr</w:t>
      </w:r>
      <w:r w:rsidR="00312DB9">
        <w:rPr>
          <w:rFonts w:ascii="Arial" w:hAnsi="Arial" w:cs="Arial"/>
          <w:sz w:val="20"/>
          <w:szCs w:val="20"/>
        </w:rPr>
        <w:t>ocedury określonej w pkt. 8 OPZ</w:t>
      </w:r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Klosz lampy ostrzegawczej (bez elementów mocujących do pojazdu), </w:t>
      </w:r>
      <w:r w:rsidRPr="0046048B">
        <w:rPr>
          <w:rFonts w:ascii="Arial" w:hAnsi="Arial" w:cs="Arial"/>
          <w:sz w:val="20"/>
          <w:szCs w:val="20"/>
        </w:rPr>
        <w:br/>
        <w:t>o</w:t>
      </w:r>
      <w:r w:rsidR="00312DB9">
        <w:rPr>
          <w:rFonts w:ascii="Arial" w:hAnsi="Arial" w:cs="Arial"/>
          <w:sz w:val="20"/>
          <w:szCs w:val="20"/>
        </w:rPr>
        <w:t xml:space="preserve"> której mowa w pkt. 2 i </w:t>
      </w:r>
      <w:r w:rsidRPr="0046048B">
        <w:rPr>
          <w:rFonts w:ascii="Arial" w:hAnsi="Arial" w:cs="Arial"/>
          <w:sz w:val="20"/>
          <w:szCs w:val="20"/>
        </w:rPr>
        <w:t>3 musi</w:t>
      </w:r>
      <w:r w:rsidR="00944B8D" w:rsidRPr="0046048B">
        <w:rPr>
          <w:rFonts w:ascii="Arial" w:hAnsi="Arial" w:cs="Arial"/>
          <w:sz w:val="20"/>
          <w:szCs w:val="20"/>
        </w:rPr>
        <w:t xml:space="preserve"> być ryflowany oraz</w:t>
      </w:r>
      <w:r w:rsidRPr="0046048B">
        <w:rPr>
          <w:rFonts w:ascii="Arial" w:hAnsi="Arial" w:cs="Arial"/>
          <w:sz w:val="20"/>
          <w:szCs w:val="20"/>
        </w:rPr>
        <w:t xml:space="preserve"> mieć wysokość w przedziale od </w:t>
      </w:r>
      <w:smartTag w:uri="urn:schemas-microsoft-com:office:smarttags" w:element="metricconverter">
        <w:smartTagPr>
          <w:attr w:name="ProductID" w:val="80 mm"/>
        </w:smartTagPr>
        <w:r w:rsidRPr="0046048B">
          <w:rPr>
            <w:rFonts w:ascii="Arial" w:hAnsi="Arial" w:cs="Arial"/>
            <w:sz w:val="20"/>
            <w:szCs w:val="20"/>
          </w:rPr>
          <w:t>80 mm</w:t>
        </w:r>
      </w:smartTag>
      <w:r w:rsidRPr="0046048B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0 mm"/>
        </w:smartTagPr>
        <w:r w:rsidRPr="0046048B">
          <w:rPr>
            <w:rFonts w:ascii="Arial" w:hAnsi="Arial" w:cs="Arial"/>
            <w:sz w:val="20"/>
            <w:szCs w:val="20"/>
          </w:rPr>
          <w:t>100 mm</w:t>
        </w:r>
      </w:smartTag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Zespolona lampa ostrzegawcza musi posiadać:</w:t>
      </w:r>
    </w:p>
    <w:p w:rsidR="00012AE8" w:rsidRPr="0056582D" w:rsidRDefault="004C0E4B" w:rsidP="0056582D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min. dwie lampy LED o kloszach w kolorze niebieskim o barwie światła niebieskiej umieszczone w dwóch skrajnych częściach lampy zespolonej, widoczne z każdej strony pojazdu i świecące naprzemiennie. Każda z lamp musi być zbudowana z modułów posiadających łącznie, co najmniej 16 diod LED o wysokiej światłości.</w:t>
      </w:r>
    </w:p>
    <w:p w:rsidR="00012AE8" w:rsidRPr="0056582D" w:rsidRDefault="004C0E4B" w:rsidP="00012AE8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56582D">
        <w:rPr>
          <w:rFonts w:cs="Arial"/>
          <w:sz w:val="20"/>
        </w:rPr>
        <w:t>podświetlany napis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 xml:space="preserve">” wykonany w kolorze </w:t>
      </w:r>
      <w:r w:rsidR="00012AE8" w:rsidRPr="0056582D">
        <w:rPr>
          <w:rFonts w:cs="Arial"/>
          <w:sz w:val="20"/>
        </w:rPr>
        <w:t>czerwonym</w:t>
      </w:r>
      <w:r w:rsidRPr="0056582D">
        <w:rPr>
          <w:rFonts w:cs="Arial"/>
          <w:sz w:val="20"/>
        </w:rPr>
        <w:t xml:space="preserve">, wypełniający białe pole pomiędzy lampami ostrzegawczymi, widoczny z przodu i z tyłu pojazdu z odległości </w:t>
      </w:r>
      <w:smartTag w:uri="urn:schemas-microsoft-com:office:smarttags" w:element="metricconverter">
        <w:smartTagPr>
          <w:attr w:name="ProductID" w:val="50 m"/>
        </w:smartTagPr>
        <w:r w:rsidRPr="0056582D">
          <w:rPr>
            <w:rFonts w:cs="Arial"/>
            <w:sz w:val="20"/>
          </w:rPr>
          <w:t>50 m</w:t>
        </w:r>
      </w:smartTag>
      <w:r w:rsidRPr="0056582D">
        <w:rPr>
          <w:rFonts w:cs="Arial"/>
          <w:sz w:val="20"/>
        </w:rPr>
        <w:t xml:space="preserve"> w warunkach nocnych, o minimalnej wysokość liter napisu wynoszącej </w:t>
      </w:r>
      <w:smartTag w:uri="urn:schemas-microsoft-com:office:smarttags" w:element="metricconverter">
        <w:smartTagPr>
          <w:attr w:name="ProductID" w:val="65 mm"/>
        </w:smartTagPr>
        <w:r w:rsidRPr="0056582D">
          <w:rPr>
            <w:rFonts w:cs="Arial"/>
            <w:sz w:val="20"/>
          </w:rPr>
          <w:t>65 mm</w:t>
        </w:r>
      </w:smartTag>
      <w:r w:rsidRPr="0056582D">
        <w:rPr>
          <w:rFonts w:cs="Arial"/>
          <w:sz w:val="20"/>
        </w:rPr>
        <w:t>,</w:t>
      </w:r>
    </w:p>
    <w:p w:rsidR="004C0E4B" w:rsidRPr="0056582D" w:rsidRDefault="004C0E4B" w:rsidP="004C0E4B">
      <w:pPr>
        <w:pStyle w:val="Mario"/>
        <w:spacing w:line="100" w:lineRule="atLeast"/>
        <w:ind w:left="1418" w:hanging="458"/>
        <w:rPr>
          <w:rFonts w:cs="Arial"/>
          <w:sz w:val="20"/>
        </w:rPr>
      </w:pPr>
      <w:r w:rsidRPr="0056582D">
        <w:rPr>
          <w:rFonts w:cs="Arial"/>
          <w:sz w:val="20"/>
        </w:rPr>
        <w:t>c)</w:t>
      </w:r>
      <w:r w:rsidRPr="0056582D">
        <w:rPr>
          <w:rFonts w:cs="Arial"/>
          <w:sz w:val="20"/>
        </w:rPr>
        <w:tab/>
        <w:t>jedną lampę LED o kloszu bezbarwnym umieszczoną między lewą lampą o barwie światła niebieskiej, a podświetlanym napisem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>” widoczną, co najmniej z przodu i tyłu pojazdu. Lampa musi posiadać, co najmniej dwa moduły świetlne LED (duo-kolor) posiadające możliwość emitowania światła o barwie niebieskiej i barwie czerwonej. Każdy z modułów musi posiadać łącznie, co najmniej sześć diod LED o wysokiej światłości ustawionych w dwóch rzędach. Moduły świetlne LED muszą być ustawione w konfiguracji: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- jeden moduł świecący do przodu,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 xml:space="preserve">- jeden moduł świecący do tyłu. </w:t>
      </w:r>
    </w:p>
    <w:p w:rsidR="00012AE8" w:rsidRPr="0046048B" w:rsidRDefault="004C0E4B" w:rsidP="0056582D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Po włączeniu uprzywilejowania pojazdu moduły świetlne LED muszą automatycznie załączać się i emitować światło o barwie niebieskim. Po włączeniu na manipulatorze pozycji jazdy w kolumnie, moduły muszą emitować światło o barwie czerwonej.</w:t>
      </w:r>
    </w:p>
    <w:p w:rsidR="004C0E4B" w:rsidRPr="0046048B" w:rsidRDefault="004C0E4B" w:rsidP="00DE47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Na tylnej części dachu pojazdu (w prawym i lewym narożniku), muszą być zamontowane symetrycznie względem podłużnej osi symetrii pojazdu, dwie dookólne ostrzegawcze lampy LED o kloszach w kolorze niebieskim i barwie światła niebieskiej.</w:t>
      </w:r>
      <w:r w:rsidR="00DE475E" w:rsidRPr="0046048B">
        <w:rPr>
          <w:rFonts w:ascii="Arial" w:hAnsi="Arial" w:cs="Arial"/>
          <w:sz w:val="20"/>
          <w:szCs w:val="20"/>
        </w:rPr>
        <w:t xml:space="preserve"> Klosz każdej z lamp (bez elementów mocujących do pojazdu) musi mieć wysokość min. 100 mm a element emitujący światło każdej lampy musi mieć wysokość min. 70 mm. Lampy nie mogą wystawać poza obrys dachu i muszą być zamontowane w sposób, jak najmniej ingerujący w strukturę pojazdu  oraz  umożliwiający  mycie  pojazdu  w  myjni  automatycznej szczotkowej  bez  konieczności ich  demontażu.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 przedniej części pojazdu, muszą być zamontowane cztery lampy LED </w:t>
      </w:r>
      <w:r w:rsidRPr="0046048B">
        <w:rPr>
          <w:rFonts w:ascii="Arial" w:hAnsi="Arial" w:cs="Arial"/>
          <w:sz w:val="20"/>
          <w:szCs w:val="20"/>
        </w:rPr>
        <w:br/>
        <w:t>o barwie światła niebieskiej: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>z przodu pojazdu w atrapie chłodnicy lub w zderzaku przednim – 2 szt.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 xml:space="preserve">po prawej i lewej stronie pojazdu w błotnikach przednich lub w zderzaku </w:t>
      </w:r>
      <w:r w:rsidR="00850F4A">
        <w:rPr>
          <w:rFonts w:cs="Arial"/>
          <w:sz w:val="20"/>
          <w:lang w:eastAsia="pl-PL"/>
        </w:rPr>
        <w:t xml:space="preserve">przednim - 2 </w:t>
      </w:r>
      <w:r w:rsidRPr="0046048B">
        <w:rPr>
          <w:rFonts w:cs="Arial"/>
          <w:sz w:val="20"/>
          <w:lang w:eastAsia="pl-PL"/>
        </w:rPr>
        <w:lastRenderedPageBreak/>
        <w:t>szt.</w:t>
      </w:r>
    </w:p>
    <w:p w:rsidR="004C0E4B" w:rsidRPr="0046048B" w:rsidRDefault="004C0E4B" w:rsidP="004C0E4B">
      <w:pPr>
        <w:suppressAutoHyphens/>
        <w:spacing w:after="0" w:line="240" w:lineRule="auto"/>
        <w:ind w:left="1021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Każda z lamp musi posiadać łącznie, co najmniej cztery diody LED </w:t>
      </w:r>
      <w:r w:rsidRPr="0046048B">
        <w:rPr>
          <w:rFonts w:ascii="Arial" w:hAnsi="Arial" w:cs="Arial"/>
          <w:sz w:val="20"/>
          <w:szCs w:val="20"/>
        </w:rPr>
        <w:br/>
        <w:t>o wysokiej światłości. Lampy muszą świecić naprzemiennie.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Wszystkie zastosowane w pojeździe lampy uprzywilejowania w ruchu drogowym muszą: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homologację,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taki sposób, aby źródło światła było umieszczone prostopadle do osi poziomej pojazdu,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klosze wykonane z poliwęglanu,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sposób umożliwiający mycie pojazdu w myjni automatycznej szczotkowej bez konieczności ich demontażu.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 zamontowaniu w pojeździe urządzenie emitujące ostrzegawcze sygnały uprzywilejowania pojazdu w ruchu drogowym i rozgłaszające komunikaty musi: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umieszczonym w odległości </w:t>
      </w:r>
      <w:smartTag w:uri="urn:schemas-microsoft-com:office:smarttags" w:element="metricconverter">
        <w:smartTagPr>
          <w:attr w:name="ProductID" w:val="7 m"/>
        </w:smartTagPr>
        <w:r w:rsidRPr="0046048B">
          <w:rPr>
            <w:rFonts w:cs="Arial"/>
            <w:sz w:val="20"/>
          </w:rPr>
          <w:t>7 m</w:t>
        </w:r>
      </w:smartTag>
      <w:r w:rsidRPr="0046048B">
        <w:rPr>
          <w:rFonts w:cs="Arial"/>
          <w:sz w:val="20"/>
        </w:rPr>
        <w:t xml:space="preserve"> od przedniego zderzaka pojazdu musi zawierać się w granicach 1</w:t>
      </w:r>
      <w:r w:rsidR="00012AE8" w:rsidRPr="0046048B">
        <w:rPr>
          <w:rFonts w:cs="Arial"/>
          <w:sz w:val="20"/>
        </w:rPr>
        <w:t>12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>(A) ÷ 11</w:t>
      </w:r>
      <w:r w:rsidR="00012AE8" w:rsidRPr="0046048B">
        <w:rPr>
          <w:rFonts w:cs="Arial"/>
          <w:sz w:val="20"/>
        </w:rPr>
        <w:t>8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PN-92/S-76004 lub regulaminu 28 EKG ONZ. </w:t>
      </w:r>
      <w:r w:rsidRPr="0046048B">
        <w:rPr>
          <w:rFonts w:cs="Arial"/>
          <w:b/>
          <w:sz w:val="20"/>
        </w:rPr>
        <w:t>Wymóg musi być potwierdzony badaniem wykonanym przez właściwą akredytowaną jednostkę badawczą. Dokument potwierdzający spełnienie wymogu musi być przedstawiony przez Wykonawcę w fazie odbioru pojazdów,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w kabinie, na postoju nie może przekraczać 80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PN-90/S-04052 ISO 5128. </w:t>
      </w:r>
      <w:r w:rsidRPr="0046048B">
        <w:rPr>
          <w:rFonts w:cs="Arial"/>
          <w:b/>
          <w:sz w:val="20"/>
        </w:rPr>
        <w:t>Wymóg musi być potwierdzony badaniem wykonanym przez właściwą akredytowaną jednostkę badawczą. Dokument potwierdzający spełnienie wymogu musi być przedstawiony przez Wykonawcę w fazie odbioru pojazdów</w:t>
      </w:r>
      <w:r w:rsidRPr="0046048B">
        <w:rPr>
          <w:rFonts w:cs="Arial"/>
          <w:sz w:val="20"/>
        </w:rPr>
        <w:t>.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spełniać wymagania dla obudów ochronnych w klasie min. </w:t>
      </w:r>
      <w:r w:rsidRPr="0046048B">
        <w:rPr>
          <w:rFonts w:cs="Arial"/>
          <w:sz w:val="20"/>
          <w:lang w:val="de-DE"/>
        </w:rPr>
        <w:t xml:space="preserve">IP 56 </w:t>
      </w:r>
      <w:proofErr w:type="spellStart"/>
      <w:r w:rsidRPr="0046048B">
        <w:rPr>
          <w:rFonts w:cs="Arial"/>
          <w:sz w:val="20"/>
          <w:lang w:val="de-DE"/>
        </w:rPr>
        <w:t>wg</w:t>
      </w:r>
      <w:proofErr w:type="spellEnd"/>
      <w:r w:rsidRPr="0046048B">
        <w:rPr>
          <w:rFonts w:cs="Arial"/>
          <w:sz w:val="20"/>
          <w:lang w:val="de-DE"/>
        </w:rPr>
        <w:t xml:space="preserve"> </w:t>
      </w:r>
      <w:proofErr w:type="spellStart"/>
      <w:r w:rsidRPr="0046048B">
        <w:rPr>
          <w:rFonts w:cs="Arial"/>
          <w:sz w:val="20"/>
          <w:lang w:val="de-DE"/>
        </w:rPr>
        <w:t>normy</w:t>
      </w:r>
      <w:proofErr w:type="spellEnd"/>
      <w:r w:rsidRPr="0046048B">
        <w:rPr>
          <w:rFonts w:cs="Arial"/>
          <w:sz w:val="20"/>
          <w:lang w:val="de-DE"/>
        </w:rPr>
        <w:t xml:space="preserve"> PN-EN 60529:2003. </w:t>
      </w:r>
      <w:r w:rsidRPr="0046048B">
        <w:rPr>
          <w:rFonts w:cs="Arial"/>
          <w:b/>
          <w:sz w:val="20"/>
        </w:rPr>
        <w:t>Dokument potwierdzający spełnienie wymogu musi być przedstawiony przez Wykonawcę w fazie oceny projektu modyfikacji</w:t>
      </w:r>
      <w:r w:rsidRPr="0046048B">
        <w:rPr>
          <w:rFonts w:cs="Arial"/>
          <w:sz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>9 musi ponadto posiadać funkcje: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wytwarzania 4 rodzajów dźwięków (modulacja wolna (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>), szybka (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>), bardzo szybka (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>), dwutonowa (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 xml:space="preserve">)). Urządzenie może posiadać dodatkową funkcję emitowania sygnału ciągłego </w:t>
      </w:r>
      <w:proofErr w:type="spellStart"/>
      <w:r w:rsidRPr="0046048B">
        <w:rPr>
          <w:rFonts w:cs="Arial"/>
          <w:sz w:val="20"/>
        </w:rPr>
        <w:t>tzw</w:t>
      </w:r>
      <w:proofErr w:type="spellEnd"/>
      <w:r w:rsidRPr="0046048B">
        <w:rPr>
          <w:rFonts w:cs="Arial"/>
          <w:sz w:val="20"/>
        </w:rPr>
        <w:t xml:space="preserve"> „poganiacz </w:t>
      </w:r>
      <w:proofErr w:type="spellStart"/>
      <w:r w:rsidRPr="0046048B">
        <w:rPr>
          <w:rFonts w:cs="Arial"/>
          <w:sz w:val="20"/>
        </w:rPr>
        <w:t>horn</w:t>
      </w:r>
      <w:proofErr w:type="spellEnd"/>
      <w:r w:rsidRPr="0046048B">
        <w:rPr>
          <w:rFonts w:cs="Arial"/>
          <w:sz w:val="20"/>
        </w:rPr>
        <w:t>”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przełączania tonu sygnału uprzywilejowania: w kolejności 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 xml:space="preserve"> –&gt; 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>, z wykorzystaniem manipulatora oraz dodatkowo za pomocą klaksonu pojazdu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lampami sygnalizacji świetl</w:t>
      </w:r>
      <w:r w:rsidR="00850F4A">
        <w:rPr>
          <w:rFonts w:cs="Arial"/>
          <w:sz w:val="20"/>
        </w:rPr>
        <w:t xml:space="preserve">nej, o których mowa w pkt 2, 3, 5, 6 i </w:t>
      </w:r>
      <w:r w:rsidRPr="0046048B">
        <w:rPr>
          <w:rFonts w:cs="Arial"/>
          <w:sz w:val="20"/>
        </w:rPr>
        <w:t>7,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rozgłaszania komunikatów i sterowania urządzeniem rozgłoszeniowym,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oświetleniem pomocniczym.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zamawiający nie dopuszcza stosowania urządzenia emitującego ostrzegawcze sygnały uprzywilejowania, które posiada funkcję automatycznego zmieniania modulacji (tzw. „MIX”)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 xml:space="preserve">9 musi posiadać dodatkową funkcję szybkiego włączania sygnalizacji uprzywilejowania. Funkcja musi być realizowana za pomocą przełącznika (o min. wymiarach przycisku 30x30 mm lub Ø </w:t>
      </w:r>
      <w:smartTag w:uri="urn:schemas-microsoft-com:office:smarttags" w:element="metricconverter">
        <w:smartTagPr>
          <w:attr w:name="ProductID" w:val="30 mm"/>
        </w:smartTagPr>
        <w:r w:rsidRPr="0046048B">
          <w:rPr>
            <w:rFonts w:ascii="Arial" w:hAnsi="Arial" w:cs="Arial"/>
            <w:sz w:val="20"/>
            <w:szCs w:val="20"/>
          </w:rPr>
          <w:t>30 mm</w:t>
        </w:r>
      </w:smartTag>
      <w:r w:rsidRPr="0046048B">
        <w:rPr>
          <w:rFonts w:ascii="Arial" w:hAnsi="Arial" w:cs="Arial"/>
          <w:sz w:val="20"/>
          <w:szCs w:val="20"/>
        </w:rPr>
        <w:t>) zamontowanego w miejscu łatwo dostępnym dla kierowcy i być uruchamiana w  następujący sposób: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pierwsze wciśnięcie przełącznika musi włączać sygnalizację uprzywilejowania dźwiękową i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drugie wciśnięcie przełącznika musi włączać jedynie sygnalizację uprzywilejowania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trzecie wciśnięcie przełącznika musi całkowicie wyłączać sygnalizację uprzywilejowania.</w:t>
      </w:r>
    </w:p>
    <w:p w:rsidR="004C0E4B" w:rsidRPr="0046048B" w:rsidRDefault="004C0E4B" w:rsidP="004C0E4B">
      <w:pPr>
        <w:pStyle w:val="Mario"/>
        <w:spacing w:line="100" w:lineRule="atLeast"/>
        <w:ind w:left="1080"/>
        <w:rPr>
          <w:rFonts w:cs="Arial"/>
          <w:sz w:val="20"/>
        </w:rPr>
      </w:pPr>
      <w:r w:rsidRPr="0046048B">
        <w:rPr>
          <w:rFonts w:cs="Arial"/>
          <w:sz w:val="20"/>
        </w:rPr>
        <w:t>Każda pozycja przełącznika musi być sygnalizowana innym kolorem świecenia się lampki kontrolnej umieszczonej w przełączniku lub w miejscu zapewniającym dobrą widoczność dla kierowcy i dysponenta.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Głośnik urządz</w:t>
      </w:r>
      <w:r w:rsidR="00850F4A">
        <w:rPr>
          <w:rFonts w:ascii="Arial" w:hAnsi="Arial" w:cs="Arial"/>
          <w:sz w:val="20"/>
          <w:szCs w:val="20"/>
        </w:rPr>
        <w:t xml:space="preserve">enia, o którym mowa w pkt </w:t>
      </w:r>
      <w:r w:rsidRPr="0046048B">
        <w:rPr>
          <w:rFonts w:ascii="Arial" w:hAnsi="Arial" w:cs="Arial"/>
          <w:sz w:val="20"/>
          <w:szCs w:val="20"/>
        </w:rPr>
        <w:t xml:space="preserve">9 musi być zamontowany </w:t>
      </w:r>
      <w:r w:rsidRPr="0046048B">
        <w:rPr>
          <w:rFonts w:ascii="Arial" w:hAnsi="Arial" w:cs="Arial"/>
          <w:sz w:val="20"/>
          <w:szCs w:val="20"/>
        </w:rPr>
        <w:br/>
        <w:t>w przedniej części pojazdu, w atrapie chłodnicy lub w przednim zderzaku. Sposób i miejsce montażu głośnika nie może ograniczać poziomu emitowanego dźwięku. Miejsce ingerencji w nadwozie pojazdu bazowego związane z montażem głośnika musi być od zewnętrznej strony osłonięte elementem maskującym (obudowa).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lastRenderedPageBreak/>
        <w:t>We wnętrzu pojazdu w miejscu gwarantującym łatwą obsługę przez kierowcę musi być zamontowany manipulator (z wbudowanym mikrofonem) umożliwiający sterowanie urządzen</w:t>
      </w:r>
      <w:r w:rsidR="00850F4A">
        <w:rPr>
          <w:rFonts w:ascii="Arial" w:hAnsi="Arial" w:cs="Arial"/>
          <w:sz w:val="20"/>
          <w:szCs w:val="20"/>
        </w:rPr>
        <w:t xml:space="preserve">iem, o którym mowa w pkt. </w:t>
      </w:r>
      <w:r w:rsidRPr="0046048B">
        <w:rPr>
          <w:rFonts w:ascii="Arial" w:hAnsi="Arial" w:cs="Arial"/>
          <w:sz w:val="20"/>
          <w:szCs w:val="20"/>
        </w:rPr>
        <w:t>9 i 10.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Działanie urządzeń sygnalizacji uprzywilejowania pojazdu w ruchu drogowym musi spełniać następujące warunki: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sygnalizacji dźwiękowej musi pociągać za sobą jednocześnie włączenie sygnalizacji świetlnej o barwie światła niebieskiej (nie może być możliwości włączenia samej sygnalizacji dźwiękowej, tj. bez równoczesnej sygnalizacji świetlnej),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musi istnieć możliwość włączenia samej sygnalizacji świetlnej o barwie światła niebieskiej (bez sygnalizacji dźwiękowej),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lamp uprzywilejowania pojazdu w ruchu drogowym musi być sygnalizowane lampką kontrolną,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sygnalizacji świetlnej o barwie światła czerwonej musi pociągać za sobą włączenie sygnalizacji świetlnej o barwie światła niebieskiej,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urządzenia rozgłoszeniowego musi przerywać emisję dźwiękowych sygnałów ostrzegawczych, zaś jego wyłączenie powodować dalszą pracę sygnalizacji dźwiękowej, o ile była ona wcześniej włączona,</w:t>
      </w:r>
    </w:p>
    <w:p w:rsidR="00CB1B81" w:rsidRPr="00850F4A" w:rsidRDefault="004C0E4B" w:rsidP="00CB1B81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działanie sygnalizacji świetlnej musi być możliwe również przy wyjętym kluczyku ze stacyjki pojazdu,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świateł pozycyjnych lub mijania lub drogowych w pojeździe musi powodować włączenie świetlnego napisu „</w:t>
      </w:r>
      <w:r w:rsidR="00CB1B81" w:rsidRPr="00850F4A">
        <w:rPr>
          <w:rFonts w:cs="Arial"/>
          <w:sz w:val="20"/>
        </w:rPr>
        <w:t>STRAŻ</w:t>
      </w:r>
      <w:r w:rsidRPr="00850F4A">
        <w:rPr>
          <w:rFonts w:cs="Arial"/>
          <w:sz w:val="20"/>
        </w:rPr>
        <w:t>” umieszczonego w zespolonej lampie ostrzegawczej,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przy zapalonych światłach dziennych włączenie sygnalizacji dźwiękowej musi pociągać za sobą jednocześnie włączenie świateł mijania, a wyłączenie sygnalizacji dźwiękowej musi powodować powrót do funkcji świecenia świateł dziennych.</w:t>
      </w:r>
    </w:p>
    <w:p w:rsidR="0089654F" w:rsidRDefault="0089654F"/>
    <w:sectPr w:rsidR="00896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50" w:rsidRDefault="00BF1750" w:rsidP="00BF1750">
      <w:pPr>
        <w:spacing w:after="0" w:line="240" w:lineRule="auto"/>
      </w:pPr>
      <w:r>
        <w:separator/>
      </w:r>
    </w:p>
  </w:endnote>
  <w:end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50" w:rsidRDefault="00BF1750" w:rsidP="00BF1750">
      <w:pPr>
        <w:spacing w:after="0" w:line="240" w:lineRule="auto"/>
      </w:pPr>
      <w:r>
        <w:separator/>
      </w:r>
    </w:p>
  </w:footnote>
  <w:foot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50" w:rsidRDefault="00D948B4" w:rsidP="00BF1750">
    <w:pPr>
      <w:pStyle w:val="Nagwek"/>
      <w:jc w:val="right"/>
    </w:pPr>
    <w:r>
      <w:t>Załącznik nr 1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63C"/>
    <w:multiLevelType w:val="hybridMultilevel"/>
    <w:tmpl w:val="44889C6C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" w15:restartNumberingAfterBreak="0">
    <w:nsid w:val="421F510B"/>
    <w:multiLevelType w:val="multilevel"/>
    <w:tmpl w:val="F812745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Verdana" w:eastAsia="Calibri" w:hAnsi="Verdana" w:cs="Arial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43A308EC"/>
    <w:multiLevelType w:val="hybridMultilevel"/>
    <w:tmpl w:val="07604C84"/>
    <w:name w:val="WW8Num262222"/>
    <w:lvl w:ilvl="0" w:tplc="0762B9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4F86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F5A16"/>
    <w:multiLevelType w:val="hybridMultilevel"/>
    <w:tmpl w:val="76CA8F04"/>
    <w:name w:val="WW8Num26222"/>
    <w:lvl w:ilvl="0" w:tplc="B868EB4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B"/>
    <w:rsid w:val="00012AE8"/>
    <w:rsid w:val="001231D3"/>
    <w:rsid w:val="002C5887"/>
    <w:rsid w:val="00312DB9"/>
    <w:rsid w:val="0046048B"/>
    <w:rsid w:val="004C0E4B"/>
    <w:rsid w:val="0056582D"/>
    <w:rsid w:val="00850F4A"/>
    <w:rsid w:val="0088393A"/>
    <w:rsid w:val="0089654F"/>
    <w:rsid w:val="008D1FF1"/>
    <w:rsid w:val="00944B8D"/>
    <w:rsid w:val="00A760E8"/>
    <w:rsid w:val="00BF1750"/>
    <w:rsid w:val="00CB1B81"/>
    <w:rsid w:val="00D948B4"/>
    <w:rsid w:val="00D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ED582"/>
  <w15:chartTrackingRefBased/>
  <w15:docId w15:val="{D6B2D6EC-A03E-49E8-86DD-545B88B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">
    <w:name w:val="Mario"/>
    <w:basedOn w:val="Normalny"/>
    <w:rsid w:val="004C0E4B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56z0">
    <w:name w:val="WW8Num56z0"/>
    <w:rsid w:val="004C0E4B"/>
    <w:rPr>
      <w:strike w:val="0"/>
      <w:dstrike w:val="0"/>
    </w:rPr>
  </w:style>
  <w:style w:type="paragraph" w:styleId="Akapitzlist">
    <w:name w:val="List Paragraph"/>
    <w:basedOn w:val="Normalny"/>
    <w:uiPriority w:val="34"/>
    <w:qFormat/>
    <w:rsid w:val="00460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</dc:creator>
  <cp:keywords/>
  <dc:description/>
  <cp:lastModifiedBy>Tomasz Starosta</cp:lastModifiedBy>
  <cp:revision>9</cp:revision>
  <dcterms:created xsi:type="dcterms:W3CDTF">2021-06-16T12:48:00Z</dcterms:created>
  <dcterms:modified xsi:type="dcterms:W3CDTF">2021-06-16T13:23:00Z</dcterms:modified>
</cp:coreProperties>
</file>