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E0289" w14:textId="77777777" w:rsidR="002715A6" w:rsidRPr="00C77AC6" w:rsidRDefault="002715A6" w:rsidP="00C77AC6">
      <w:pPr>
        <w:spacing w:after="0" w:line="276" w:lineRule="auto"/>
        <w:jc w:val="center"/>
        <w:rPr>
          <w:rFonts w:asciiTheme="minorHAnsi" w:hAnsiTheme="minorHAnsi" w:cstheme="minorHAnsi"/>
          <w:b w:val="0"/>
          <w:highlight w:val="none"/>
        </w:rPr>
      </w:pPr>
      <w:bookmarkStart w:id="0" w:name="_GoBack"/>
      <w:bookmarkEnd w:id="0"/>
      <w:r w:rsidRPr="00C77AC6">
        <w:rPr>
          <w:rFonts w:asciiTheme="minorHAnsi" w:hAnsiTheme="minorHAnsi" w:cstheme="minorHAnsi"/>
          <w:highlight w:val="none"/>
        </w:rPr>
        <w:t>LISTA KONTROLNA</w:t>
      </w:r>
      <w:r w:rsidRPr="00C77AC6">
        <w:rPr>
          <w:rFonts w:asciiTheme="minorHAnsi" w:hAnsiTheme="minorHAnsi" w:cstheme="minorHAnsi"/>
          <w:highlight w:val="none"/>
        </w:rPr>
        <w:br/>
        <w:t>OSIĄGANIA INTEROPERACYJNOŚCI PRZEZ SYSTEM TELEINFORMATYCZNY REGULOWANY</w:t>
      </w:r>
    </w:p>
    <w:p w14:paraId="1AC41039" w14:textId="77777777" w:rsidR="002715A6" w:rsidRPr="00C77AC6" w:rsidRDefault="002715A6" w:rsidP="00C77AC6">
      <w:pPr>
        <w:spacing w:after="0" w:line="276" w:lineRule="auto"/>
        <w:jc w:val="center"/>
        <w:rPr>
          <w:rFonts w:asciiTheme="minorHAnsi" w:hAnsiTheme="minorHAnsi" w:cstheme="minorHAnsi"/>
          <w:highlight w:val="none"/>
        </w:rPr>
      </w:pPr>
      <w:r w:rsidRPr="00C77AC6">
        <w:rPr>
          <w:rFonts w:asciiTheme="minorHAnsi" w:hAnsiTheme="minorHAnsi" w:cstheme="minorHAnsi"/>
          <w:highlight w:val="none"/>
        </w:rPr>
        <w:t>PRZEZ PROJEKT DOKUMENTU RZĄDOWEGO</w:t>
      </w:r>
    </w:p>
    <w:p w14:paraId="6EAF1500" w14:textId="77777777" w:rsidR="002715A6" w:rsidRPr="00C77AC6" w:rsidRDefault="002715A6" w:rsidP="00C77AC6">
      <w:pPr>
        <w:spacing w:after="0" w:line="276" w:lineRule="auto"/>
        <w:rPr>
          <w:rFonts w:asciiTheme="minorHAnsi" w:hAnsiTheme="minorHAnsi" w:cstheme="minorHAnsi"/>
          <w:b w:val="0"/>
          <w:highlight w:val="none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2F726A" w:rsidRPr="00C77AC6" w14:paraId="538D9CD7" w14:textId="77777777" w:rsidTr="002F726A">
        <w:tc>
          <w:tcPr>
            <w:tcW w:w="9918" w:type="dxa"/>
            <w:gridSpan w:val="2"/>
          </w:tcPr>
          <w:p w14:paraId="4DC586FA" w14:textId="77777777" w:rsidR="006C49E4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Tytuł projektowanego dokumentu rządowego: </w:t>
            </w:r>
          </w:p>
          <w:p w14:paraId="2DD806E7" w14:textId="77777777" w:rsidR="002F726A" w:rsidRPr="00C77AC6" w:rsidRDefault="00E5231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highlight w:val="none"/>
                <w:lang w:eastAsia="en-US"/>
              </w:rPr>
              <w:t>ustawa</w:t>
            </w:r>
            <w:r w:rsidR="006C49E4" w:rsidRPr="00C77AC6">
              <w:rPr>
                <w:rFonts w:asciiTheme="minorHAnsi" w:hAnsiTheme="minorHAnsi" w:cstheme="minorHAnsi"/>
                <w:highlight w:val="none"/>
                <w:lang w:eastAsia="en-US"/>
              </w:rPr>
              <w:t xml:space="preserve"> o zmianie </w:t>
            </w:r>
            <w:r w:rsidR="00617A65" w:rsidRPr="00C77AC6">
              <w:rPr>
                <w:rFonts w:asciiTheme="minorHAnsi" w:hAnsiTheme="minorHAnsi" w:cstheme="minorHAnsi"/>
                <w:highlight w:val="none"/>
                <w:lang w:eastAsia="en-US"/>
              </w:rPr>
              <w:t>niektórych ustaw w związku z rozwojem e-administracji</w:t>
            </w:r>
          </w:p>
        </w:tc>
      </w:tr>
      <w:tr w:rsidR="002F726A" w:rsidRPr="00C77AC6" w14:paraId="5E189B85" w14:textId="77777777" w:rsidTr="002F726A">
        <w:tc>
          <w:tcPr>
            <w:tcW w:w="421" w:type="dxa"/>
          </w:tcPr>
          <w:p w14:paraId="7AC6C489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366EB335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Czy projektowany dokument rządowy reguluje funkcjonowanie nowego systemu teleinformatycznego albo systemu istniejącego?</w:t>
            </w:r>
          </w:p>
          <w:p w14:paraId="4FDDC069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364945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7C0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16084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</w:p>
          <w:p w14:paraId="092B52EA" w14:textId="77777777" w:rsidR="002F726A" w:rsidRPr="00C77AC6" w:rsidRDefault="002F726A" w:rsidP="00C77AC6">
            <w:p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Jeżeli TAK, proszę wypełnić dalsze pozycje.</w:t>
            </w:r>
          </w:p>
        </w:tc>
      </w:tr>
      <w:tr w:rsidR="002F726A" w:rsidRPr="00C77AC6" w14:paraId="0D63A7EE" w14:textId="77777777" w:rsidTr="002F726A">
        <w:trPr>
          <w:trHeight w:val="659"/>
        </w:trPr>
        <w:tc>
          <w:tcPr>
            <w:tcW w:w="421" w:type="dxa"/>
          </w:tcPr>
          <w:p w14:paraId="71132637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06ADF136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Proszę podać nazwę systemu, którego funkcjonowanie reguluje projektowany dokument:</w:t>
            </w:r>
          </w:p>
          <w:p w14:paraId="5A0B6761" w14:textId="77777777" w:rsidR="002F726A" w:rsidRPr="00C77AC6" w:rsidRDefault="00617E8E" w:rsidP="00C77AC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SRP</w:t>
            </w:r>
            <w:r w:rsidR="002537C0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– rejestr PESEL, Rejestr Dowodów Osobistych, Rejestr Stanu Cywilnego</w:t>
            </w:r>
            <w:r w:rsidR="00A13B5E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 Rejestr Dokumentów Paszportowych</w:t>
            </w:r>
          </w:p>
          <w:p w14:paraId="0289C803" w14:textId="77777777" w:rsidR="00FF77DF" w:rsidRPr="00C77AC6" w:rsidRDefault="00FF77DF" w:rsidP="00C77AC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Rejestr Pełnomocnictw Elektronicznych</w:t>
            </w:r>
          </w:p>
          <w:p w14:paraId="7ACAD169" w14:textId="77777777" w:rsidR="00FF77DF" w:rsidRPr="00C77AC6" w:rsidRDefault="00617E8E" w:rsidP="00C77AC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Krajowy Rejestr Sądowy</w:t>
            </w:r>
          </w:p>
          <w:p w14:paraId="51D09D6F" w14:textId="77777777" w:rsidR="00617E8E" w:rsidRPr="00C77AC6" w:rsidRDefault="00752285" w:rsidP="00C77AC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Katalog podmiotów p</w:t>
            </w:r>
            <w:r w:rsidR="00617E8E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ublicznych</w:t>
            </w:r>
          </w:p>
          <w:p w14:paraId="4B3498A5" w14:textId="77777777" w:rsidR="00617E8E" w:rsidRPr="00C77AC6" w:rsidRDefault="0033243C" w:rsidP="00C77AC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System przeznaczony do elektronicznego zarządzania dokumentacją</w:t>
            </w:r>
          </w:p>
          <w:p w14:paraId="3BD0CC4E" w14:textId="77777777" w:rsidR="006212E1" w:rsidRPr="00C77AC6" w:rsidRDefault="006212E1" w:rsidP="00C77AC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Zintegrowana Platforma Analityczna</w:t>
            </w:r>
          </w:p>
          <w:p w14:paraId="543AA86C" w14:textId="77777777" w:rsidR="0064225A" w:rsidRPr="00C77AC6" w:rsidRDefault="0064225A" w:rsidP="00C77AC6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System Rejestrowanego Doręczenia Elektronicznego </w:t>
            </w:r>
          </w:p>
          <w:p w14:paraId="695C1A23" w14:textId="77777777" w:rsidR="001B23E0" w:rsidRPr="00C77AC6" w:rsidRDefault="001B23E0" w:rsidP="00C77AC6">
            <w:pPr>
              <w:pStyle w:val="Akapitzlist"/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</w:tr>
      <w:tr w:rsidR="002F726A" w:rsidRPr="00C77AC6" w14:paraId="508189D0" w14:textId="77777777" w:rsidTr="00CC4B02">
        <w:trPr>
          <w:trHeight w:val="1371"/>
        </w:trPr>
        <w:tc>
          <w:tcPr>
            <w:tcW w:w="421" w:type="dxa"/>
          </w:tcPr>
          <w:p w14:paraId="432E0890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580B5181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Czy system zapewnia lub będzie zapewniał działanie rejestru publicznego? </w:t>
            </w:r>
          </w:p>
          <w:p w14:paraId="4542AFDC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16783039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D3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85168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D3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</w:p>
          <w:p w14:paraId="2A615747" w14:textId="77777777" w:rsidR="002F726A" w:rsidRPr="00C77AC6" w:rsidRDefault="002F726A" w:rsidP="00C77AC6">
            <w:p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Jeżeli TAK, proszę podać nazwę rejestru:</w:t>
            </w:r>
          </w:p>
          <w:p w14:paraId="735DF5CA" w14:textId="77777777" w:rsidR="002F726A" w:rsidRPr="00C77AC6" w:rsidRDefault="00617E8E" w:rsidP="00C77AC6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W zakresie SRP </w:t>
            </w:r>
            <w:r w:rsidR="002537C0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Projekt przewiduje wdrożenie usług</w:t>
            </w:r>
            <w:r w:rsidR="00617A6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oraz rozwiązań</w:t>
            </w:r>
            <w:r w:rsidR="002537C0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działających na bazie ob</w:t>
            </w:r>
            <w:r w:rsidR="00295D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ecnie funkcjonujących rejestrów w ramach Systemu Rejestrów Państwowych.</w:t>
            </w:r>
          </w:p>
          <w:p w14:paraId="76AB2CA8" w14:textId="77777777" w:rsidR="000911AC" w:rsidRPr="00C77AC6" w:rsidRDefault="000911AC" w:rsidP="00C77AC6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Rejestr Pełnomocnictw Elektronicznych będzie rejestrem publicznym</w:t>
            </w:r>
          </w:p>
          <w:p w14:paraId="1FDD26FD" w14:textId="77777777" w:rsidR="00A44F7E" w:rsidRPr="00C77AC6" w:rsidRDefault="00A44F7E" w:rsidP="00C77AC6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W zakresie </w:t>
            </w:r>
            <w:r w:rsidR="007F3FFB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KRS jako rejestru publicznego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projekt przewiduje wdrożenie usług umożliwiających pozyskiwanie danych z tego rejestru przez uprawnione podmioty</w:t>
            </w:r>
            <w:r w:rsidR="007F3FFB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</w:t>
            </w:r>
          </w:p>
          <w:p w14:paraId="022D786D" w14:textId="77777777" w:rsidR="000911AC" w:rsidRPr="00C77AC6" w:rsidRDefault="000911AC" w:rsidP="00C77AC6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Katalog podmiotów publicznych będzie rejestrem publicznym</w:t>
            </w:r>
          </w:p>
          <w:p w14:paraId="416D46D1" w14:textId="77777777" w:rsidR="0064225A" w:rsidRPr="00C77AC6" w:rsidRDefault="0064225A" w:rsidP="00C77AC6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Baza Adresów Elektronicznych </w:t>
            </w:r>
            <w:r w:rsidR="0075288E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jest rejestrem publicznym</w:t>
            </w:r>
          </w:p>
          <w:p w14:paraId="13042DD5" w14:textId="77777777" w:rsidR="003843D9" w:rsidRPr="00C77AC6" w:rsidRDefault="003843D9" w:rsidP="00C77AC6">
            <w:pPr>
              <w:pStyle w:val="Akapitzlist"/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  <w:p w14:paraId="0768AC02" w14:textId="77777777" w:rsidR="003843D9" w:rsidRPr="00C77AC6" w:rsidRDefault="003843D9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6778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1007289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</w:p>
          <w:p w14:paraId="559B8F9C" w14:textId="77777777" w:rsidR="003843D9" w:rsidRPr="00C77AC6" w:rsidRDefault="003843D9" w:rsidP="00C77AC6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Zintegrowana Platforma Analityczna będzie rozwiązaniem organizacyjno-technicznym</w:t>
            </w:r>
          </w:p>
          <w:p w14:paraId="1BFAC3D8" w14:textId="56B2C9B2" w:rsidR="003843D9" w:rsidRPr="00C77AC6" w:rsidRDefault="001471D2" w:rsidP="00C77AC6">
            <w:pPr>
              <w:pStyle w:val="Akapitzlist"/>
              <w:numPr>
                <w:ilvl w:val="0"/>
                <w:numId w:val="17"/>
              </w:numPr>
              <w:spacing w:after="1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EZD nie będzie rejestrem publicznym</w:t>
            </w:r>
          </w:p>
          <w:p w14:paraId="1842AA07" w14:textId="77777777" w:rsidR="00617E8E" w:rsidRPr="00C77AC6" w:rsidRDefault="00617E8E" w:rsidP="00C77AC6">
            <w:pPr>
              <w:pStyle w:val="Akapitzlist"/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</w:tr>
      <w:tr w:rsidR="002F726A" w:rsidRPr="00C77AC6" w14:paraId="0EAE2DE8" w14:textId="77777777" w:rsidTr="002F726A">
        <w:trPr>
          <w:trHeight w:val="1369"/>
        </w:trPr>
        <w:tc>
          <w:tcPr>
            <w:tcW w:w="421" w:type="dxa"/>
          </w:tcPr>
          <w:p w14:paraId="1490BE0B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0FD7586F" w14:textId="77777777" w:rsidR="002F726A" w:rsidRPr="00C77AC6" w:rsidRDefault="002F726A" w:rsidP="00C77AC6">
            <w:pPr>
              <w:tabs>
                <w:tab w:val="left" w:pos="2955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Czy system spełnia w</w:t>
            </w:r>
            <w:r w:rsidR="00655EB8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ymóg osiągania interoperacyjności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?</w:t>
            </w:r>
          </w:p>
          <w:p w14:paraId="536842C9" w14:textId="77777777" w:rsidR="002F726A" w:rsidRPr="00C77AC6" w:rsidRDefault="002F726A" w:rsidP="00C77AC6">
            <w:pPr>
              <w:tabs>
                <w:tab w:val="left" w:pos="2955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522992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7C0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62305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</w:t>
            </w:r>
          </w:p>
          <w:p w14:paraId="61D6F627" w14:textId="77777777" w:rsidR="002F726A" w:rsidRPr="00C77AC6" w:rsidRDefault="002F726A" w:rsidP="00C77AC6">
            <w:pPr>
              <w:tabs>
                <w:tab w:val="left" w:pos="2955"/>
              </w:tabs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Jeżeli NIE, proszę uzasadnić dlaczego:</w:t>
            </w:r>
          </w:p>
        </w:tc>
      </w:tr>
      <w:tr w:rsidR="002F726A" w:rsidRPr="00C77AC6" w14:paraId="48DA9C2F" w14:textId="77777777" w:rsidTr="002F726A">
        <w:trPr>
          <w:trHeight w:val="1296"/>
        </w:trPr>
        <w:tc>
          <w:tcPr>
            <w:tcW w:w="421" w:type="dxa"/>
          </w:tcPr>
          <w:p w14:paraId="4B23DACC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398DA2D2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Czy w systemie przechowywane są lub będą dane referencyjne? </w:t>
            </w:r>
          </w:p>
          <w:p w14:paraId="09AC1C8C" w14:textId="77777777" w:rsidR="002F726A" w:rsidRPr="00C77AC6" w:rsidRDefault="002F726A" w:rsidP="00C77AC6">
            <w:pPr>
              <w:tabs>
                <w:tab w:val="left" w:pos="1451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1647320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D3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74530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D3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</w:p>
          <w:p w14:paraId="2ACFDA90" w14:textId="77777777" w:rsidR="002F726A" w:rsidRPr="00C77AC6" w:rsidRDefault="002F726A" w:rsidP="00C77AC6">
            <w:p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Jeżeli TAK, proszę wymienić przechowywane dane referencyjne:</w:t>
            </w:r>
          </w:p>
          <w:p w14:paraId="03008688" w14:textId="77777777" w:rsidR="00A44F7E" w:rsidRPr="00C77AC6" w:rsidRDefault="00A44F7E" w:rsidP="00C77AC6">
            <w:pPr>
              <w:pStyle w:val="Akapitzlist"/>
              <w:numPr>
                <w:ilvl w:val="0"/>
                <w:numId w:val="6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SRP p</w:t>
            </w:r>
            <w:r w:rsidR="00295D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rojekt nie zmienia zakresu danych referencyjnych obecnie przechowywanych w Systemie Rejestrów </w:t>
            </w:r>
            <w:r w:rsidR="00617A6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Państwowych a wdraża nowe </w:t>
            </w:r>
            <w:r w:rsidR="00295D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usługi </w:t>
            </w:r>
            <w:r w:rsidR="00B416C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i rozwiązania </w:t>
            </w:r>
            <w:r w:rsidR="00295D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bazujące na tych danych.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</w:t>
            </w:r>
          </w:p>
          <w:p w14:paraId="4635B612" w14:textId="3A344891" w:rsidR="00295DD3" w:rsidRPr="00C77AC6" w:rsidRDefault="00A44F7E" w:rsidP="00C77AC6">
            <w:pPr>
              <w:pStyle w:val="Akapitzlist"/>
              <w:numPr>
                <w:ilvl w:val="0"/>
                <w:numId w:val="6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lastRenderedPageBreak/>
              <w:t>W Rejestrze</w:t>
            </w:r>
            <w:r w:rsidR="0075228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Pełnomocnictw Elektronicznych: </w:t>
            </w:r>
            <w:r w:rsidR="00D3209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dane pełnomocnictwa w postaci numer PESEL pełnomocnika i mocodawcy, numer pełnomocnictwa oraz zakres czynności, które obejmuje pełnomocnictwo</w:t>
            </w:r>
          </w:p>
          <w:p w14:paraId="15969FE5" w14:textId="77777777" w:rsidR="00A44F7E" w:rsidRPr="00C77AC6" w:rsidRDefault="00A44F7E" w:rsidP="00C77AC6">
            <w:pPr>
              <w:pStyle w:val="Akapitzlist"/>
              <w:numPr>
                <w:ilvl w:val="0"/>
                <w:numId w:val="6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KRS projekt nie zmienia zakresu danych referencyjnych obecnie przechowywanych w tym rejestrze a wdraża się nową usługę bazującą na tych danych</w:t>
            </w:r>
          </w:p>
          <w:p w14:paraId="4E80C605" w14:textId="4C701DDD" w:rsidR="00A44F7E" w:rsidRPr="00C77AC6" w:rsidRDefault="00752285" w:rsidP="00C77AC6">
            <w:pPr>
              <w:pStyle w:val="Akapitzlist"/>
              <w:numPr>
                <w:ilvl w:val="0"/>
                <w:numId w:val="6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katalogu podmiotów publicznych będą gromadzone</w:t>
            </w:r>
            <w:r w:rsidR="00313E64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dane referencyjne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: </w:t>
            </w:r>
            <w:r w:rsidR="000F3771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identyfikator katalogu podmiotów publicznych </w:t>
            </w:r>
            <w:r w:rsidR="00BB1486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.</w:t>
            </w:r>
          </w:p>
          <w:p w14:paraId="442B05DA" w14:textId="77777777" w:rsidR="001471D2" w:rsidRPr="00C77AC6" w:rsidRDefault="001471D2" w:rsidP="00C77AC6">
            <w:pPr>
              <w:pStyle w:val="Akapitzlist"/>
              <w:numPr>
                <w:ilvl w:val="0"/>
                <w:numId w:val="6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W zakresie BAE projekt nie zmienia zakresu danych referencyjnych obecnie przechowywanych w rejestrze a modyfikuje usługi i rozwiązania bazujące na tych danych. Będzie przetwarzana jedna dodatkowa dana referencyjna </w:t>
            </w:r>
          </w:p>
          <w:p w14:paraId="07D7AFF3" w14:textId="77777777" w:rsidR="001471D2" w:rsidRPr="00C77AC6" w:rsidRDefault="001471D2" w:rsidP="00C77AC6">
            <w:pPr>
              <w:pStyle w:val="Akapitzlist"/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  <w:p w14:paraId="61E2778A" w14:textId="32B44256" w:rsidR="006212E1" w:rsidRPr="00C77AC6" w:rsidRDefault="006212E1" w:rsidP="00C77AC6">
            <w:pPr>
              <w:pStyle w:val="Akapitzlist"/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  <w:p w14:paraId="08385DDF" w14:textId="5A956D33" w:rsidR="003843D9" w:rsidRPr="00C77AC6" w:rsidRDefault="003843D9" w:rsidP="00C77AC6">
            <w:pPr>
              <w:tabs>
                <w:tab w:val="left" w:pos="1451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151480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1417588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</w:p>
          <w:p w14:paraId="0488E68C" w14:textId="77777777" w:rsidR="003843D9" w:rsidRPr="00C77AC6" w:rsidRDefault="003843D9" w:rsidP="00C77AC6">
            <w:pPr>
              <w:pStyle w:val="Akapitzlist"/>
              <w:numPr>
                <w:ilvl w:val="0"/>
                <w:numId w:val="15"/>
              </w:numPr>
              <w:spacing w:before="60" w:line="276" w:lineRule="auto"/>
              <w:ind w:left="742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Zintegrowanej Platformy Analitycznej Polski Instytut Ekonomiczny będzie jedynie przetwarzał dane w celu wykonania analiz po czym dane służące do osiągnięcia celu będą trwale usuwane.</w:t>
            </w:r>
          </w:p>
          <w:p w14:paraId="4810D57B" w14:textId="4D53B450" w:rsidR="001471D2" w:rsidRPr="00C77AC6" w:rsidRDefault="001471D2" w:rsidP="00C77AC6">
            <w:pPr>
              <w:pStyle w:val="Akapitzlist"/>
              <w:numPr>
                <w:ilvl w:val="0"/>
                <w:numId w:val="15"/>
              </w:numPr>
              <w:spacing w:before="60" w:line="276" w:lineRule="auto"/>
              <w:ind w:left="742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EZD nie b</w:t>
            </w:r>
            <w:r w:rsidR="00FD7AE4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ędą przechowywane dane referencyjne</w:t>
            </w:r>
          </w:p>
        </w:tc>
      </w:tr>
      <w:tr w:rsidR="002F726A" w:rsidRPr="00C77AC6" w14:paraId="489DC63F" w14:textId="77777777" w:rsidTr="00CC4B02">
        <w:trPr>
          <w:trHeight w:val="1275"/>
        </w:trPr>
        <w:tc>
          <w:tcPr>
            <w:tcW w:w="421" w:type="dxa"/>
          </w:tcPr>
          <w:p w14:paraId="05A6A260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64AFF48B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Czy system umożliwia udostępnianie danych referencyjnych z rejestru?</w:t>
            </w:r>
          </w:p>
          <w:p w14:paraId="4D457720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1524158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D3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83957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</w:p>
          <w:p w14:paraId="7CF7DF69" w14:textId="77777777" w:rsidR="002F726A" w:rsidRPr="00C77AC6" w:rsidRDefault="002F726A" w:rsidP="00C77AC6">
            <w:p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Proszę wymienić udostępniane dane referencyjne lub wskazać przyczynę ich nieudostępniania:</w:t>
            </w:r>
          </w:p>
          <w:p w14:paraId="4C42C8B6" w14:textId="77777777" w:rsidR="00295DD3" w:rsidRPr="00C77AC6" w:rsidRDefault="00313E64" w:rsidP="00C77AC6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SRP: d</w:t>
            </w:r>
            <w:r w:rsidR="00295D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ane, o których mowa w art. 56 ustawy o dowodach osobistych,  dane zawarte w aktach stanu cywilnego, o których mowa w ustawie Prawo o aktach stanu cywilnego, dane, o których mowa w art. 8 ustawy o ewidencji ludności</w:t>
            </w:r>
            <w:r w:rsidR="00A13B5E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 dane, o których mowa w ustawie o dokumentach paszportowych</w:t>
            </w:r>
            <w:r w:rsidR="00295D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. Projekt </w:t>
            </w:r>
            <w:r w:rsidR="00A13B5E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zmienia obecne</w:t>
            </w:r>
            <w:r w:rsidR="00295D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zasad</w:t>
            </w:r>
            <w:r w:rsidR="00B416C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y</w:t>
            </w:r>
            <w:r w:rsidR="00295D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udostępniania danych referencyjnych </w:t>
            </w:r>
            <w:r w:rsidR="00617A6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z Systemu Rejestrów Państwowych w zakresie udostępniania informacji o serii i numerze oraz terminie ważności dowodu osobistego z rejestru PESEL</w:t>
            </w:r>
            <w:r w:rsidR="00B416C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, </w:t>
            </w:r>
            <w:r w:rsidR="00617A6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dodaje usługi umożliwiające pobranie wizerunku z Rejestru Dowodó</w:t>
            </w:r>
            <w:r w:rsidR="00B416C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Osobistych, umożliwia przywrócenie pod pewnymi warunkami unieważnionego omyłkowo dowodu osobistego</w:t>
            </w:r>
            <w:r w:rsidR="00BB1486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  <w:r w:rsidR="00B416C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tworzy możliwość uzyskania raportu zgodności danych z RDO</w:t>
            </w:r>
            <w:r w:rsidR="00BB1486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przez uprawnione podmioty oraz wprowadza bezterminowe przechowywanie logów systemowych</w:t>
            </w:r>
            <w:r w:rsidR="00B416C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.</w:t>
            </w:r>
          </w:p>
          <w:p w14:paraId="55D738BB" w14:textId="355880EF" w:rsidR="00877190" w:rsidRPr="00C77AC6" w:rsidRDefault="00877190" w:rsidP="00C77AC6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Rejestr Pełnomocnictw Elektronicznych będzie udostępniał</w:t>
            </w:r>
            <w:r w:rsidR="00D3209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: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</w:t>
            </w:r>
            <w:r w:rsidR="00D3209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dane pełnomocnictwa w postaci numer PESEL pełnomocnika i mocodawcy, numer pełnomocnictwa oraz zakres czynności, które obejmuje pełnomocnictwo</w:t>
            </w:r>
          </w:p>
          <w:p w14:paraId="564A3316" w14:textId="77777777" w:rsidR="00DE544C" w:rsidRPr="00C77AC6" w:rsidRDefault="00DE544C" w:rsidP="00C77AC6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KRS projekt przewiduje udostępnianie danych referencyjnych: numer PESEL, numer REGON, numer NIP, numer KRS</w:t>
            </w:r>
            <w:r w:rsidR="005F557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.</w:t>
            </w:r>
          </w:p>
          <w:p w14:paraId="7796A9AE" w14:textId="2FBBF78F" w:rsidR="00DE544C" w:rsidRPr="00C77AC6" w:rsidRDefault="00DE544C" w:rsidP="00C77AC6">
            <w:pPr>
              <w:pStyle w:val="Akapitzlist"/>
              <w:numPr>
                <w:ilvl w:val="0"/>
                <w:numId w:val="18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W zakresie katalogu podmiotów publicznych udostępniane będą dane referencyjne w postaci: </w:t>
            </w:r>
            <w:r w:rsidR="000F3771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identyfikatora katalogu podmiotów publicznych ,</w:t>
            </w:r>
            <w:r w:rsidR="000F3771" w:rsidRPr="00C77AC6" w:rsidDel="000F3771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</w:t>
            </w:r>
          </w:p>
          <w:p w14:paraId="7A6EC931" w14:textId="77777777" w:rsidR="002F726A" w:rsidRPr="00C77AC6" w:rsidRDefault="0064225A" w:rsidP="00C77AC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BAE będą udostępniane adresy do doręczeń elektronicznych, w ramach niniejszego projektu ustawy dane będą przekazywane dodatkowo do katalogu podmiotów publicznych</w:t>
            </w:r>
          </w:p>
          <w:p w14:paraId="3B619538" w14:textId="77777777" w:rsidR="003843D9" w:rsidRPr="00C77AC6" w:rsidRDefault="003843D9" w:rsidP="00C77AC6">
            <w:pPr>
              <w:pStyle w:val="Akapitzlist"/>
              <w:spacing w:line="276" w:lineRule="auto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  <w:p w14:paraId="5BE6CD0F" w14:textId="77777777" w:rsidR="003843D9" w:rsidRPr="00C77AC6" w:rsidRDefault="003843D9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12753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2118718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</w:p>
          <w:p w14:paraId="4055AC24" w14:textId="77777777" w:rsidR="003843D9" w:rsidRPr="00C77AC6" w:rsidRDefault="003843D9" w:rsidP="00C77AC6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Zintegrowanej Platformy Analitycznej system nie będzie udostępniał żadnych danych referencyjnych.</w:t>
            </w:r>
          </w:p>
          <w:p w14:paraId="645205D4" w14:textId="05610B66" w:rsidR="00FD7AE4" w:rsidRPr="00C77AC6" w:rsidRDefault="00FD7AE4" w:rsidP="00C77AC6">
            <w:pPr>
              <w:pStyle w:val="Akapitzlist"/>
              <w:numPr>
                <w:ilvl w:val="0"/>
                <w:numId w:val="18"/>
              </w:numPr>
              <w:spacing w:before="60" w:after="1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EZD nie będą udostępniane dane referencyjne, ponieważ system ich nie gromadzi</w:t>
            </w:r>
          </w:p>
          <w:p w14:paraId="28639A6E" w14:textId="77777777" w:rsidR="00FD7AE4" w:rsidRPr="00C77AC6" w:rsidRDefault="00FD7AE4" w:rsidP="00C77AC6">
            <w:pPr>
              <w:pStyle w:val="Akapitzlist"/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  <w:p w14:paraId="482EDB3E" w14:textId="77777777" w:rsidR="003843D9" w:rsidRPr="00C77AC6" w:rsidRDefault="003843D9" w:rsidP="00C77AC6">
            <w:pPr>
              <w:pStyle w:val="Akapitzlist"/>
              <w:spacing w:line="276" w:lineRule="auto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</w:tr>
      <w:tr w:rsidR="002F726A" w:rsidRPr="00C77AC6" w14:paraId="0EA48230" w14:textId="77777777" w:rsidTr="00CC4B02">
        <w:trPr>
          <w:trHeight w:val="2002"/>
        </w:trPr>
        <w:tc>
          <w:tcPr>
            <w:tcW w:w="421" w:type="dxa"/>
          </w:tcPr>
          <w:p w14:paraId="67CB27DD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77C54656" w14:textId="77777777" w:rsidR="002F726A" w:rsidRPr="00C77AC6" w:rsidRDefault="002F726A" w:rsidP="00C77AC6">
            <w:pPr>
              <w:tabs>
                <w:tab w:val="left" w:pos="5835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Czy system korzysta lub będzie korzystał z danych referencyjnych przechowywanych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br/>
              <w:t>w rejestrach prowadzonych w innych systemach teleinformatycznych?</w:t>
            </w:r>
          </w:p>
          <w:p w14:paraId="66285783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1828040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D3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160294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</w:p>
          <w:p w14:paraId="34B2299D" w14:textId="77777777" w:rsidR="002F726A" w:rsidRPr="00C77AC6" w:rsidRDefault="007C24F8" w:rsidP="00C77AC6">
            <w:pPr>
              <w:tabs>
                <w:tab w:val="left" w:pos="5835"/>
              </w:tabs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Jeżeli TAK, proszę </w:t>
            </w:r>
            <w:r w:rsidR="002F726A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wymienić rejestry, z których mają pochodzić/pochodzą dane referencyjne </w:t>
            </w:r>
            <w:r w:rsidR="00691231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br/>
            </w:r>
            <w:r w:rsidR="002F726A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i </w:t>
            </w:r>
            <w:r w:rsidR="00090F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wskazać </w:t>
            </w:r>
            <w:r w:rsidR="002F726A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jakie są to dane:</w:t>
            </w:r>
          </w:p>
          <w:p w14:paraId="31F32A87" w14:textId="6C16670F" w:rsidR="002F726A" w:rsidRPr="00C77AC6" w:rsidRDefault="00295DD3" w:rsidP="00C77AC6">
            <w:pPr>
              <w:pStyle w:val="Akapitzlist"/>
              <w:numPr>
                <w:ilvl w:val="0"/>
                <w:numId w:val="12"/>
              </w:numPr>
              <w:tabs>
                <w:tab w:val="left" w:pos="5835"/>
              </w:tabs>
              <w:spacing w:line="276" w:lineRule="auto"/>
              <w:jc w:val="both"/>
              <w:rPr>
                <w:rFonts w:asciiTheme="minorHAnsi" w:hAnsiTheme="minorHAnsi" w:cstheme="minorHAnsi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System Rejestrów Państwowych korzysta z danych referencyjnych z </w:t>
            </w:r>
            <w:r w:rsidR="00F4110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centralnego rejestru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</w:t>
            </w:r>
            <w:r w:rsidR="00F4110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danych o nabytym i utraconym obywatelstwie p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olskim</w:t>
            </w:r>
            <w:r w:rsidR="00FD7AE4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(pobierana jest z niego informacja o obywatelstwie w przypadku jego nadania lub utraty)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, </w:t>
            </w:r>
            <w:r w:rsidR="00A13B5E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Rejestru Dokumentów Paszportowych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, rejestru TERYT. Projekt nie zmienia zasad pozyskiwania danych referencyjnych z innych rejestrów a obejmuje jedynie wdrożenie nowych </w:t>
            </w:r>
            <w:r w:rsidR="005A54AE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usług (w tym przewidujących możliwość udostępnienia danych)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na bazie rejestrów wchodzących w skład Systemu Rejestrów Państwowych.</w:t>
            </w:r>
            <w:r w:rsidR="00BF5E5E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Usługi będą zatem wykorzystywać dane referencyjne z Systemu Rejestrów Państwowych.</w:t>
            </w:r>
          </w:p>
          <w:p w14:paraId="58B34340" w14:textId="3E86AEE4" w:rsidR="005F5573" w:rsidRPr="00C77AC6" w:rsidRDefault="005F5573" w:rsidP="00C77AC6">
            <w:pPr>
              <w:pStyle w:val="Akapitzlist"/>
              <w:numPr>
                <w:ilvl w:val="0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W Rejestrze Pełnomocnictw Elektronicznych niezbędne będzie podanie m.in. numeru PESEL w celu weryfikacji prawidłowości pełnomocnictwa, jednakże numer PESEL nie będzie wprost udostępniany. </w:t>
            </w:r>
            <w:r w:rsidR="009B4561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Weryfikowany będzie zestaw danych (imiona, nazwiska oraz numery PESEL, ew. data zgonu)</w:t>
            </w:r>
          </w:p>
          <w:p w14:paraId="7027CFA7" w14:textId="77777777" w:rsidR="005F5573" w:rsidRPr="00C77AC6" w:rsidRDefault="005F5573" w:rsidP="00C77AC6">
            <w:pPr>
              <w:pStyle w:val="Akapitzlist"/>
              <w:numPr>
                <w:ilvl w:val="0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pozyskiwania danych referencyjnych przez Krajowy Rejestr Sądowy, projekt nie przewiduje zmian, stąd zastosowanie mają dotychczasowe zasady</w:t>
            </w:r>
          </w:p>
          <w:p w14:paraId="42563EF7" w14:textId="736D386A" w:rsidR="005F5573" w:rsidRPr="00C77AC6" w:rsidRDefault="005F5573" w:rsidP="00C77AC6">
            <w:pPr>
              <w:pStyle w:val="Akapitzlist"/>
              <w:numPr>
                <w:ilvl w:val="0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Do katalogu podmiotów publicznych będą pozyskiwane dane z</w:t>
            </w:r>
            <w:r w:rsidR="000F3771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:</w:t>
            </w:r>
          </w:p>
          <w:p w14:paraId="02D0B9D3" w14:textId="77777777" w:rsidR="00C77AC6" w:rsidRPr="00C77AC6" w:rsidRDefault="00C77AC6" w:rsidP="00C77AC6">
            <w:pPr>
              <w:pStyle w:val="Akapitzlist"/>
              <w:spacing w:before="60" w:line="276" w:lineRule="auto"/>
              <w:ind w:left="895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  <w:p w14:paraId="69A20C3F" w14:textId="77777777" w:rsidR="000F3771" w:rsidRPr="00C77AC6" w:rsidRDefault="000F3771" w:rsidP="00C77AC6">
            <w:pPr>
              <w:pStyle w:val="ZPKTzmpktartykuempunktem"/>
              <w:numPr>
                <w:ilvl w:val="0"/>
                <w:numId w:val="20"/>
              </w:numPr>
              <w:spacing w:line="276" w:lineRule="auto"/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C77AC6"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  <w:t>Krajowego rejestru urzędowego podmiotów gospodarki narodowej, o którym mowa w art. 42 ustawy dnia 29 czerwca 1995 r. o statystyce publicznej (Dz. U. z 2022 r. poz. 459 i 830):numer REGON, dane podmiotów: nazwa, forma własności, szczególna forma prawna, forma finansowania, numer NIP, dodatkowy kod podmiotu, data powstania podmiotu, data zakończenia działalności, adres siedziby, kody PKD, dane kontaktowe (e-mail, telefon, faks, adres strony www), a dla pozostałych podmiotów tylko te z wyżej wymienionych danych, które nie są przekazywane z Krajowego Rejestru Sądowego oraz z Centralnej Ewidencji i Informacji o Działalności Gospodarczej;</w:t>
            </w:r>
          </w:p>
          <w:p w14:paraId="08BCBD6F" w14:textId="77777777" w:rsidR="000F3771" w:rsidRPr="00C77AC6" w:rsidRDefault="000F3771" w:rsidP="00C77AC6">
            <w:pPr>
              <w:pStyle w:val="ZPKTzmpktartykuempunktem"/>
              <w:numPr>
                <w:ilvl w:val="0"/>
                <w:numId w:val="20"/>
              </w:numPr>
              <w:spacing w:line="276" w:lineRule="auto"/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C77AC6"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  <w:t>rejestru urzędowego podziału terytorialnego kraju, o którym mowa w art. 47 ustawy dnia 29 czerwca 1995 r. o statystyce publicznej: kody terytorialne TERYT dla obszarów i adresów;</w:t>
            </w:r>
          </w:p>
          <w:p w14:paraId="4BBBF80E" w14:textId="77777777" w:rsidR="000F3771" w:rsidRPr="00C77AC6" w:rsidRDefault="000F3771" w:rsidP="00C77AC6">
            <w:pPr>
              <w:pStyle w:val="ZPKTzmpktartykuempunktem"/>
              <w:numPr>
                <w:ilvl w:val="0"/>
                <w:numId w:val="20"/>
              </w:numPr>
              <w:spacing w:line="276" w:lineRule="auto"/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 w:rsidRPr="00C77AC6"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  <w:t>bazy adresów elektronicznych, o której mowa w art. 25 ustawy z dnia 7 października 2020 r. o doręczeniach elektronicznych (Dz. U. z 2022 r. poz. 569 i, 1002): adresy do doręczeń elektronicznych;</w:t>
            </w:r>
          </w:p>
          <w:p w14:paraId="05281BCA" w14:textId="77777777" w:rsidR="000F3771" w:rsidRPr="00C77AC6" w:rsidRDefault="000F3771" w:rsidP="00C77AC6">
            <w:pPr>
              <w:pStyle w:val="ZPKTzmpktartykuempunktem"/>
              <w:numPr>
                <w:ilvl w:val="0"/>
                <w:numId w:val="20"/>
              </w:numPr>
              <w:spacing w:line="276" w:lineRule="auto"/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proofErr w:type="spellStart"/>
            <w:r w:rsidRPr="00C77AC6">
              <w:rPr>
                <w:rFonts w:asciiTheme="minorHAnsi" w:eastAsiaTheme="minorHAnsi" w:hAnsiTheme="minorHAnsi" w:cstheme="minorHAnsi"/>
                <w:bCs w:val="0"/>
                <w:sz w:val="22"/>
                <w:szCs w:val="22"/>
                <w:lang w:eastAsia="en-US"/>
              </w:rPr>
              <w:t>ePUAP</w:t>
            </w:r>
            <w:proofErr w:type="spellEnd"/>
          </w:p>
          <w:p w14:paraId="1E34C624" w14:textId="77777777" w:rsidR="000F3771" w:rsidRPr="00C77AC6" w:rsidRDefault="000F3771" w:rsidP="00C77AC6">
            <w:pPr>
              <w:pStyle w:val="Akapitzlist"/>
              <w:spacing w:before="60" w:line="276" w:lineRule="auto"/>
              <w:ind w:left="895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  <w:p w14:paraId="01BA68F8" w14:textId="77777777" w:rsidR="005F5573" w:rsidRPr="00C77AC6" w:rsidRDefault="006212E1" w:rsidP="00C77AC6">
            <w:pPr>
              <w:pStyle w:val="Akapitzlist"/>
              <w:numPr>
                <w:ilvl w:val="0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EZD nie będzie korzystał z danych referencyjnych</w:t>
            </w:r>
          </w:p>
          <w:p w14:paraId="6759A066" w14:textId="77777777" w:rsidR="00BE36D3" w:rsidRPr="00C77AC6" w:rsidRDefault="00230344" w:rsidP="00C77AC6">
            <w:pPr>
              <w:pStyle w:val="Akapitzlist"/>
              <w:numPr>
                <w:ilvl w:val="0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ramach Zintegrowanej Platformy Analitycznej Polski Instytut Ekonomiczny będzie mó</w:t>
            </w:r>
            <w:r w:rsidR="00BE36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gł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pozyskać dane </w:t>
            </w:r>
            <w:r w:rsidR="007127D6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m.in.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z</w:t>
            </w:r>
            <w:r w:rsidR="00BE36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:</w:t>
            </w:r>
          </w:p>
          <w:p w14:paraId="746B4CA2" w14:textId="77777777" w:rsidR="00BE36D3" w:rsidRPr="00C77AC6" w:rsidRDefault="00BE36D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centralnej informacji ksiąg wieczystych, </w:t>
            </w:r>
          </w:p>
          <w:p w14:paraId="5367E30E" w14:textId="77777777" w:rsidR="00BE36D3" w:rsidRPr="00C77AC6" w:rsidRDefault="0016624F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Centralnego Rejestru Podmiotów – Krajowej Ewidencji Podatników</w:t>
            </w:r>
            <w:r w:rsidR="00BE36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, </w:t>
            </w:r>
          </w:p>
          <w:p w14:paraId="537E61D5" w14:textId="77777777" w:rsidR="00BE36D3" w:rsidRPr="00C77AC6" w:rsidRDefault="00BE36D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rejestru zastawów, </w:t>
            </w:r>
          </w:p>
          <w:p w14:paraId="327C08BD" w14:textId="77777777" w:rsidR="00BE36D3" w:rsidRPr="00C77AC6" w:rsidRDefault="00BE36D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lastRenderedPageBreak/>
              <w:t xml:space="preserve">Elektronicznego Krajowego Systemu Monitoringu Orzekania o Niepełnosprawności, </w:t>
            </w:r>
          </w:p>
          <w:p w14:paraId="5B6804C3" w14:textId="77777777" w:rsidR="00BE36D3" w:rsidRPr="00C77AC6" w:rsidRDefault="007B706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</w:t>
            </w:r>
            <w:r w:rsidR="00BE36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entralnego Rejestru Ubezpieczonych, </w:t>
            </w:r>
          </w:p>
          <w:p w14:paraId="408B9F55" w14:textId="77777777" w:rsidR="00BE36D3" w:rsidRPr="00C77AC6" w:rsidRDefault="00BE36D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Centralnego Rejestru Płatników Składek, </w:t>
            </w:r>
          </w:p>
          <w:p w14:paraId="476C4856" w14:textId="77777777" w:rsidR="003766DB" w:rsidRPr="00C77AC6" w:rsidRDefault="003766DB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Krajowego Rejestru Sądowego</w:t>
            </w:r>
          </w:p>
          <w:p w14:paraId="201FD785" w14:textId="77777777" w:rsidR="003766DB" w:rsidRPr="00C77AC6" w:rsidRDefault="003766DB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Centralnej Ewidencji i Informacji o Działalności Gospodarczej</w:t>
            </w:r>
          </w:p>
          <w:p w14:paraId="009BDFB7" w14:textId="77777777" w:rsidR="00BE36D3" w:rsidRPr="00C77AC6" w:rsidRDefault="007B706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Centralnego rejestru obejmującego</w:t>
            </w:r>
            <w:r w:rsidR="00BE36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informacje gromadzone na podstawie przepisów ustawy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</w:t>
            </w:r>
            <w:r w:rsidR="00BE36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z dnia 28 listopada 2003 r. o świadczeniach rodzinnych </w:t>
            </w:r>
            <w:r w:rsidR="00BE36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przez organy właściwe i wojewodów podczas realizacji zadań w zakresie świadczeń rodzinnych, </w:t>
            </w:r>
          </w:p>
          <w:p w14:paraId="76E20D26" w14:textId="77777777" w:rsidR="00230344" w:rsidRPr="00C77AC6" w:rsidRDefault="007B706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Centralnego rejestru obejmującego</w:t>
            </w:r>
            <w:r w:rsidR="00BE36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dane dotyczące jednostek organizacyjnych pomocy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społecznej i </w:t>
            </w:r>
            <w:r w:rsidR="00BE36D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dane dotyczące osób i rodzin ubiegających się o świadczenia z pomocy społecznej lub korzystających z tych świadczeń oraz form udzielonej pomocy społecznej</w:t>
            </w:r>
          </w:p>
          <w:p w14:paraId="591F684F" w14:textId="77777777" w:rsidR="003766DB" w:rsidRPr="00C77AC6" w:rsidRDefault="003766DB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centralnego rejestru gromadzącego dane na podstawie art. 15 ust. 8a ustawy z dnia 7 września 2007 r. o pomocy osobom uprawnionym do alimentów</w:t>
            </w:r>
          </w:p>
          <w:p w14:paraId="24F18DAC" w14:textId="77777777" w:rsidR="00DE544C" w:rsidRPr="00C77AC6" w:rsidRDefault="007B706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centralnego</w:t>
            </w:r>
            <w:r w:rsidR="006A2A28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rejestr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u</w:t>
            </w:r>
            <w:r w:rsidR="006A2A28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danych osobowych osób fizycznych ubiegających się o pomoc określoną w ustawie lub korzystających z tej pomocy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na podstawie ustawy</w:t>
            </w:r>
            <w:r w:rsidR="006A2A28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z dnia 20 kwietnia 2004 r. o promocji zatrudnienia i instytucjach rynku pracy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</w:p>
          <w:p w14:paraId="61D4B355" w14:textId="77777777" w:rsidR="0016624F" w:rsidRPr="00C77AC6" w:rsidRDefault="0016624F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Centralnego Wykazu Ubezpieczonych </w:t>
            </w:r>
          </w:p>
          <w:p w14:paraId="37F0B865" w14:textId="77777777" w:rsidR="0016624F" w:rsidRPr="00C77AC6" w:rsidRDefault="0016624F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systemu informacyjnego Kasy Rolniczego Ubezpieczenia Społecznego</w:t>
            </w:r>
          </w:p>
          <w:p w14:paraId="28DEBF7A" w14:textId="77777777" w:rsidR="006A2A28" w:rsidRPr="00C77AC6" w:rsidRDefault="006A2A28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Rejestru Dowodów Osobistych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</w:p>
          <w:p w14:paraId="04647B6C" w14:textId="77777777" w:rsidR="006A2A28" w:rsidRPr="00C77AC6" w:rsidRDefault="006A2A28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Rejestru PESEL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</w:p>
          <w:p w14:paraId="1DDF9862" w14:textId="77777777" w:rsidR="006A2A28" w:rsidRPr="00C77AC6" w:rsidRDefault="006A2A28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Systemu Informacji Oświatowej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</w:p>
          <w:p w14:paraId="25E59948" w14:textId="77777777" w:rsidR="006A2A28" w:rsidRPr="00C77AC6" w:rsidRDefault="00875631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Rejestru stanu cywilnego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</w:p>
          <w:p w14:paraId="7436230A" w14:textId="77777777" w:rsidR="00875631" w:rsidRPr="00C77AC6" w:rsidRDefault="007B706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Platformy</w:t>
            </w:r>
            <w:r w:rsidR="00875631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Udostępniania On-Line Usług i Zasobów Cyfrowych Rejestrów Medycznych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</w:p>
          <w:p w14:paraId="5BEB2633" w14:textId="77777777" w:rsidR="00875631" w:rsidRPr="00C77AC6" w:rsidRDefault="007B7063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Elektronicznej Platformy</w:t>
            </w:r>
            <w:r w:rsidR="00875631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Gromadzenia, Analizy i Udostępnienia Zasobów Cyfrowych o Zdarzeniach Medycznych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</w:p>
          <w:p w14:paraId="67255E32" w14:textId="77777777" w:rsidR="00875631" w:rsidRPr="00C77AC6" w:rsidRDefault="00875631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rejestr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u centralnego obejmującego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informacje gromadzone przez Zakład Ubezpieczeń Społecznych i wojewodów podczas realizacji zadań w zakresie świadczenia wychowawczego 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na podstawie ustawy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z dnia 11 lutego 2016 r. o pomocy państwa w wychowywaniu dzieci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</w:p>
          <w:p w14:paraId="1F9BA50B" w14:textId="77777777" w:rsidR="00875631" w:rsidRPr="00C77AC6" w:rsidRDefault="008F5392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CEIDG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</w:t>
            </w:r>
          </w:p>
          <w:p w14:paraId="31175AA8" w14:textId="77777777" w:rsidR="00875631" w:rsidRPr="00C77AC6" w:rsidRDefault="008F5392" w:rsidP="00C77AC6">
            <w:pPr>
              <w:pStyle w:val="Akapitzlist"/>
              <w:numPr>
                <w:ilvl w:val="1"/>
                <w:numId w:val="12"/>
              </w:num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POL-on</w:t>
            </w:r>
          </w:p>
          <w:p w14:paraId="67FDB9B1" w14:textId="62277401" w:rsidR="007B7063" w:rsidRPr="00C77AC6" w:rsidRDefault="003843D9" w:rsidP="00C77AC6">
            <w:pPr>
              <w:pStyle w:val="Akapitzlist"/>
              <w:spacing w:before="60" w:line="276" w:lineRule="auto"/>
              <w:ind w:left="175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W ramach ZPA przetwarzane 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będą dane referencyjne w postaci m.in: numeru PESEL, serii i numeru dokumentu tożsamości, daty zgonu lub znalezienia zwłok, informacji o wysokości opłaconych składek na ubezpieczenie społeczne</w:t>
            </w:r>
            <w:r w:rsidR="003766DB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, numeru REGON, NIP, numer KRS</w:t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oraz innych wskazanych w projektowanym art. 21a ust. 4 ustawy z dnia z dnia 20 lipca 2018 r. </w:t>
            </w:r>
            <w:r w:rsidR="007127D6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br/>
            </w:r>
            <w:r w:rsidR="007B7063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o Polskim Instytucie Ekonomicznym.</w:t>
            </w:r>
          </w:p>
          <w:p w14:paraId="0BC9B344" w14:textId="18C3C761" w:rsidR="0064225A" w:rsidRPr="00C77AC6" w:rsidRDefault="0064225A" w:rsidP="00C77AC6">
            <w:pPr>
              <w:pStyle w:val="Akapitzlist"/>
              <w:numPr>
                <w:ilvl w:val="0"/>
                <w:numId w:val="12"/>
              </w:numPr>
              <w:spacing w:before="60" w:after="1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BAE w wyniku projektu będzie pobierany unikalny identyfikator katalogu podmiotów publicznych</w:t>
            </w:r>
            <w:r w:rsidR="003F7E7F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oraz </w:t>
            </w:r>
            <w:r w:rsidR="007A39E7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dane, o których mowa w art. 12 ust. 2 ustawy o doręczeniach elektronicznych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. W pozostałym zakresie zakres pobieranych referencyjnych danych nie ulega zmianie</w:t>
            </w:r>
          </w:p>
          <w:p w14:paraId="53EEE3C3" w14:textId="77777777" w:rsidR="00467492" w:rsidRPr="00C77AC6" w:rsidRDefault="00467492" w:rsidP="00C77AC6">
            <w:pPr>
              <w:pStyle w:val="Akapitzlist"/>
              <w:spacing w:before="60" w:line="276" w:lineRule="auto"/>
              <w:ind w:left="895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</w:tr>
      <w:tr w:rsidR="002F726A" w:rsidRPr="00C77AC6" w14:paraId="3B1D1072" w14:textId="77777777" w:rsidTr="002F726A">
        <w:trPr>
          <w:trHeight w:val="1758"/>
        </w:trPr>
        <w:tc>
          <w:tcPr>
            <w:tcW w:w="421" w:type="dxa"/>
            <w:vMerge w:val="restart"/>
          </w:tcPr>
          <w:p w14:paraId="582336D0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  <w:tcBorders>
              <w:bottom w:val="nil"/>
            </w:tcBorders>
          </w:tcPr>
          <w:p w14:paraId="59FABF6C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Czy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fldChar w:fldCharType="begin"/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instrText xml:space="preserve"> REF form_danych \h  \* MERGEFORMAT </w:instrTex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fldChar w:fldCharType="separate"/>
            </w:r>
            <w:r w:rsidR="00F13791" w:rsidRPr="00C77AC6">
              <w:rPr>
                <w:rFonts w:asciiTheme="minorHAnsi" w:hAnsiTheme="minorHAnsi" w:cstheme="minorHAnsi"/>
                <w:b w:val="0"/>
                <w:bCs/>
                <w:color w:val="auto"/>
                <w:highlight w:val="none"/>
                <w:lang w:eastAsia="en-US"/>
              </w:rPr>
              <w:t xml:space="preserve">format danych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fldChar w:fldCharType="end"/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stosowanych przy wymianie informacji z innymi systemami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br/>
              <w:t>są zgodne z wym</w:t>
            </w:r>
            <w:r w:rsidR="009053EE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ienionymi w załączniku nr 2 do r</w:t>
            </w:r>
            <w:r w:rsidR="0038657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ozporządzenia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Rady Ministrów z dnia </w:t>
            </w:r>
            <w:r w:rsidR="00691231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br/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12 kwietnia 2012 r. w sprawie Krajowych Ram Interoperacyjności, minimalnych wymagań dla rejestrów publicznych i wymiany informacji w postaci elektronicznej oraz minimalnych wymagań dl</w:t>
            </w:r>
            <w:r w:rsidR="00386575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a systemów teleinformatycznych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(Dz. U. z 2016, poz. 113)?</w:t>
            </w:r>
          </w:p>
          <w:p w14:paraId="038E87BA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637718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D3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11848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</w:p>
          <w:p w14:paraId="0DF996DB" w14:textId="77777777" w:rsidR="002F726A" w:rsidRPr="00C77AC6" w:rsidRDefault="002F726A" w:rsidP="00C77AC6">
            <w:pPr>
              <w:tabs>
                <w:tab w:val="left" w:pos="3330"/>
              </w:tabs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przypadku niezgodności proszę podać z</w:t>
            </w:r>
            <w:r w:rsidR="00A569E2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astosowane formaty danych wraz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z uzasadnieniem odstępstwa od wymagań przedmiotowego rozporządzenia:</w:t>
            </w:r>
          </w:p>
        </w:tc>
      </w:tr>
      <w:tr w:rsidR="002F726A" w:rsidRPr="00C77AC6" w14:paraId="62E46712" w14:textId="77777777" w:rsidTr="002F726A">
        <w:trPr>
          <w:trHeight w:val="391"/>
        </w:trPr>
        <w:tc>
          <w:tcPr>
            <w:tcW w:w="421" w:type="dxa"/>
            <w:vMerge/>
          </w:tcPr>
          <w:p w14:paraId="650CCACA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  <w:tcBorders>
              <w:top w:val="nil"/>
            </w:tcBorders>
          </w:tcPr>
          <w:p w14:paraId="36CC9E5F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</w:tr>
      <w:tr w:rsidR="002F726A" w:rsidRPr="00C77AC6" w14:paraId="4B4A3D59" w14:textId="77777777" w:rsidTr="00CC4B02">
        <w:trPr>
          <w:trHeight w:val="3236"/>
        </w:trPr>
        <w:tc>
          <w:tcPr>
            <w:tcW w:w="421" w:type="dxa"/>
          </w:tcPr>
          <w:p w14:paraId="6F52FF18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5E112897" w14:textId="77777777" w:rsidR="00EB3DAC" w:rsidRPr="00C77AC6" w:rsidRDefault="00F13791" w:rsidP="00C77AC6">
            <w:pPr>
              <w:tabs>
                <w:tab w:val="left" w:pos="33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Czy w ramach udostępniania usług typu A2A (współdziałanie jednostek organizacyjnych administracji), A2B (współdziałanie jednostek organizacyjnych administracji i biznesu), A2C (współdziałanie jednostek organizacyjnych administracji i obywateli), system będzie służył prezentacji zasobów informacji?</w:t>
            </w:r>
          </w:p>
          <w:p w14:paraId="534EFFD9" w14:textId="77777777" w:rsidR="002F726A" w:rsidRPr="00C77AC6" w:rsidRDefault="002F726A" w:rsidP="00C77AC6">
            <w:pPr>
              <w:tabs>
                <w:tab w:val="left" w:pos="33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77178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D3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158236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</w:p>
          <w:p w14:paraId="18B9FD41" w14:textId="77777777" w:rsidR="00F13791" w:rsidRPr="00C77AC6" w:rsidRDefault="00F13791" w:rsidP="00C77AC6">
            <w:pPr>
              <w:tabs>
                <w:tab w:val="left" w:pos="3390"/>
              </w:tabs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Jeżeli TAK, to czy zadbano o dostępność systemu dla osób niepełnosprawnych zgodnie </w:t>
            </w: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br/>
              <w:t>z WCAG 2.0 na poziomie AA</w:t>
            </w:r>
            <w:r w:rsidR="005039A4"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?</w:t>
            </w:r>
          </w:p>
          <w:p w14:paraId="32355CCA" w14:textId="77777777" w:rsidR="00BA189B" w:rsidRPr="00C77AC6" w:rsidRDefault="00BA189B" w:rsidP="00C77AC6">
            <w:pPr>
              <w:tabs>
                <w:tab w:val="left" w:pos="3390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-1863516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DD3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153745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</w:p>
          <w:p w14:paraId="4435715F" w14:textId="77777777" w:rsidR="002F726A" w:rsidRPr="00C77AC6" w:rsidRDefault="005039A4" w:rsidP="00C77AC6">
            <w:p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Jeżeli NIE, proszę uzasadnić dlaczego:</w:t>
            </w:r>
          </w:p>
          <w:p w14:paraId="514B27FF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</w:tr>
      <w:tr w:rsidR="002F726A" w:rsidRPr="00C77AC6" w14:paraId="6A37F964" w14:textId="77777777" w:rsidTr="00CC4B02">
        <w:trPr>
          <w:trHeight w:val="1695"/>
        </w:trPr>
        <w:tc>
          <w:tcPr>
            <w:tcW w:w="421" w:type="dxa"/>
          </w:tcPr>
          <w:p w14:paraId="7A2065C1" w14:textId="77777777" w:rsidR="002F726A" w:rsidRPr="00C77AC6" w:rsidRDefault="002F726A" w:rsidP="00C77AC6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</w:p>
        </w:tc>
        <w:tc>
          <w:tcPr>
            <w:tcW w:w="9497" w:type="dxa"/>
          </w:tcPr>
          <w:p w14:paraId="47ECA8EE" w14:textId="77777777" w:rsidR="005039A4" w:rsidRPr="00C77AC6" w:rsidRDefault="005039A4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Czy przewidziano złożenie (publikację) w repozytorium interoperacyjności opisów struktur danych i protokołów usług sieciowych?</w:t>
            </w:r>
          </w:p>
          <w:p w14:paraId="5D198A33" w14:textId="77777777" w:rsidR="002F726A" w:rsidRPr="00C77AC6" w:rsidRDefault="002F726A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20143382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E5E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149877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E5E"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</w:p>
          <w:p w14:paraId="65229560" w14:textId="77777777" w:rsidR="00295DD3" w:rsidRPr="00C77AC6" w:rsidRDefault="005039A4" w:rsidP="00C77AC6">
            <w:p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Jeżeli NIE, proszę uzasadnić dlaczego:</w:t>
            </w:r>
          </w:p>
          <w:p w14:paraId="65FE9899" w14:textId="77777777" w:rsidR="007D7B42" w:rsidRPr="00C77AC6" w:rsidRDefault="007D7B42" w:rsidP="00C77AC6">
            <w:pPr>
              <w:spacing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TAK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12058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☐</w:t>
                </w:r>
              </w:sdtContent>
            </w:sdt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 xml:space="preserve"> NIE </w:t>
            </w:r>
            <w:sdt>
              <w:sdtPr>
                <w:rPr>
                  <w:rFonts w:asciiTheme="minorHAnsi" w:hAnsiTheme="minorHAnsi" w:cstheme="minorHAnsi"/>
                  <w:b w:val="0"/>
                  <w:color w:val="auto"/>
                  <w:highlight w:val="none"/>
                  <w:lang w:eastAsia="en-US"/>
                </w:rPr>
                <w:id w:val="1483968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7AC6">
                  <w:rPr>
                    <w:rFonts w:ascii="Segoe UI Symbol" w:eastAsia="MS Gothic" w:hAnsi="Segoe UI Symbol" w:cs="Segoe UI Symbol"/>
                    <w:b w:val="0"/>
                    <w:color w:val="auto"/>
                    <w:highlight w:val="none"/>
                    <w:lang w:eastAsia="en-US"/>
                  </w:rPr>
                  <w:t>☒</w:t>
                </w:r>
              </w:sdtContent>
            </w:sdt>
          </w:p>
          <w:p w14:paraId="37D7BB44" w14:textId="73311E37" w:rsidR="007D7B42" w:rsidRPr="00C77AC6" w:rsidRDefault="007D7B42" w:rsidP="00C77AC6">
            <w:pPr>
              <w:spacing w:before="60" w:line="276" w:lineRule="auto"/>
              <w:jc w:val="both"/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</w:pPr>
            <w:r w:rsidRPr="00C77AC6">
              <w:rPr>
                <w:rFonts w:asciiTheme="minorHAnsi" w:hAnsiTheme="minorHAnsi" w:cstheme="minorHAnsi"/>
                <w:b w:val="0"/>
                <w:color w:val="auto"/>
                <w:highlight w:val="none"/>
                <w:lang w:eastAsia="en-US"/>
              </w:rPr>
              <w:t>W zakresie Zintegrowanej Platformy Analitycznej z uwagi na bezpieczeństwo i specyfikę systemu, nie publikujemy opisów struktur i protokołów sieciowych.</w:t>
            </w:r>
          </w:p>
        </w:tc>
      </w:tr>
    </w:tbl>
    <w:p w14:paraId="00675B6E" w14:textId="77777777" w:rsidR="00CC4B02" w:rsidRPr="00C77AC6" w:rsidRDefault="00CC4B02" w:rsidP="00C77AC6">
      <w:pPr>
        <w:spacing w:before="120" w:after="120" w:line="276" w:lineRule="auto"/>
        <w:rPr>
          <w:rFonts w:asciiTheme="minorHAnsi" w:eastAsiaTheme="minorHAnsi" w:hAnsiTheme="minorHAnsi" w:cstheme="minorHAnsi"/>
          <w:color w:val="auto"/>
          <w:highlight w:val="none"/>
          <w:lang w:eastAsia="en-US"/>
        </w:rPr>
      </w:pPr>
      <w:r w:rsidRPr="00C77AC6">
        <w:rPr>
          <w:rFonts w:asciiTheme="minorHAnsi" w:eastAsiaTheme="minorHAnsi" w:hAnsiTheme="minorHAnsi" w:cstheme="minorHAnsi"/>
          <w:color w:val="auto"/>
          <w:highlight w:val="none"/>
          <w:lang w:eastAsia="en-US"/>
        </w:rPr>
        <w:t>Objaśnienia:</w:t>
      </w:r>
    </w:p>
    <w:p w14:paraId="182B463B" w14:textId="77777777" w:rsidR="00CC4B02" w:rsidRPr="00C77AC6" w:rsidRDefault="00CC4B02" w:rsidP="00C77AC6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</w:pPr>
      <w:bookmarkStart w:id="1" w:name="dane_ref"/>
      <w:r w:rsidRPr="00C77AC6">
        <w:rPr>
          <w:rFonts w:asciiTheme="minorHAnsi" w:eastAsiaTheme="minorHAnsi" w:hAnsiTheme="minorHAnsi" w:cstheme="minorHAnsi"/>
          <w:color w:val="auto"/>
          <w:highlight w:val="none"/>
          <w:lang w:eastAsia="en-US"/>
        </w:rPr>
        <w:t>dane referencyjne</w:t>
      </w:r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 xml:space="preserve"> </w:t>
      </w:r>
      <w:bookmarkEnd w:id="1"/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>– dane opisujące cechę informacyjną obiektu pierwotnie wprowadzone do rejestru publicznego w wyniku określonego zdarzenia, z domniemania opat</w:t>
      </w:r>
      <w:r w:rsidR="00E53E2F"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 xml:space="preserve">rzone atrybutem autentyczności </w:t>
      </w:r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>i niezaprzeczalności, przykład:</w:t>
      </w:r>
    </w:p>
    <w:p w14:paraId="4F3212E9" w14:textId="77777777" w:rsidR="00CC4B02" w:rsidRPr="00C77AC6" w:rsidRDefault="00CC4B02" w:rsidP="00C77AC6">
      <w:pPr>
        <w:spacing w:after="0" w:line="276" w:lineRule="auto"/>
        <w:ind w:firstLine="709"/>
        <w:jc w:val="both"/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</w:pPr>
      <w:r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>numer regon</w:t>
      </w:r>
    </w:p>
    <w:p w14:paraId="4F0C55CF" w14:textId="77777777" w:rsidR="00CC4B02" w:rsidRPr="00C77AC6" w:rsidRDefault="00CC4B02" w:rsidP="00C77AC6">
      <w:pPr>
        <w:spacing w:after="0" w:line="276" w:lineRule="auto"/>
        <w:ind w:firstLine="709"/>
        <w:jc w:val="both"/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</w:pPr>
      <w:r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>numer pesel</w:t>
      </w:r>
    </w:p>
    <w:p w14:paraId="2744B819" w14:textId="77777777" w:rsidR="00C06375" w:rsidRPr="00C77AC6" w:rsidRDefault="00C06375" w:rsidP="00C77AC6">
      <w:pPr>
        <w:spacing w:after="0" w:line="276" w:lineRule="auto"/>
        <w:ind w:firstLine="709"/>
        <w:jc w:val="both"/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</w:pPr>
      <w:r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 xml:space="preserve">identyfikatory obiektów przestrzennych tj. punkt adresowy, działka ewidencyjna, obręb </w:t>
      </w:r>
      <w:r w:rsidR="00874051"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ab/>
      </w:r>
      <w:r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>ewidencyjny</w:t>
      </w:r>
    </w:p>
    <w:p w14:paraId="12575F04" w14:textId="77777777" w:rsidR="00CC4B02" w:rsidRPr="00C77AC6" w:rsidRDefault="00CC4B02" w:rsidP="00C77AC6">
      <w:pPr>
        <w:spacing w:after="40" w:line="276" w:lineRule="auto"/>
        <w:ind w:firstLine="709"/>
        <w:jc w:val="both"/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</w:pPr>
      <w:r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>kwota podatku podlegająca wpłacie do urzędu skarbowego za 2014 r.</w:t>
      </w:r>
    </w:p>
    <w:p w14:paraId="3CE4DE51" w14:textId="77777777" w:rsidR="00CC4B02" w:rsidRPr="00C77AC6" w:rsidRDefault="00CC4B02" w:rsidP="00C77AC6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</w:pPr>
      <w:bookmarkStart w:id="2" w:name="form_danych"/>
      <w:r w:rsidRPr="00C77AC6">
        <w:rPr>
          <w:rFonts w:asciiTheme="minorHAnsi" w:eastAsiaTheme="minorHAnsi" w:hAnsiTheme="minorHAnsi" w:cstheme="minorHAnsi"/>
          <w:color w:val="auto"/>
          <w:highlight w:val="none"/>
          <w:lang w:eastAsia="en-US"/>
        </w:rPr>
        <w:t xml:space="preserve">format danych </w:t>
      </w:r>
      <w:bookmarkEnd w:id="2"/>
      <w:r w:rsidR="00F116F0"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>–</w:t>
      </w:r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 xml:space="preserve"> </w:t>
      </w:r>
      <w:hyperlink r:id="rId5" w:tooltip="Reguła" w:history="1">
        <w:r w:rsidRPr="00C77AC6">
          <w:rPr>
            <w:rFonts w:asciiTheme="minorHAnsi" w:eastAsiaTheme="minorHAnsi" w:hAnsiTheme="minorHAnsi" w:cstheme="minorHAnsi"/>
            <w:b w:val="0"/>
            <w:color w:val="auto"/>
            <w:highlight w:val="none"/>
            <w:lang w:eastAsia="en-US"/>
          </w:rPr>
          <w:t>reguły</w:t>
        </w:r>
      </w:hyperlink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 xml:space="preserve"> określające strukturę fizyczną, sposób rozmieszczenia, zapisu </w:t>
      </w:r>
      <w:hyperlink r:id="rId6" w:tooltip="Informacja" w:history="1">
        <w:r w:rsidRPr="00C77AC6">
          <w:rPr>
            <w:rFonts w:asciiTheme="minorHAnsi" w:eastAsiaTheme="minorHAnsi" w:hAnsiTheme="minorHAnsi" w:cstheme="minorHAnsi"/>
            <w:b w:val="0"/>
            <w:color w:val="auto"/>
            <w:highlight w:val="none"/>
            <w:lang w:eastAsia="en-US"/>
          </w:rPr>
          <w:t>informacji</w:t>
        </w:r>
      </w:hyperlink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 xml:space="preserve"> danego typu</w:t>
      </w:r>
    </w:p>
    <w:p w14:paraId="3331964E" w14:textId="77777777" w:rsidR="00CC4B02" w:rsidRPr="00C77AC6" w:rsidRDefault="00CC4B02" w:rsidP="00C77AC6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</w:pPr>
      <w:r w:rsidRPr="00C77AC6">
        <w:rPr>
          <w:rFonts w:asciiTheme="minorHAnsi" w:eastAsiaTheme="minorHAnsi" w:hAnsiTheme="minorHAnsi" w:cstheme="minorHAnsi"/>
          <w:color w:val="auto"/>
          <w:highlight w:val="none"/>
          <w:lang w:eastAsia="en-US"/>
        </w:rPr>
        <w:t xml:space="preserve">interoperacyjność </w:t>
      </w:r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>– zdolność różnych podmiotów oraz używanych przez nie systemów teleinformatycznych i rejestrów publicznych do współdziałania na rzecz osiągnięcia wzajemnie korzystnych i uzgodnionych celów, z uwzględnieniem współdzielenia informacji i wiedzy przez wspierane przez nie procesy biznesowe realizowane za pomocą wymiany danych za pośrednictwem wykorzystywanych przez te podmioty systemów teleinformatycznych</w:t>
      </w:r>
    </w:p>
    <w:p w14:paraId="105FEFC0" w14:textId="77777777" w:rsidR="00CC4B02" w:rsidRPr="00C77AC6" w:rsidRDefault="009C5D89" w:rsidP="00C77AC6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</w:pPr>
      <w:bookmarkStart w:id="3" w:name="prot_usl_siec"/>
      <w:r w:rsidRPr="00C77AC6">
        <w:rPr>
          <w:rFonts w:asciiTheme="minorHAnsi" w:eastAsiaTheme="minorHAnsi" w:hAnsiTheme="minorHAnsi" w:cstheme="minorHAnsi"/>
          <w:color w:val="auto"/>
          <w:highlight w:val="none"/>
          <w:lang w:eastAsia="en-US"/>
        </w:rPr>
        <w:t>protokoły</w:t>
      </w:r>
      <w:r w:rsidR="00CC4B02" w:rsidRPr="00C77AC6">
        <w:rPr>
          <w:rFonts w:asciiTheme="minorHAnsi" w:eastAsiaTheme="minorHAnsi" w:hAnsiTheme="minorHAnsi" w:cstheme="minorHAnsi"/>
          <w:color w:val="auto"/>
          <w:highlight w:val="none"/>
          <w:lang w:eastAsia="en-US"/>
        </w:rPr>
        <w:t xml:space="preserve"> sieciowe / komunikacyjne </w:t>
      </w:r>
      <w:bookmarkEnd w:id="3"/>
      <w:r w:rsidR="00F116F0"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>–</w:t>
      </w:r>
      <w:r w:rsidR="00A04F7A"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 xml:space="preserve"> </w:t>
      </w:r>
      <w:r w:rsidR="00CC4B02"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>zbiór reguł, zgodnie z którymi urządzenia tworzące sieć mogą łączyć się i wymieniać między sobą dane</w:t>
      </w:r>
    </w:p>
    <w:p w14:paraId="4B7D622E" w14:textId="77777777" w:rsidR="00CC4B02" w:rsidRPr="00C77AC6" w:rsidRDefault="00CC4B02" w:rsidP="00C77AC6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</w:pPr>
      <w:bookmarkStart w:id="4" w:name="repoz_inter"/>
      <w:r w:rsidRPr="00C77AC6">
        <w:rPr>
          <w:rFonts w:asciiTheme="minorHAnsi" w:eastAsiaTheme="minorHAnsi" w:hAnsiTheme="minorHAnsi" w:cstheme="minorHAnsi"/>
          <w:color w:val="auto"/>
          <w:highlight w:val="none"/>
          <w:lang w:eastAsia="en-US"/>
        </w:rPr>
        <w:lastRenderedPageBreak/>
        <w:t xml:space="preserve">repozytorium interoperacyjności </w:t>
      </w:r>
      <w:bookmarkEnd w:id="4"/>
      <w:r w:rsidR="00F116F0"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>–</w:t>
      </w:r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 xml:space="preserve"> część zasobów </w:t>
      </w:r>
      <w:proofErr w:type="spellStart"/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>ePUAP</w:t>
      </w:r>
      <w:proofErr w:type="spellEnd"/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 xml:space="preserve"> przeznaczona do udostępniania informacji służących osiąganiu interoperacyjności</w:t>
      </w:r>
    </w:p>
    <w:p w14:paraId="242C58DA" w14:textId="77777777" w:rsidR="00CC4B02" w:rsidRPr="00C77AC6" w:rsidRDefault="00CC4B02" w:rsidP="00C77AC6">
      <w:pPr>
        <w:numPr>
          <w:ilvl w:val="0"/>
          <w:numId w:val="2"/>
        </w:numPr>
        <w:spacing w:after="0" w:line="276" w:lineRule="auto"/>
        <w:jc w:val="both"/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</w:pPr>
      <w:bookmarkStart w:id="5" w:name="reje_publ"/>
      <w:r w:rsidRPr="00C77AC6">
        <w:rPr>
          <w:rFonts w:asciiTheme="minorHAnsi" w:eastAsiaTheme="minorHAnsi" w:hAnsiTheme="minorHAnsi" w:cstheme="minorHAnsi"/>
          <w:color w:val="auto"/>
          <w:highlight w:val="none"/>
          <w:lang w:eastAsia="en-US"/>
        </w:rPr>
        <w:t>rejestr publiczny</w:t>
      </w:r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 xml:space="preserve"> </w:t>
      </w:r>
      <w:bookmarkEnd w:id="5"/>
      <w:r w:rsidRPr="00C77AC6">
        <w:rPr>
          <w:rFonts w:asciiTheme="minorHAnsi" w:eastAsiaTheme="minorHAnsi" w:hAnsiTheme="minorHAnsi" w:cstheme="minorHAnsi"/>
          <w:b w:val="0"/>
          <w:color w:val="auto"/>
          <w:highlight w:val="none"/>
          <w:lang w:eastAsia="en-US"/>
        </w:rPr>
        <w:t>– ewidencja, wykaz, lista, spis albo inna forma ewidencji, służąca do realizacji zadań publicznych, prowadzona przez podmiot publiczny na podstawie odrębnych przepisów ustawowych, przykład:</w:t>
      </w:r>
    </w:p>
    <w:p w14:paraId="54596A60" w14:textId="77777777" w:rsidR="00CC4B02" w:rsidRPr="00C77AC6" w:rsidRDefault="00CC4B02" w:rsidP="00C77AC6">
      <w:pPr>
        <w:spacing w:after="0" w:line="276" w:lineRule="auto"/>
        <w:ind w:firstLine="709"/>
        <w:jc w:val="both"/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</w:pPr>
      <w:r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>Centralna Ewidencja Działalności Gospodarczej (</w:t>
      </w:r>
      <w:proofErr w:type="spellStart"/>
      <w:r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>CEiDG</w:t>
      </w:r>
      <w:proofErr w:type="spellEnd"/>
      <w:r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>)</w:t>
      </w:r>
    </w:p>
    <w:p w14:paraId="0552D426" w14:textId="77777777" w:rsidR="00D56C69" w:rsidRPr="00C77AC6" w:rsidRDefault="00CC4B02" w:rsidP="00C77AC6">
      <w:pPr>
        <w:spacing w:after="0" w:line="276" w:lineRule="auto"/>
        <w:ind w:firstLine="709"/>
        <w:jc w:val="both"/>
        <w:rPr>
          <w:rFonts w:asciiTheme="minorHAnsi" w:hAnsiTheme="minorHAnsi" w:cstheme="minorHAnsi"/>
          <w:highlight w:val="none"/>
        </w:rPr>
      </w:pPr>
      <w:r w:rsidRPr="00C77AC6">
        <w:rPr>
          <w:rFonts w:asciiTheme="minorHAnsi" w:eastAsiaTheme="minorHAnsi" w:hAnsiTheme="minorHAnsi" w:cstheme="minorHAnsi"/>
          <w:i/>
          <w:color w:val="auto"/>
          <w:highlight w:val="none"/>
          <w:lang w:eastAsia="en-US"/>
        </w:rPr>
        <w:t>Powszechny Elektroniczny System Ewidencji Ludności (PESEL)</w:t>
      </w:r>
    </w:p>
    <w:sectPr w:rsidR="00D56C69" w:rsidRPr="00C77AC6" w:rsidSect="00A5460A">
      <w:endnotePr>
        <w:numFmt w:val="decimal"/>
      </w:endnotePr>
      <w:pgSz w:w="11906" w:h="16838"/>
      <w:pgMar w:top="851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3E5"/>
    <w:multiLevelType w:val="hybridMultilevel"/>
    <w:tmpl w:val="6C14A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1234"/>
    <w:multiLevelType w:val="hybridMultilevel"/>
    <w:tmpl w:val="1194DC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314AE"/>
    <w:multiLevelType w:val="hybridMultilevel"/>
    <w:tmpl w:val="2C44B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44E3"/>
    <w:multiLevelType w:val="hybridMultilevel"/>
    <w:tmpl w:val="1744D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6F8"/>
    <w:multiLevelType w:val="hybridMultilevel"/>
    <w:tmpl w:val="C826D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BC2"/>
    <w:multiLevelType w:val="hybridMultilevel"/>
    <w:tmpl w:val="78DAB1BA"/>
    <w:lvl w:ilvl="0" w:tplc="B4BE4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83DDC"/>
    <w:multiLevelType w:val="hybridMultilevel"/>
    <w:tmpl w:val="16BE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0C82"/>
    <w:multiLevelType w:val="hybridMultilevel"/>
    <w:tmpl w:val="F8DA6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03B74"/>
    <w:multiLevelType w:val="hybridMultilevel"/>
    <w:tmpl w:val="162ABB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E751EC"/>
    <w:multiLevelType w:val="hybridMultilevel"/>
    <w:tmpl w:val="47EEE524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 w15:restartNumberingAfterBreak="0">
    <w:nsid w:val="402E6DB3"/>
    <w:multiLevelType w:val="hybridMultilevel"/>
    <w:tmpl w:val="80AE1F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0103BE"/>
    <w:multiLevelType w:val="hybridMultilevel"/>
    <w:tmpl w:val="8C04FCDE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550A18EE"/>
    <w:multiLevelType w:val="hybridMultilevel"/>
    <w:tmpl w:val="3FCC0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5480D"/>
    <w:multiLevelType w:val="hybridMultilevel"/>
    <w:tmpl w:val="DB96B0FE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64CA6CE4"/>
    <w:multiLevelType w:val="hybridMultilevel"/>
    <w:tmpl w:val="77F6A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9670A"/>
    <w:multiLevelType w:val="hybridMultilevel"/>
    <w:tmpl w:val="90C2E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EC0BD1"/>
    <w:multiLevelType w:val="hybridMultilevel"/>
    <w:tmpl w:val="FC4A344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6EBD245F"/>
    <w:multiLevelType w:val="hybridMultilevel"/>
    <w:tmpl w:val="100E2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5158D"/>
    <w:multiLevelType w:val="hybridMultilevel"/>
    <w:tmpl w:val="E60AD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B3EC4"/>
    <w:multiLevelType w:val="hybridMultilevel"/>
    <w:tmpl w:val="526A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7"/>
  </w:num>
  <w:num w:numId="5">
    <w:abstractNumId w:val="3"/>
  </w:num>
  <w:num w:numId="6">
    <w:abstractNumId w:val="0"/>
  </w:num>
  <w:num w:numId="7">
    <w:abstractNumId w:val="14"/>
  </w:num>
  <w:num w:numId="8">
    <w:abstractNumId w:val="18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10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9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6"/>
    <w:rsid w:val="00016224"/>
    <w:rsid w:val="00037F4E"/>
    <w:rsid w:val="000574B6"/>
    <w:rsid w:val="00062A7C"/>
    <w:rsid w:val="00090F63"/>
    <w:rsid w:val="000911AC"/>
    <w:rsid w:val="000A12EC"/>
    <w:rsid w:val="000F3771"/>
    <w:rsid w:val="001471D2"/>
    <w:rsid w:val="00152B93"/>
    <w:rsid w:val="0016624F"/>
    <w:rsid w:val="001B23E0"/>
    <w:rsid w:val="00230344"/>
    <w:rsid w:val="002347F4"/>
    <w:rsid w:val="00247169"/>
    <w:rsid w:val="002537C0"/>
    <w:rsid w:val="00270AC5"/>
    <w:rsid w:val="002715A6"/>
    <w:rsid w:val="00293EC7"/>
    <w:rsid w:val="00295DD3"/>
    <w:rsid w:val="002C0105"/>
    <w:rsid w:val="002F726A"/>
    <w:rsid w:val="00313E64"/>
    <w:rsid w:val="0031490B"/>
    <w:rsid w:val="0033243C"/>
    <w:rsid w:val="003766DB"/>
    <w:rsid w:val="003843D9"/>
    <w:rsid w:val="00386575"/>
    <w:rsid w:val="003B36B9"/>
    <w:rsid w:val="003F7E7F"/>
    <w:rsid w:val="00401BF3"/>
    <w:rsid w:val="00404CD6"/>
    <w:rsid w:val="00410C09"/>
    <w:rsid w:val="00412928"/>
    <w:rsid w:val="004167BB"/>
    <w:rsid w:val="00435E28"/>
    <w:rsid w:val="00467492"/>
    <w:rsid w:val="0048247D"/>
    <w:rsid w:val="004F1158"/>
    <w:rsid w:val="005039A4"/>
    <w:rsid w:val="005A54AE"/>
    <w:rsid w:val="005F2332"/>
    <w:rsid w:val="005F5573"/>
    <w:rsid w:val="006012F9"/>
    <w:rsid w:val="006013A0"/>
    <w:rsid w:val="00617A65"/>
    <w:rsid w:val="00617E8E"/>
    <w:rsid w:val="006212E1"/>
    <w:rsid w:val="0064225A"/>
    <w:rsid w:val="00655EB8"/>
    <w:rsid w:val="00661C06"/>
    <w:rsid w:val="00664C0B"/>
    <w:rsid w:val="006676AB"/>
    <w:rsid w:val="00691231"/>
    <w:rsid w:val="006A2A28"/>
    <w:rsid w:val="006C49E4"/>
    <w:rsid w:val="006E4945"/>
    <w:rsid w:val="007127D6"/>
    <w:rsid w:val="00752285"/>
    <w:rsid w:val="0075288E"/>
    <w:rsid w:val="007A39E7"/>
    <w:rsid w:val="007B251A"/>
    <w:rsid w:val="007B7063"/>
    <w:rsid w:val="007C24F8"/>
    <w:rsid w:val="007C71E1"/>
    <w:rsid w:val="007D6FC5"/>
    <w:rsid w:val="007D7B42"/>
    <w:rsid w:val="007F3FFB"/>
    <w:rsid w:val="00863200"/>
    <w:rsid w:val="00874051"/>
    <w:rsid w:val="00875631"/>
    <w:rsid w:val="00877190"/>
    <w:rsid w:val="008F5392"/>
    <w:rsid w:val="009053EE"/>
    <w:rsid w:val="00984EEC"/>
    <w:rsid w:val="009A6711"/>
    <w:rsid w:val="009B4561"/>
    <w:rsid w:val="009C5D89"/>
    <w:rsid w:val="00A04F7A"/>
    <w:rsid w:val="00A0608B"/>
    <w:rsid w:val="00A13B5E"/>
    <w:rsid w:val="00A44F7E"/>
    <w:rsid w:val="00A53597"/>
    <w:rsid w:val="00A569E2"/>
    <w:rsid w:val="00A64284"/>
    <w:rsid w:val="00A82E56"/>
    <w:rsid w:val="00AE1E87"/>
    <w:rsid w:val="00B30B0B"/>
    <w:rsid w:val="00B416C3"/>
    <w:rsid w:val="00BA189B"/>
    <w:rsid w:val="00BA37E4"/>
    <w:rsid w:val="00BB1486"/>
    <w:rsid w:val="00BE36D3"/>
    <w:rsid w:val="00BF5E5E"/>
    <w:rsid w:val="00C06375"/>
    <w:rsid w:val="00C77AC6"/>
    <w:rsid w:val="00C97A38"/>
    <w:rsid w:val="00CC4B02"/>
    <w:rsid w:val="00CC7716"/>
    <w:rsid w:val="00D316FB"/>
    <w:rsid w:val="00D32095"/>
    <w:rsid w:val="00D56C69"/>
    <w:rsid w:val="00D662F9"/>
    <w:rsid w:val="00D875FC"/>
    <w:rsid w:val="00DE544C"/>
    <w:rsid w:val="00E5231A"/>
    <w:rsid w:val="00E53E2F"/>
    <w:rsid w:val="00EA274F"/>
    <w:rsid w:val="00EB3DAC"/>
    <w:rsid w:val="00F116F0"/>
    <w:rsid w:val="00F13791"/>
    <w:rsid w:val="00F311AF"/>
    <w:rsid w:val="00F41103"/>
    <w:rsid w:val="00FD7AE4"/>
    <w:rsid w:val="00FF6EE8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73E8"/>
  <w15:chartTrackingRefBased/>
  <w15:docId w15:val="{F5693B2C-1370-4622-AF18-E017C590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b/>
      <w:color w:val="000000"/>
      <w:highlight w:val="yellow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95DD3"/>
    <w:pPr>
      <w:spacing w:before="100" w:beforeAutospacing="1" w:after="100" w:afterAutospacing="1" w:line="240" w:lineRule="auto"/>
      <w:outlineLvl w:val="0"/>
    </w:pPr>
    <w:rPr>
      <w:bCs/>
      <w:color w:val="auto"/>
      <w:kern w:val="36"/>
      <w:sz w:val="48"/>
      <w:szCs w:val="48"/>
      <w:highlight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715A6"/>
    <w:rPr>
      <w:color w:val="808080"/>
    </w:rPr>
  </w:style>
  <w:style w:type="character" w:customStyle="1" w:styleId="Styl6">
    <w:name w:val="Styl6"/>
    <w:basedOn w:val="Domylnaczcionkaakapitu"/>
    <w:uiPriority w:val="1"/>
    <w:rsid w:val="002715A6"/>
    <w:rPr>
      <w:i/>
    </w:rPr>
  </w:style>
  <w:style w:type="table" w:styleId="Tabela-Siatka">
    <w:name w:val="Table Grid"/>
    <w:basedOn w:val="Standardowy"/>
    <w:uiPriority w:val="39"/>
    <w:rsid w:val="002F726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7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726A"/>
    <w:pPr>
      <w:spacing w:line="240" w:lineRule="auto"/>
    </w:pPr>
    <w:rPr>
      <w:rFonts w:asciiTheme="minorHAnsi" w:eastAsiaTheme="minorHAnsi" w:hAnsiTheme="minorHAnsi" w:cstheme="minorBidi"/>
      <w:b w:val="0"/>
      <w:color w:val="auto"/>
      <w:sz w:val="20"/>
      <w:szCs w:val="20"/>
      <w:highlight w:val="none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726A"/>
    <w:rPr>
      <w:rFonts w:eastAsia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F4"/>
    <w:rPr>
      <w:rFonts w:ascii="Segoe UI" w:hAnsi="Segoe UI" w:cs="Segoe UI"/>
      <w:b/>
      <w:color w:val="000000"/>
      <w:sz w:val="18"/>
      <w:szCs w:val="18"/>
      <w:highlight w:val="yellow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5DD3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95DD3"/>
  </w:style>
  <w:style w:type="paragraph" w:styleId="Akapitzlist">
    <w:name w:val="List Paragraph"/>
    <w:basedOn w:val="Normalny"/>
    <w:uiPriority w:val="34"/>
    <w:qFormat/>
    <w:rsid w:val="00FF77D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25A"/>
    <w:rPr>
      <w:rFonts w:ascii="Times New Roman" w:eastAsia="Times New Roman" w:hAnsi="Times New Roman" w:cs="Times New Roman"/>
      <w:b/>
      <w:bCs/>
      <w:color w:val="000000"/>
      <w:highlight w:val="yellow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25A"/>
    <w:rPr>
      <w:rFonts w:ascii="Times New Roman" w:eastAsiaTheme="minorHAnsi" w:hAnsi="Times New Roman" w:cs="Times New Roman"/>
      <w:b/>
      <w:bCs/>
      <w:color w:val="000000"/>
      <w:sz w:val="20"/>
      <w:szCs w:val="20"/>
      <w:highlight w:val="yellow"/>
      <w:lang w:eastAsia="pl-PL"/>
    </w:rPr>
  </w:style>
  <w:style w:type="paragraph" w:styleId="Poprawka">
    <w:name w:val="Revision"/>
    <w:hidden/>
    <w:uiPriority w:val="99"/>
    <w:semiHidden/>
    <w:rsid w:val="004167BB"/>
    <w:pPr>
      <w:spacing w:after="0" w:line="240" w:lineRule="auto"/>
    </w:pPr>
    <w:rPr>
      <w:rFonts w:ascii="Times New Roman" w:hAnsi="Times New Roman" w:cs="Times New Roman"/>
      <w:b/>
      <w:color w:val="000000"/>
      <w:highlight w:val="yellow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3771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 w:val="0"/>
      <w:bCs/>
      <w:color w:val="auto"/>
      <w:sz w:val="24"/>
      <w:szCs w:val="20"/>
      <w:highligh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Informacja" TargetMode="External"/><Relationship Id="rId5" Type="http://schemas.openxmlformats.org/officeDocument/2006/relationships/hyperlink" Target="http://pl.wikipedia.org/wiki/Regu%C5%8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1863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Pichlak-Pawlak Sylwia</dc:creator>
  <cp:keywords/>
  <dc:description/>
  <cp:lastModifiedBy>Witkowska-Krzymowska Magdalena</cp:lastModifiedBy>
  <cp:revision>4</cp:revision>
  <dcterms:created xsi:type="dcterms:W3CDTF">2023-04-03T10:44:00Z</dcterms:created>
  <dcterms:modified xsi:type="dcterms:W3CDTF">2023-04-03T15:18:00Z</dcterms:modified>
</cp:coreProperties>
</file>