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5F267A" w:rsidRDefault="00E639D1" w:rsidP="005F267A">
      <w:pPr>
        <w:spacing w:before="120" w:after="120"/>
        <w:rPr>
          <w:rFonts w:asciiTheme="minorHAnsi" w:hAnsiTheme="minorHAnsi"/>
          <w:sz w:val="22"/>
          <w:szCs w:val="22"/>
        </w:rPr>
      </w:pPr>
      <w:r w:rsidRPr="005F267A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11EEB356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823CE" w14:textId="77777777" w:rsidR="003E072F" w:rsidRPr="005F267A" w:rsidRDefault="003E072F" w:rsidP="005F267A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5F267A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7777777" w:rsidR="003E072F" w:rsidRPr="005F267A" w:rsidRDefault="003E072F" w:rsidP="005F267A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5F267A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7DC3EB11" w14:textId="77777777" w:rsidR="003E072F" w:rsidRPr="005F267A" w:rsidRDefault="003E072F" w:rsidP="005F267A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9E6329" w:rsidRPr="0024181E" w14:paraId="4F09B6BC" w14:textId="77777777" w:rsidTr="001707E6">
        <w:trPr>
          <w:trHeight w:val="419"/>
        </w:trPr>
        <w:tc>
          <w:tcPr>
            <w:tcW w:w="2082" w:type="dxa"/>
            <w:shd w:val="clear" w:color="auto" w:fill="D9D9D9"/>
            <w:vAlign w:val="center"/>
          </w:tcPr>
          <w:p w14:paraId="601DE35C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F267A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16" w:type="dxa"/>
            <w:shd w:val="clear" w:color="auto" w:fill="FFFFFF"/>
          </w:tcPr>
          <w:p w14:paraId="75A827BF" w14:textId="43639EA6" w:rsidR="003E072F" w:rsidRPr="005F267A" w:rsidRDefault="00F27F17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9E6329" w:rsidRPr="0024181E" w14:paraId="08A6F69A" w14:textId="77777777" w:rsidTr="001707E6">
        <w:trPr>
          <w:trHeight w:val="306"/>
        </w:trPr>
        <w:tc>
          <w:tcPr>
            <w:tcW w:w="208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E6329" w:rsidRPr="0024181E" w14:paraId="15271DE0" w14:textId="77777777" w:rsidTr="001707E6">
        <w:trPr>
          <w:trHeight w:val="404"/>
        </w:trPr>
        <w:tc>
          <w:tcPr>
            <w:tcW w:w="2082" w:type="dxa"/>
            <w:shd w:val="clear" w:color="auto" w:fill="D9D9D9"/>
            <w:vAlign w:val="center"/>
          </w:tcPr>
          <w:p w14:paraId="084F249A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F267A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F3BD354" w14:textId="3DEE9E55" w:rsidR="003E072F" w:rsidRPr="005F267A" w:rsidRDefault="008F2671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Konflikt interesów w zamówieniach publicznych</w:t>
            </w:r>
            <w:r w:rsidR="00F27F17" w:rsidRPr="005F267A">
              <w:rPr>
                <w:rFonts w:asciiTheme="minorHAnsi" w:hAnsiTheme="minorHAnsi"/>
                <w:sz w:val="22"/>
                <w:szCs w:val="22"/>
              </w:rPr>
              <w:t xml:space="preserve"> i wydawaniu decyzji w sprawach indywidualnych</w:t>
            </w:r>
          </w:p>
        </w:tc>
      </w:tr>
      <w:tr w:rsidR="009E6329" w:rsidRPr="0024181E" w14:paraId="3D51050F" w14:textId="77777777" w:rsidTr="001707E6">
        <w:trPr>
          <w:trHeight w:val="432"/>
        </w:trPr>
        <w:tc>
          <w:tcPr>
            <w:tcW w:w="2082" w:type="dxa"/>
            <w:shd w:val="clear" w:color="auto" w:fill="D9D9D9"/>
            <w:vAlign w:val="center"/>
          </w:tcPr>
          <w:p w14:paraId="18B1E47B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F267A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7B970ECF" w14:textId="00DA3039" w:rsidR="003E072F" w:rsidRPr="005F267A" w:rsidRDefault="009707CE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3E072F" w:rsidRPr="005F267A">
              <w:rPr>
                <w:rFonts w:asciiTheme="minorHAnsi" w:hAnsiTheme="minorHAnsi"/>
                <w:b/>
                <w:sz w:val="22"/>
                <w:szCs w:val="22"/>
              </w:rPr>
              <w:t xml:space="preserve"> min</w:t>
            </w:r>
            <w:r w:rsidR="007957F1" w:rsidRPr="005F267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3E072F" w:rsidRPr="005F267A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9E22DF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ED750C" w:rsidRPr="005F267A">
              <w:rPr>
                <w:rFonts w:asciiTheme="minorHAnsi" w:hAnsiTheme="minorHAnsi"/>
                <w:sz w:val="22"/>
                <w:szCs w:val="22"/>
              </w:rPr>
              <w:t>10</w:t>
            </w:r>
            <w:r w:rsidR="003E072F" w:rsidRPr="005F267A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5F267A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="00B51C40" w:rsidRPr="005F267A">
              <w:rPr>
                <w:rFonts w:asciiTheme="minorHAnsi" w:hAnsiTheme="minorHAnsi"/>
                <w:sz w:val="22"/>
                <w:szCs w:val="22"/>
              </w:rPr>
              <w:t>wykład</w:t>
            </w:r>
            <w:r w:rsidR="003E072F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6703E" w:rsidRPr="005F267A">
              <w:rPr>
                <w:rFonts w:asciiTheme="minorHAnsi" w:hAnsiTheme="minorHAnsi"/>
                <w:sz w:val="22"/>
                <w:szCs w:val="22"/>
              </w:rPr>
              <w:t>z dyskusją</w:t>
            </w:r>
          </w:p>
          <w:p w14:paraId="012D2E2C" w14:textId="4676B111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ab/>
            </w:r>
            <w:r w:rsidRPr="005F267A">
              <w:rPr>
                <w:rFonts w:asciiTheme="minorHAnsi" w:hAnsiTheme="minorHAnsi"/>
                <w:sz w:val="22"/>
                <w:szCs w:val="22"/>
              </w:rPr>
              <w:tab/>
            </w:r>
            <w:r w:rsidR="00E66AB6" w:rsidRPr="005F267A">
              <w:rPr>
                <w:rFonts w:asciiTheme="minorHAnsi" w:hAnsiTheme="minorHAnsi"/>
                <w:sz w:val="22"/>
                <w:szCs w:val="22"/>
              </w:rPr>
              <w:t>20</w:t>
            </w:r>
            <w:r w:rsidR="00B93B89" w:rsidRPr="005F267A">
              <w:rPr>
                <w:rFonts w:asciiTheme="minorHAnsi" w:hAnsiTheme="minorHAnsi"/>
                <w:sz w:val="22"/>
                <w:szCs w:val="22"/>
              </w:rPr>
              <w:t xml:space="preserve"> min. – ćwiczenie w podgrupach</w:t>
            </w:r>
          </w:p>
        </w:tc>
      </w:tr>
      <w:tr w:rsidR="009E6329" w:rsidRPr="0024181E" w14:paraId="670AA504" w14:textId="77777777" w:rsidTr="001707E6">
        <w:tc>
          <w:tcPr>
            <w:tcW w:w="2082" w:type="dxa"/>
            <w:shd w:val="clear" w:color="auto" w:fill="D9D9D9"/>
            <w:vAlign w:val="center"/>
          </w:tcPr>
          <w:p w14:paraId="683BD755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F267A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5F267A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AC0B6BD" w14:textId="4219A3F4" w:rsidR="003E072F" w:rsidRPr="005F267A" w:rsidRDefault="0026703E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="003E072F" w:rsidRPr="005F267A">
              <w:rPr>
                <w:rFonts w:asciiTheme="minorHAnsi" w:hAnsiTheme="minorHAnsi"/>
                <w:sz w:val="22"/>
                <w:szCs w:val="22"/>
              </w:rPr>
              <w:t>ykład z dyskusją</w:t>
            </w:r>
          </w:p>
          <w:p w14:paraId="2E2F48DA" w14:textId="4246BD5B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Ćwiczeni</w:t>
            </w:r>
            <w:r w:rsidR="0026703E">
              <w:rPr>
                <w:rFonts w:asciiTheme="minorHAnsi" w:hAnsiTheme="minorHAnsi"/>
                <w:sz w:val="22"/>
                <w:szCs w:val="22"/>
              </w:rPr>
              <w:t>a</w:t>
            </w:r>
          </w:p>
        </w:tc>
      </w:tr>
      <w:tr w:rsidR="003E072F" w:rsidRPr="0024181E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E4FCF" w:rsidRPr="0024181E" w14:paraId="05A69D57" w14:textId="77777777" w:rsidTr="001707E6">
        <w:trPr>
          <w:trHeight w:val="1550"/>
        </w:trPr>
        <w:tc>
          <w:tcPr>
            <w:tcW w:w="2082" w:type="dxa"/>
            <w:shd w:val="clear" w:color="auto" w:fill="D9D9D9"/>
          </w:tcPr>
          <w:p w14:paraId="5A171F14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F267A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502B0868" w14:textId="77777777" w:rsidR="00203C3E" w:rsidRPr="00E215D3" w:rsidRDefault="00203C3E" w:rsidP="00203C3E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5035ED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2FC1887B" w14:textId="283E3ABF" w:rsidR="005737DC" w:rsidRPr="005F267A" w:rsidRDefault="00203C3E" w:rsidP="005F267A">
            <w:pPr>
              <w:pStyle w:val="Akapitzlist"/>
              <w:numPr>
                <w:ilvl w:val="0"/>
                <w:numId w:val="11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Zapewnij z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rozumienie </w:t>
            </w:r>
            <w:r w:rsidR="005737DC" w:rsidRPr="005F267A">
              <w:rPr>
                <w:rFonts w:asciiTheme="minorHAnsi" w:hAnsiTheme="minorHAnsi"/>
                <w:sz w:val="22"/>
                <w:szCs w:val="22"/>
              </w:rPr>
              <w:t xml:space="preserve">przez słuchaczy </w:t>
            </w:r>
            <w:r w:rsidR="00920909" w:rsidRPr="005F267A">
              <w:rPr>
                <w:rFonts w:asciiTheme="minorHAnsi" w:hAnsiTheme="minorHAnsi"/>
                <w:sz w:val="22"/>
                <w:szCs w:val="22"/>
              </w:rPr>
              <w:t>p</w:t>
            </w:r>
            <w:r w:rsidR="00A54B04" w:rsidRPr="005F267A">
              <w:rPr>
                <w:rFonts w:asciiTheme="minorHAnsi" w:hAnsiTheme="minorHAnsi"/>
                <w:sz w:val="22"/>
                <w:szCs w:val="22"/>
              </w:rPr>
              <w:t>rocedur prawnych</w:t>
            </w:r>
            <w:r w:rsidR="003436D9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20909" w:rsidRPr="005F267A">
              <w:rPr>
                <w:rFonts w:asciiTheme="minorHAnsi" w:hAnsiTheme="minorHAnsi"/>
                <w:sz w:val="22"/>
                <w:szCs w:val="22"/>
              </w:rPr>
              <w:t>zapobiegania konfliktowi</w:t>
            </w:r>
            <w:r w:rsidR="003436D9" w:rsidRPr="005F267A">
              <w:rPr>
                <w:rFonts w:asciiTheme="minorHAnsi" w:hAnsiTheme="minorHAnsi"/>
                <w:sz w:val="22"/>
                <w:szCs w:val="22"/>
              </w:rPr>
              <w:t xml:space="preserve"> interesów </w:t>
            </w:r>
            <w:r w:rsidR="00920909" w:rsidRPr="005F267A">
              <w:rPr>
                <w:rFonts w:asciiTheme="minorHAnsi" w:hAnsiTheme="minorHAnsi"/>
                <w:sz w:val="22"/>
                <w:szCs w:val="22"/>
              </w:rPr>
              <w:t>w zamówieniach publicznych</w:t>
            </w:r>
            <w:r w:rsidR="00A54B04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>oraz przy wydawaniu decyzji administracyjnych</w:t>
            </w:r>
            <w:r w:rsidR="005737DC" w:rsidRPr="005F267A">
              <w:rPr>
                <w:rFonts w:asciiTheme="minorHAnsi" w:hAnsiTheme="minorHAnsi"/>
                <w:sz w:val="22"/>
                <w:szCs w:val="22"/>
              </w:rPr>
              <w:t>.</w:t>
            </w:r>
            <w:r w:rsidR="00FB468C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962F81E" w14:textId="5FCB6AC1" w:rsidR="004C08E6" w:rsidRPr="005F267A" w:rsidRDefault="00FB468C" w:rsidP="005F267A">
            <w:pPr>
              <w:pStyle w:val="Akapitzlist"/>
              <w:numPr>
                <w:ilvl w:val="0"/>
                <w:numId w:val="11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Wska</w:t>
            </w:r>
            <w:r w:rsidR="00203C3E">
              <w:rPr>
                <w:rFonts w:asciiTheme="minorHAnsi" w:hAnsiTheme="minorHAnsi"/>
                <w:sz w:val="22"/>
                <w:szCs w:val="22"/>
              </w:rPr>
              <w:t>ż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element</w:t>
            </w:r>
            <w:r w:rsidR="00203C3E">
              <w:rPr>
                <w:rFonts w:asciiTheme="minorHAnsi" w:hAnsiTheme="minorHAnsi"/>
                <w:sz w:val="22"/>
                <w:szCs w:val="22"/>
              </w:rPr>
              <w:t>y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F267A">
              <w:rPr>
                <w:rFonts w:asciiTheme="minorHAnsi" w:hAnsiTheme="minorHAnsi"/>
                <w:sz w:val="22"/>
                <w:szCs w:val="22"/>
              </w:rPr>
              <w:t>ocenn</w:t>
            </w:r>
            <w:r w:rsidR="00203C3E">
              <w:rPr>
                <w:rFonts w:asciiTheme="minorHAnsi" w:hAnsiTheme="minorHAnsi"/>
                <w:sz w:val="22"/>
                <w:szCs w:val="22"/>
              </w:rPr>
              <w:t>e</w:t>
            </w:r>
            <w:proofErr w:type="spellEnd"/>
            <w:r w:rsidRPr="005F267A">
              <w:rPr>
                <w:rFonts w:asciiTheme="minorHAnsi" w:hAnsiTheme="minorHAnsi"/>
                <w:sz w:val="22"/>
                <w:szCs w:val="22"/>
              </w:rPr>
              <w:t xml:space="preserve"> w procedurach, które wymagają świadomego podejścia</w:t>
            </w:r>
            <w:r w:rsidR="00A54B04" w:rsidRPr="005F267A">
              <w:rPr>
                <w:rFonts w:asciiTheme="minorHAnsi" w:hAnsiTheme="minorHAnsi"/>
                <w:sz w:val="22"/>
                <w:szCs w:val="22"/>
              </w:rPr>
              <w:t>. Uświadom koniecznoś</w:t>
            </w:r>
            <w:r w:rsidR="00C44D83">
              <w:rPr>
                <w:rFonts w:asciiTheme="minorHAnsi" w:hAnsiTheme="minorHAnsi"/>
                <w:sz w:val="22"/>
                <w:szCs w:val="22"/>
              </w:rPr>
              <w:t>ć</w:t>
            </w:r>
            <w:r w:rsidR="00A54B04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C08E6" w:rsidRPr="005F267A">
              <w:rPr>
                <w:rFonts w:asciiTheme="minorHAnsi" w:hAnsiTheme="minorHAnsi"/>
                <w:sz w:val="22"/>
                <w:szCs w:val="22"/>
              </w:rPr>
              <w:t xml:space="preserve">ujawnienia i konsultacji czynników mogących wywołać </w:t>
            </w:r>
            <w:r w:rsidR="00054C56" w:rsidRPr="005F267A">
              <w:rPr>
                <w:rFonts w:asciiTheme="minorHAnsi" w:hAnsiTheme="minorHAnsi"/>
                <w:sz w:val="22"/>
                <w:szCs w:val="22"/>
              </w:rPr>
              <w:t>konflikt interesu (KI)</w:t>
            </w:r>
            <w:r w:rsidR="00A54B04" w:rsidRPr="005F267A">
              <w:rPr>
                <w:rFonts w:asciiTheme="minorHAnsi" w:hAnsiTheme="minorHAnsi"/>
                <w:sz w:val="22"/>
                <w:szCs w:val="22"/>
              </w:rPr>
              <w:t xml:space="preserve"> w takich przypadkach</w:t>
            </w:r>
            <w:r w:rsidR="004C08E6" w:rsidRPr="005F267A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AD3604D" w14:textId="68340B72" w:rsidR="003E072F" w:rsidRPr="005F267A" w:rsidRDefault="00A54B04" w:rsidP="005F267A">
            <w:pPr>
              <w:pStyle w:val="Akapitzlist"/>
              <w:numPr>
                <w:ilvl w:val="0"/>
                <w:numId w:val="11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P</w:t>
            </w:r>
            <w:r w:rsidR="004C08E6" w:rsidRPr="005F267A">
              <w:rPr>
                <w:rFonts w:asciiTheme="minorHAnsi" w:hAnsiTheme="minorHAnsi"/>
                <w:sz w:val="22"/>
                <w:szCs w:val="22"/>
              </w:rPr>
              <w:t>raktyczne przećwicz przekazan</w:t>
            </w:r>
            <w:r w:rsidR="00203C3E">
              <w:rPr>
                <w:rFonts w:asciiTheme="minorHAnsi" w:hAnsiTheme="minorHAnsi"/>
                <w:sz w:val="22"/>
                <w:szCs w:val="22"/>
              </w:rPr>
              <w:t>ą</w:t>
            </w:r>
            <w:r w:rsidR="004C08E6" w:rsidRPr="005F267A">
              <w:rPr>
                <w:rFonts w:asciiTheme="minorHAnsi" w:hAnsiTheme="minorHAnsi"/>
                <w:sz w:val="22"/>
                <w:szCs w:val="22"/>
              </w:rPr>
              <w:t xml:space="preserve"> wiedz</w:t>
            </w:r>
            <w:r w:rsidR="00203C3E">
              <w:rPr>
                <w:rFonts w:asciiTheme="minorHAnsi" w:hAnsiTheme="minorHAnsi"/>
                <w:sz w:val="22"/>
                <w:szCs w:val="22"/>
              </w:rPr>
              <w:t>ę</w:t>
            </w:r>
            <w:r w:rsidR="004C08E6" w:rsidRPr="005F267A">
              <w:rPr>
                <w:rFonts w:asciiTheme="minorHAnsi" w:hAnsiTheme="minorHAnsi"/>
                <w:sz w:val="22"/>
                <w:szCs w:val="22"/>
              </w:rPr>
              <w:t xml:space="preserve"> na przykładach.</w:t>
            </w:r>
            <w:r w:rsidR="003E072F" w:rsidRPr="005F26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6D1D91FC" w14:textId="45E6697F" w:rsidR="00FF3F3E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336A0A93" wp14:editId="064082EC">
                  <wp:extent cx="4572638" cy="3429479"/>
                  <wp:effectExtent l="114300" t="114300" r="113665" b="152400"/>
                  <wp:docPr id="11" name="Obraz 11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CC556F5" w14:textId="5C21E9C3" w:rsidR="00AC7333" w:rsidRPr="005F267A" w:rsidRDefault="00BA0617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Poinformuj, że r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>ozpocz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niesz 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od przedstawienia przepisów dotyczących udzielania zamówień publicznych,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>następnie omówi</w:t>
            </w:r>
            <w:r>
              <w:rPr>
                <w:rFonts w:asciiTheme="minorHAnsi" w:hAnsiTheme="minorHAnsi"/>
                <w:sz w:val="22"/>
                <w:szCs w:val="22"/>
              </w:rPr>
              <w:t>sz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 przepisy w Kpa.</w:t>
            </w:r>
          </w:p>
          <w:p w14:paraId="3AC214C2" w14:textId="316DB42B" w:rsidR="008438CC" w:rsidRPr="005F267A" w:rsidRDefault="00DE4F7D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758BEAA" w14:textId="17BED806" w:rsidR="00DE4F7D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F720AC4" wp14:editId="0D04328B">
                  <wp:extent cx="4572638" cy="3429479"/>
                  <wp:effectExtent l="114300" t="114300" r="113665" b="152400"/>
                  <wp:docPr id="12" name="Obraz 12" descr="Tytuł slajdu: Dyrektywy unijne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54EFD7D" w14:textId="1C11C46B" w:rsidR="00DE4F7D" w:rsidRPr="005F267A" w:rsidRDefault="00E463E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Podkreśl, że uni</w:t>
            </w:r>
            <w:r w:rsidR="00F81AB6" w:rsidRPr="005F267A">
              <w:rPr>
                <w:rFonts w:asciiTheme="minorHAnsi" w:hAnsiTheme="minorHAnsi"/>
                <w:sz w:val="22"/>
                <w:szCs w:val="22"/>
              </w:rPr>
              <w:t>jna definicja K</w:t>
            </w:r>
            <w:r w:rsidR="00583322" w:rsidRPr="005F267A">
              <w:rPr>
                <w:rFonts w:asciiTheme="minorHAnsi" w:hAnsiTheme="minorHAnsi"/>
                <w:sz w:val="22"/>
                <w:szCs w:val="22"/>
              </w:rPr>
              <w:t>I</w:t>
            </w:r>
            <w:r w:rsidR="00F81AB6" w:rsidRPr="005F267A">
              <w:rPr>
                <w:rFonts w:asciiTheme="minorHAnsi" w:hAnsiTheme="minorHAnsi"/>
                <w:sz w:val="22"/>
                <w:szCs w:val="22"/>
              </w:rPr>
              <w:t xml:space="preserve"> w zamówieniach publicznych dotyczy zarówno rzeczywistego („mają interes”), jak i postrzeganego („który postrzegać można”) konfliktu interesów.</w:t>
            </w:r>
          </w:p>
          <w:p w14:paraId="5AB3A759" w14:textId="7C7C93E9" w:rsidR="00DE4F7D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52435478" wp14:editId="4C9B68BD">
                  <wp:extent cx="4572638" cy="3429479"/>
                  <wp:effectExtent l="114300" t="114300" r="113665" b="152400"/>
                  <wp:docPr id="13" name="Obraz 13" descr="Tytuł slajdu: Rodzaje konfliktu interesów w zamówieniach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219DB0B" w14:textId="6227E94E" w:rsidR="00660F61" w:rsidRPr="005F267A" w:rsidRDefault="00FC79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Slajd z poprzedniej lekcji</w:t>
            </w:r>
            <w:r w:rsidR="009E22D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44BD5">
              <w:rPr>
                <w:rFonts w:asciiTheme="minorHAnsi" w:hAnsiTheme="minorHAnsi"/>
                <w:sz w:val="22"/>
                <w:szCs w:val="22"/>
              </w:rPr>
              <w:t>(C03) dotyczący rodzajów KI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został dostosowany do specyfiki zamówień publicznych</w:t>
            </w:r>
            <w:r w:rsidR="00660F61" w:rsidRPr="005F267A">
              <w:rPr>
                <w:rFonts w:asciiTheme="minorHAnsi" w:hAnsiTheme="minorHAnsi"/>
                <w:sz w:val="22"/>
                <w:szCs w:val="22"/>
              </w:rPr>
              <w:t xml:space="preserve">, tj. relacji pracownik – wykonawca czy potencjalny wykonawca. </w:t>
            </w:r>
          </w:p>
          <w:p w14:paraId="52B3B397" w14:textId="7BDF832A" w:rsidR="00F81AB6" w:rsidRPr="005F267A" w:rsidRDefault="00BD41C5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rozumieniu Prawa zamówień publicznych przez wykonawcę </w:t>
            </w:r>
            <w:r w:rsidRPr="00A72C79">
              <w:rPr>
                <w:rFonts w:eastAsia="Times New Roman"/>
                <w:sz w:val="22"/>
                <w:szCs w:val="22"/>
                <w:lang w:eastAsia="pl-PL"/>
              </w:rPr>
              <w:t>należy rozumieć osobę fizyczną, osobę prawną albo jednostkę organizacyjną nieposiadającą osobowości prawnej, która ubiega się o udzielenie zamówienia publicznego, złożyła ofertę lub zawarła umowę w sprawie zamówienia publicznego</w:t>
            </w:r>
            <w:r w:rsidR="009054B0">
              <w:rPr>
                <w:rFonts w:eastAsia="Times New Roman"/>
                <w:sz w:val="22"/>
                <w:szCs w:val="22"/>
                <w:lang w:eastAsia="pl-PL"/>
              </w:rPr>
              <w:t>.</w:t>
            </w:r>
          </w:p>
          <w:p w14:paraId="055EA9D6" w14:textId="671CCB3C" w:rsidR="00660F61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6ADA09A" wp14:editId="528E8AEF">
                  <wp:extent cx="4572638" cy="3429479"/>
                  <wp:effectExtent l="114300" t="114300" r="113665" b="152400"/>
                  <wp:docPr id="14" name="Obraz 14" descr="Konflikty interesów w zamówieniach - skutki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56FDFF5" w14:textId="529226B4" w:rsidR="00660F61" w:rsidRPr="005F267A" w:rsidRDefault="00660F61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Podobnie dostosowano do specy</w:t>
            </w:r>
            <w:r w:rsidR="007543D4" w:rsidRPr="005F267A">
              <w:rPr>
                <w:rFonts w:asciiTheme="minorHAnsi" w:hAnsiTheme="minorHAnsi"/>
                <w:sz w:val="22"/>
                <w:szCs w:val="22"/>
              </w:rPr>
              <w:t xml:space="preserve">fiki tematu slajd o skutkach. W specyfice zamówień jest szczególnie widoczne, że negatywne skutki </w:t>
            </w:r>
            <w:r w:rsidR="00DF5C67" w:rsidRPr="005F267A">
              <w:rPr>
                <w:rFonts w:asciiTheme="minorHAnsi" w:hAnsiTheme="minorHAnsi"/>
                <w:sz w:val="22"/>
                <w:szCs w:val="22"/>
              </w:rPr>
              <w:t xml:space="preserve">rzeczywistego i postrzeganego </w:t>
            </w:r>
            <w:r w:rsidR="007543D4" w:rsidRPr="005F267A">
              <w:rPr>
                <w:rFonts w:asciiTheme="minorHAnsi" w:hAnsiTheme="minorHAnsi"/>
                <w:sz w:val="22"/>
                <w:szCs w:val="22"/>
              </w:rPr>
              <w:t>konfliktu interesów są wielokrotnie większe niż ew</w:t>
            </w:r>
            <w:r w:rsidR="005065C8" w:rsidRPr="005F267A">
              <w:rPr>
                <w:rFonts w:asciiTheme="minorHAnsi" w:hAnsiTheme="minorHAnsi"/>
                <w:sz w:val="22"/>
                <w:szCs w:val="22"/>
              </w:rPr>
              <w:t>entualne</w:t>
            </w:r>
            <w:r w:rsidR="007543D4" w:rsidRPr="005F267A">
              <w:rPr>
                <w:rFonts w:asciiTheme="minorHAnsi" w:hAnsiTheme="minorHAnsi"/>
                <w:sz w:val="22"/>
                <w:szCs w:val="22"/>
              </w:rPr>
              <w:t xml:space="preserve"> korzyści dla </w:t>
            </w:r>
            <w:r w:rsidR="006C56A4">
              <w:rPr>
                <w:rFonts w:asciiTheme="minorHAnsi" w:hAnsiTheme="minorHAnsi"/>
                <w:sz w:val="22"/>
                <w:szCs w:val="22"/>
              </w:rPr>
              <w:t>członka korpusu służby cywilnej</w:t>
            </w:r>
            <w:r w:rsidR="00DF5C67" w:rsidRPr="005F267A">
              <w:rPr>
                <w:rFonts w:asciiTheme="minorHAnsi" w:hAnsiTheme="minorHAnsi"/>
                <w:sz w:val="22"/>
                <w:szCs w:val="22"/>
              </w:rPr>
              <w:t xml:space="preserve"> czy nawet dla wykonawcy.</w:t>
            </w:r>
          </w:p>
          <w:p w14:paraId="79B4B204" w14:textId="77777777" w:rsidR="0069296C" w:rsidRPr="005F267A" w:rsidRDefault="000E74F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Urząd kupuje towary i usługi o gorszym stosunku jakości do ceny, bywa że w ogóle nieodpowiadające jego potrzebom, </w:t>
            </w:r>
            <w:r w:rsidR="006A09B3" w:rsidRPr="005F267A">
              <w:rPr>
                <w:rFonts w:asciiTheme="minorHAnsi" w:hAnsiTheme="minorHAnsi"/>
                <w:sz w:val="22"/>
                <w:szCs w:val="22"/>
              </w:rPr>
              <w:t xml:space="preserve">w konsekwencji gorzej realizuje zadania publiczne. </w:t>
            </w:r>
          </w:p>
          <w:p w14:paraId="24A976D1" w14:textId="241E392B" w:rsidR="00DF5C67" w:rsidRPr="005F267A" w:rsidRDefault="006A09B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Postrzeganie zamawiającego jako urzędu, gdzie wygrywa się dzięki układom</w:t>
            </w:r>
            <w:r w:rsidR="005065C8" w:rsidRPr="005F267A">
              <w:rPr>
                <w:rFonts w:asciiTheme="minorHAnsi" w:hAnsiTheme="minorHAnsi"/>
                <w:sz w:val="22"/>
                <w:szCs w:val="22"/>
              </w:rPr>
              <w:t>,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zniechęca do składania ofert, w konsekwencji maleje konkurencja, a w skrajnych przypadkach nie ma ofert spełniających wymagania. </w:t>
            </w:r>
            <w:r w:rsidR="00B90382" w:rsidRPr="005F267A">
              <w:rPr>
                <w:rFonts w:asciiTheme="minorHAnsi" w:hAnsiTheme="minorHAnsi"/>
                <w:sz w:val="22"/>
                <w:szCs w:val="22"/>
              </w:rPr>
              <w:t>Brak konkurencji oznacza brak wyboru i znowu gorszą realizację zadań publicznych</w:t>
            </w:r>
            <w:r w:rsidR="00054C56" w:rsidRPr="005F267A">
              <w:rPr>
                <w:rFonts w:asciiTheme="minorHAnsi" w:hAnsiTheme="minorHAnsi"/>
                <w:sz w:val="22"/>
                <w:szCs w:val="22"/>
              </w:rPr>
              <w:t>, pogorszenie efektywności.</w:t>
            </w:r>
          </w:p>
          <w:p w14:paraId="74E61BDE" w14:textId="1B33C14D" w:rsidR="00B90382" w:rsidRPr="005F267A" w:rsidRDefault="00B90382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Ponadto prowadzi to do deformacji rynku. </w:t>
            </w:r>
            <w:r w:rsidR="004A6F75" w:rsidRPr="005F267A">
              <w:rPr>
                <w:rFonts w:asciiTheme="minorHAnsi" w:hAnsiTheme="minorHAnsi"/>
                <w:sz w:val="22"/>
                <w:szCs w:val="22"/>
              </w:rPr>
              <w:t>S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trumień środków publicznych nie wspiera rozwoju </w:t>
            </w:r>
            <w:r w:rsidR="004A6F75" w:rsidRPr="005F267A">
              <w:rPr>
                <w:rFonts w:asciiTheme="minorHAnsi" w:hAnsiTheme="minorHAnsi"/>
                <w:sz w:val="22"/>
                <w:szCs w:val="22"/>
              </w:rPr>
              <w:t xml:space="preserve">najlepszych przedsiębiorstw, ale </w:t>
            </w:r>
            <w:r w:rsidR="005065C8" w:rsidRPr="005F267A">
              <w:rPr>
                <w:rFonts w:asciiTheme="minorHAnsi" w:hAnsiTheme="minorHAnsi"/>
                <w:sz w:val="22"/>
                <w:szCs w:val="22"/>
              </w:rPr>
              <w:t xml:space="preserve">rozwój </w:t>
            </w:r>
            <w:r w:rsidR="001A35DB" w:rsidRPr="005F267A">
              <w:rPr>
                <w:rFonts w:asciiTheme="minorHAnsi" w:hAnsiTheme="minorHAnsi"/>
                <w:sz w:val="22"/>
                <w:szCs w:val="22"/>
              </w:rPr>
              <w:t xml:space="preserve">takich, które może powinny w warunkach uczciwej konkurencji z rynku wypaść. </w:t>
            </w:r>
          </w:p>
          <w:p w14:paraId="6E100EDF" w14:textId="18B53197" w:rsidR="003238F8" w:rsidRPr="005F267A" w:rsidRDefault="003238F8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Konflikt interesów stanowi wstęp, a czasami tło, 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t>do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nadużyć i korupcji. </w:t>
            </w:r>
          </w:p>
          <w:p w14:paraId="7986E44E" w14:textId="098A5D92" w:rsidR="006A09B3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C345114" wp14:editId="118DB51C">
                  <wp:extent cx="4572638" cy="3429479"/>
                  <wp:effectExtent l="114300" t="114300" r="113665" b="152400"/>
                  <wp:docPr id="15" name="Obraz 15" descr="Tytuł slajdu: Prawo zamówień publicznych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95700D0" w14:textId="19414CD0" w:rsidR="006A09B3" w:rsidRPr="005F267A" w:rsidRDefault="00B2309D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Ten i następny slajd należy analizować z treścią </w:t>
            </w:r>
            <w:r w:rsidRPr="00C00C6E">
              <w:rPr>
                <w:rFonts w:asciiTheme="minorHAnsi" w:hAnsiTheme="minorHAnsi"/>
                <w:sz w:val="22"/>
                <w:szCs w:val="22"/>
              </w:rPr>
              <w:t xml:space="preserve">art. </w:t>
            </w:r>
            <w:r w:rsidR="00C00C6E" w:rsidRPr="00C00C6E">
              <w:rPr>
                <w:rFonts w:asciiTheme="minorHAnsi" w:hAnsiTheme="minorHAnsi"/>
                <w:sz w:val="22"/>
                <w:szCs w:val="22"/>
              </w:rPr>
              <w:t>56</w:t>
            </w:r>
            <w:r w:rsidRPr="00C00C6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00C6E">
              <w:rPr>
                <w:rFonts w:asciiTheme="minorHAnsi" w:hAnsiTheme="minorHAnsi"/>
                <w:sz w:val="22"/>
                <w:szCs w:val="22"/>
              </w:rPr>
              <w:t xml:space="preserve">nowego </w:t>
            </w:r>
            <w:r w:rsidRPr="00C00C6E">
              <w:rPr>
                <w:rFonts w:asciiTheme="minorHAnsi" w:hAnsiTheme="minorHAnsi"/>
                <w:sz w:val="22"/>
                <w:szCs w:val="22"/>
              </w:rPr>
              <w:t>PZP</w:t>
            </w:r>
            <w:r w:rsidR="002B2D70" w:rsidRPr="005F267A">
              <w:rPr>
                <w:rFonts w:asciiTheme="minorHAnsi" w:hAnsiTheme="minorHAnsi"/>
                <w:sz w:val="22"/>
                <w:szCs w:val="22"/>
              </w:rPr>
              <w:t xml:space="preserve"> oraz art. 233 § 6 kodeksu karnego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A26C29">
              <w:rPr>
                <w:rFonts w:asciiTheme="minorHAnsi" w:hAnsiTheme="minorHAnsi"/>
                <w:sz w:val="22"/>
                <w:szCs w:val="22"/>
              </w:rPr>
              <w:t>przytoczonymi na końcu fiszki</w:t>
            </w:r>
            <w:r w:rsidR="002B2D70" w:rsidRPr="005F267A">
              <w:rPr>
                <w:rFonts w:asciiTheme="minorHAnsi" w:hAnsiTheme="minorHAnsi"/>
                <w:sz w:val="22"/>
                <w:szCs w:val="22"/>
              </w:rPr>
              <w:t>.</w:t>
            </w:r>
            <w:r w:rsidR="00882A92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6FA06CD" w14:textId="1180F3AD" w:rsidR="00B2309D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B10EE25" wp14:editId="4B4044CC">
                  <wp:extent cx="4572638" cy="3429479"/>
                  <wp:effectExtent l="114300" t="114300" r="113665" b="152400"/>
                  <wp:docPr id="17" name="Obraz 17" descr="Tytu slajdu: Prawo zamówień publicznych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57EBBA1" w14:textId="51E476CF" w:rsidR="00E17C94" w:rsidRPr="005F267A" w:rsidRDefault="00E17C94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Ten slajd omawia w przystępnej formie art.</w:t>
            </w:r>
            <w:r w:rsidR="00365586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16956">
              <w:rPr>
                <w:rFonts w:asciiTheme="minorHAnsi" w:hAnsiTheme="minorHAnsi"/>
                <w:sz w:val="22"/>
                <w:szCs w:val="22"/>
              </w:rPr>
              <w:t>56</w:t>
            </w:r>
            <w:r w:rsidR="00365586" w:rsidRPr="005F267A">
              <w:rPr>
                <w:rFonts w:asciiTheme="minorHAnsi" w:hAnsiTheme="minorHAnsi"/>
                <w:sz w:val="22"/>
                <w:szCs w:val="22"/>
              </w:rPr>
              <w:t xml:space="preserve"> ust. </w:t>
            </w:r>
            <w:r w:rsidR="00716956">
              <w:rPr>
                <w:rFonts w:asciiTheme="minorHAnsi" w:hAnsiTheme="minorHAnsi"/>
                <w:sz w:val="22"/>
                <w:szCs w:val="22"/>
              </w:rPr>
              <w:t>2</w:t>
            </w:r>
            <w:r w:rsidR="00365586" w:rsidRPr="005F267A">
              <w:rPr>
                <w:rFonts w:asciiTheme="minorHAnsi" w:hAnsiTheme="minorHAnsi"/>
                <w:sz w:val="22"/>
                <w:szCs w:val="22"/>
              </w:rPr>
              <w:t xml:space="preserve"> pkt.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1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sym w:font="Symbol" w:char="F02D"/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716956">
              <w:rPr>
                <w:rFonts w:asciiTheme="minorHAnsi" w:hAnsiTheme="minorHAnsi"/>
                <w:sz w:val="22"/>
                <w:szCs w:val="22"/>
              </w:rPr>
              <w:t xml:space="preserve">nowego 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PZP. </w:t>
            </w:r>
            <w:r w:rsidR="00365586" w:rsidRPr="005F267A">
              <w:rPr>
                <w:rFonts w:asciiTheme="minorHAnsi" w:hAnsiTheme="minorHAnsi"/>
                <w:sz w:val="22"/>
                <w:szCs w:val="22"/>
              </w:rPr>
              <w:t xml:space="preserve">Te przepisy jednoznacznie określają, które relacje powodują obligatoryjne złożenie oświadczenia i istnieniu KI, a w konsekwencji wyłączenie z postępowania. </w:t>
            </w:r>
          </w:p>
          <w:p w14:paraId="74E18A7C" w14:textId="1AC2CEAD" w:rsidR="00E17C94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E7F8157" wp14:editId="6400DE4D">
                  <wp:extent cx="4572638" cy="3429479"/>
                  <wp:effectExtent l="114300" t="114300" r="113665" b="152400"/>
                  <wp:docPr id="18" name="Obraz 18" descr="Tytuł slajdu: Prawo zamówień publicznych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CEBD3E5" w14:textId="14815946" w:rsidR="00AB525A" w:rsidRPr="005F267A" w:rsidRDefault="006D200E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Ten slajd omawia art. </w:t>
            </w:r>
            <w:r w:rsidR="00716956">
              <w:rPr>
                <w:rFonts w:asciiTheme="minorHAnsi" w:hAnsiTheme="minorHAnsi"/>
                <w:sz w:val="22"/>
                <w:szCs w:val="22"/>
              </w:rPr>
              <w:t>56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ust. </w:t>
            </w:r>
            <w:r w:rsidR="00716956">
              <w:rPr>
                <w:rFonts w:asciiTheme="minorHAnsi" w:hAnsiTheme="minorHAnsi"/>
                <w:sz w:val="22"/>
                <w:szCs w:val="22"/>
              </w:rPr>
              <w:t>2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pkt 4</w:t>
            </w:r>
            <w:r w:rsidR="00716956">
              <w:rPr>
                <w:rFonts w:asciiTheme="minorHAnsi" w:hAnsiTheme="minorHAnsi"/>
                <w:sz w:val="22"/>
                <w:szCs w:val="22"/>
              </w:rPr>
              <w:t xml:space="preserve"> nowego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PZP. </w:t>
            </w:r>
            <w:r w:rsidR="00AB525A" w:rsidRPr="005F267A">
              <w:rPr>
                <w:rFonts w:asciiTheme="minorHAnsi" w:hAnsiTheme="minorHAnsi"/>
                <w:sz w:val="22"/>
                <w:szCs w:val="22"/>
              </w:rPr>
              <w:t>Podkreślamy, że przepis dotyczy zarówno rzeczywistego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t>,</w:t>
            </w:r>
            <w:r w:rsidR="00AB525A" w:rsidRPr="005F267A">
              <w:rPr>
                <w:rFonts w:asciiTheme="minorHAnsi" w:hAnsiTheme="minorHAnsi"/>
                <w:sz w:val="22"/>
                <w:szCs w:val="22"/>
              </w:rPr>
              <w:t xml:space="preserve"> jak i postrzeganego KI.  </w:t>
            </w:r>
          </w:p>
          <w:p w14:paraId="0E4FEFCA" w14:textId="2240B27E" w:rsidR="008E1646" w:rsidRPr="005F267A" w:rsidRDefault="006D200E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Jest to przepis </w:t>
            </w:r>
            <w:proofErr w:type="spellStart"/>
            <w:r w:rsidRPr="005F267A">
              <w:rPr>
                <w:rFonts w:asciiTheme="minorHAnsi" w:hAnsiTheme="minorHAnsi"/>
                <w:sz w:val="22"/>
                <w:szCs w:val="22"/>
              </w:rPr>
              <w:t>ocenny</w:t>
            </w:r>
            <w:proofErr w:type="spellEnd"/>
            <w:r w:rsidRPr="005F267A">
              <w:rPr>
                <w:rFonts w:asciiTheme="minorHAnsi" w:hAnsiTheme="minorHAnsi"/>
                <w:sz w:val="22"/>
                <w:szCs w:val="22"/>
              </w:rPr>
              <w:t xml:space="preserve"> („może to budzić uzasadnione wątpliwości”), bo u jednej osoby coś może budzić wątpliwości, a u innej nie. </w:t>
            </w:r>
            <w:r w:rsidR="008E1646" w:rsidRPr="005F267A">
              <w:rPr>
                <w:rFonts w:asciiTheme="minorHAnsi" w:hAnsiTheme="minorHAnsi"/>
                <w:sz w:val="22"/>
                <w:szCs w:val="22"/>
              </w:rPr>
              <w:t xml:space="preserve">A jednocześnie oświadczenie jest składane pod groźbą odpowiedzialności karnej. Co się stanie, jeżeli wrażliwość </w:t>
            </w:r>
            <w:r w:rsidR="00004679" w:rsidRPr="005F267A">
              <w:rPr>
                <w:rFonts w:asciiTheme="minorHAnsi" w:hAnsiTheme="minorHAnsi"/>
                <w:sz w:val="22"/>
                <w:szCs w:val="22"/>
              </w:rPr>
              <w:t>kontrolera lub prokuratora będzie inna</w:t>
            </w:r>
            <w:r w:rsidR="008E1646" w:rsidRPr="005F267A">
              <w:rPr>
                <w:rFonts w:asciiTheme="minorHAnsi" w:hAnsiTheme="minorHAnsi"/>
                <w:sz w:val="22"/>
                <w:szCs w:val="22"/>
              </w:rPr>
              <w:t xml:space="preserve"> niż nasza? Pytamy</w:t>
            </w:r>
            <w:r w:rsidR="00AB525A" w:rsidRPr="005F267A">
              <w:rPr>
                <w:rFonts w:asciiTheme="minorHAnsi" w:hAnsiTheme="minorHAnsi"/>
                <w:sz w:val="22"/>
                <w:szCs w:val="22"/>
              </w:rPr>
              <w:t xml:space="preserve"> uczestników</w:t>
            </w:r>
            <w:r w:rsidR="00FC3652" w:rsidRPr="005F267A">
              <w:rPr>
                <w:rFonts w:asciiTheme="minorHAnsi" w:hAnsiTheme="minorHAnsi"/>
                <w:sz w:val="22"/>
                <w:szCs w:val="22"/>
              </w:rPr>
              <w:t>,</w:t>
            </w:r>
            <w:r w:rsidR="008E1646" w:rsidRPr="005F267A">
              <w:rPr>
                <w:rFonts w:asciiTheme="minorHAnsi" w:hAnsiTheme="minorHAnsi"/>
                <w:sz w:val="22"/>
                <w:szCs w:val="22"/>
              </w:rPr>
              <w:t xml:space="preserve"> jak się przed tym zabezpieczyć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t>.</w:t>
            </w:r>
            <w:r w:rsidR="00AB525A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300E7469" w14:textId="1FED8BE8" w:rsidR="00AB525A" w:rsidRPr="005F267A" w:rsidRDefault="00AB525A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>Wskaz</w:t>
            </w:r>
            <w:r w:rsidR="00887F5A" w:rsidRPr="005F267A">
              <w:rPr>
                <w:rFonts w:asciiTheme="minorHAnsi" w:hAnsiTheme="minorHAnsi"/>
                <w:sz w:val="22"/>
                <w:szCs w:val="22"/>
              </w:rPr>
              <w:t xml:space="preserve">ówki </w:t>
            </w:r>
            <w:r w:rsidR="00432EBC">
              <w:rPr>
                <w:rFonts w:asciiTheme="minorHAnsi" w:hAnsiTheme="minorHAnsi"/>
                <w:sz w:val="22"/>
                <w:szCs w:val="22"/>
              </w:rPr>
              <w:t>dotyczące właściwych odpowiedzi znajdziesz na</w:t>
            </w:r>
            <w:r w:rsidR="00432EBC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87F5A" w:rsidRPr="005F267A">
              <w:rPr>
                <w:rFonts w:asciiTheme="minorHAnsi" w:hAnsiTheme="minorHAnsi"/>
                <w:sz w:val="22"/>
                <w:szCs w:val="22"/>
              </w:rPr>
              <w:t>kolejnym slajdzie.</w:t>
            </w:r>
          </w:p>
          <w:p w14:paraId="393E32BD" w14:textId="25ABA447" w:rsidR="006D200E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4C9EBDE" wp14:editId="4CF08BEC">
                  <wp:extent cx="4572638" cy="3429479"/>
                  <wp:effectExtent l="114300" t="114300" r="113665" b="152400"/>
                  <wp:docPr id="19" name="Obraz 19" descr="Tytuł slajdu: Konflikt interesów - jak sobie radzić?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1462515" w14:textId="01993054" w:rsidR="00794510" w:rsidRPr="00463BAC" w:rsidRDefault="00794510" w:rsidP="00794510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63BAC">
              <w:rPr>
                <w:rFonts w:asciiTheme="minorHAnsi" w:hAnsiTheme="minorHAnsi"/>
                <w:sz w:val="22"/>
                <w:szCs w:val="22"/>
              </w:rPr>
              <w:t xml:space="preserve">W poradniku </w:t>
            </w:r>
            <w:r>
              <w:rPr>
                <w:rFonts w:asciiTheme="minorHAnsi" w:hAnsiTheme="minorHAnsi"/>
                <w:sz w:val="22"/>
                <w:szCs w:val="22"/>
              </w:rPr>
              <w:t>„Konflikt interesów w zamówieniach pub</w:t>
            </w:r>
            <w:r w:rsidR="003D4E2D">
              <w:rPr>
                <w:rFonts w:asciiTheme="minorHAnsi" w:hAnsiTheme="minorHAnsi"/>
                <w:sz w:val="22"/>
                <w:szCs w:val="22"/>
              </w:rPr>
              <w:t xml:space="preserve">licznych. Praktyczny poradnik” </w:t>
            </w:r>
            <w:r w:rsidRPr="00463BAC">
              <w:rPr>
                <w:rFonts w:asciiTheme="minorHAnsi" w:hAnsiTheme="minorHAnsi"/>
                <w:sz w:val="22"/>
                <w:szCs w:val="22"/>
              </w:rPr>
              <w:t xml:space="preserve">zawarta jest szczegółowa tabela jako pomoc w ocenie poziomu konfliktu interesów. </w:t>
            </w:r>
          </w:p>
          <w:p w14:paraId="447345B0" w14:textId="502D5D76" w:rsidR="00A05713" w:rsidRPr="005F267A" w:rsidRDefault="00A0571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Kluczowe jest jednak ujawnienie relacji mogących wywoływać KI i poddanie jej zewnętrznej ocenie. Po pierwsze – doradcy ds. etyki. Po drugie – należy </w:t>
            </w:r>
            <w:r w:rsidR="004C19B6" w:rsidRPr="005F267A">
              <w:rPr>
                <w:rFonts w:asciiTheme="minorHAnsi" w:hAnsiTheme="minorHAnsi"/>
                <w:sz w:val="22"/>
                <w:szCs w:val="22"/>
              </w:rPr>
              <w:t xml:space="preserve">o sprawie pisemnie poinformować i </w:t>
            </w:r>
            <w:r w:rsidR="00D973F7" w:rsidRPr="005F267A">
              <w:rPr>
                <w:rFonts w:asciiTheme="minorHAnsi" w:hAnsiTheme="minorHAnsi"/>
                <w:sz w:val="22"/>
                <w:szCs w:val="22"/>
              </w:rPr>
              <w:t xml:space="preserve">przedyskutować 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t>ją</w:t>
            </w:r>
            <w:r w:rsidR="00D973F7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D4FF5" w:rsidRPr="005F267A">
              <w:rPr>
                <w:rFonts w:asciiTheme="minorHAnsi" w:hAnsiTheme="minorHAnsi"/>
                <w:sz w:val="22"/>
                <w:szCs w:val="22"/>
              </w:rPr>
              <w:t xml:space="preserve">z </w:t>
            </w:r>
            <w:r w:rsidR="00D973F7" w:rsidRPr="005F267A">
              <w:rPr>
                <w:rFonts w:asciiTheme="minorHAnsi" w:hAnsiTheme="minorHAnsi"/>
                <w:sz w:val="22"/>
                <w:szCs w:val="22"/>
              </w:rPr>
              <w:t xml:space="preserve">kierownikiem zamawiającego albo osobą, której powierzył on czynności w postępowaniu. Błędem będzie poleganie tylko na swoim wewnętrznym odczuciu, ponieważ nie jesteśmy obiektywni w osądzaniu spraw, które nas dotyczą.  </w:t>
            </w:r>
          </w:p>
          <w:p w14:paraId="72043756" w14:textId="2F442A5B" w:rsidR="00001249" w:rsidRPr="005F267A" w:rsidRDefault="004C19B6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Należy jednak pamiętać, że odpowiedzialność za złożenie rzetelnego oświadczenia </w:t>
            </w:r>
            <w:r w:rsidR="00001249" w:rsidRPr="005F267A">
              <w:rPr>
                <w:rFonts w:asciiTheme="minorHAnsi" w:hAnsiTheme="minorHAnsi"/>
                <w:sz w:val="22"/>
                <w:szCs w:val="22"/>
              </w:rPr>
              <w:t xml:space="preserve">ponosi ostatecznie </w:t>
            </w:r>
            <w:r w:rsidR="008A74E7">
              <w:rPr>
                <w:rFonts w:asciiTheme="minorHAnsi" w:hAnsiTheme="minorHAnsi"/>
                <w:sz w:val="22"/>
                <w:szCs w:val="22"/>
              </w:rPr>
              <w:t>podpisujący</w:t>
            </w:r>
            <w:r w:rsidR="00001249" w:rsidRPr="005F267A">
              <w:rPr>
                <w:rFonts w:asciiTheme="minorHAnsi" w:hAnsiTheme="minorHAnsi"/>
                <w:sz w:val="22"/>
                <w:szCs w:val="22"/>
              </w:rPr>
              <w:t xml:space="preserve">. Opinia doradcy czy stanowisko kierownika zamawiającego 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t xml:space="preserve">są </w:t>
            </w:r>
            <w:r w:rsidR="00001249" w:rsidRPr="005F267A">
              <w:rPr>
                <w:rFonts w:asciiTheme="minorHAnsi" w:hAnsiTheme="minorHAnsi"/>
                <w:sz w:val="22"/>
                <w:szCs w:val="22"/>
              </w:rPr>
              <w:t>pomocnicze, ma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t>ją</w:t>
            </w:r>
            <w:r w:rsidR="00001249" w:rsidRPr="005F267A">
              <w:rPr>
                <w:rFonts w:asciiTheme="minorHAnsi" w:hAnsiTheme="minorHAnsi"/>
                <w:sz w:val="22"/>
                <w:szCs w:val="22"/>
              </w:rPr>
              <w:t xml:space="preserve"> nam pomóc dokonać właściwego wyboru, ale nie zwalnia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t>ją</w:t>
            </w:r>
            <w:r w:rsidR="00001249" w:rsidRPr="005F267A">
              <w:rPr>
                <w:rFonts w:asciiTheme="minorHAnsi" w:hAnsiTheme="minorHAnsi"/>
                <w:sz w:val="22"/>
                <w:szCs w:val="22"/>
              </w:rPr>
              <w:t xml:space="preserve"> nas z odpowiedzialności karnej</w:t>
            </w:r>
            <w:r w:rsidR="009E6329" w:rsidRPr="005F267A">
              <w:rPr>
                <w:rFonts w:asciiTheme="minorHAnsi" w:hAnsiTheme="minorHAnsi"/>
                <w:sz w:val="22"/>
                <w:szCs w:val="22"/>
              </w:rPr>
              <w:t xml:space="preserve"> (choć mo</w:t>
            </w:r>
            <w:r w:rsidR="00D47351" w:rsidRPr="005F267A">
              <w:rPr>
                <w:rFonts w:asciiTheme="minorHAnsi" w:hAnsiTheme="minorHAnsi"/>
                <w:sz w:val="22"/>
                <w:szCs w:val="22"/>
              </w:rPr>
              <w:t>gą</w:t>
            </w:r>
            <w:r w:rsidR="009E6329" w:rsidRPr="005F267A">
              <w:rPr>
                <w:rFonts w:asciiTheme="minorHAnsi" w:hAnsiTheme="minorHAnsi"/>
                <w:sz w:val="22"/>
                <w:szCs w:val="22"/>
              </w:rPr>
              <w:t xml:space="preserve"> stanowić okoliczność łagodzącą)</w:t>
            </w:r>
            <w:r w:rsidR="00001249" w:rsidRPr="005F267A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7AC69607" w14:textId="005E9E59" w:rsidR="00D973F7" w:rsidRPr="005F267A" w:rsidRDefault="00001249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72C10"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8ED7294" wp14:editId="45DB79AD">
                  <wp:extent cx="4572638" cy="3429479"/>
                  <wp:effectExtent l="114300" t="114300" r="113665" b="152400"/>
                  <wp:docPr id="20" name="Obraz 20" descr="Tytuł slajdu: Konflikt interesów - jak sobie radzić?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7EA9A4C" w14:textId="6759561F" w:rsidR="009E6329" w:rsidRPr="005F267A" w:rsidRDefault="009E6329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Niektóre rodzaje zamówień publicznych są </w:t>
            </w:r>
            <w:r w:rsidR="007263BB" w:rsidRPr="005F267A">
              <w:rPr>
                <w:rFonts w:asciiTheme="minorHAnsi" w:hAnsiTheme="minorHAnsi"/>
                <w:sz w:val="22"/>
                <w:szCs w:val="22"/>
              </w:rPr>
              <w:t xml:space="preserve">wyłączone 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spod przepisów ustawy. </w:t>
            </w:r>
            <w:r w:rsidR="003D4E2D" w:rsidRPr="008E4742">
              <w:rPr>
                <w:rFonts w:asciiTheme="minorHAnsi" w:hAnsiTheme="minorHAnsi"/>
                <w:sz w:val="22"/>
                <w:szCs w:val="22"/>
              </w:rPr>
              <w:t xml:space="preserve">Na przykład </w:t>
            </w:r>
            <w:r w:rsidR="003D4E2D">
              <w:rPr>
                <w:rFonts w:asciiTheme="minorHAnsi" w:hAnsiTheme="minorHAnsi"/>
                <w:sz w:val="22"/>
                <w:szCs w:val="22"/>
              </w:rPr>
              <w:t xml:space="preserve">część </w:t>
            </w:r>
            <w:r w:rsidR="003D4E2D" w:rsidRPr="008E4742">
              <w:rPr>
                <w:rFonts w:asciiTheme="minorHAnsi" w:hAnsiTheme="minorHAnsi"/>
                <w:sz w:val="22"/>
                <w:szCs w:val="22"/>
              </w:rPr>
              <w:t>zamówie</w:t>
            </w:r>
            <w:r w:rsidR="003D4E2D">
              <w:rPr>
                <w:rFonts w:asciiTheme="minorHAnsi" w:hAnsiTheme="minorHAnsi"/>
                <w:sz w:val="22"/>
                <w:szCs w:val="22"/>
              </w:rPr>
              <w:t>ń podprogowych</w:t>
            </w:r>
            <w:r w:rsidR="003D4E2D" w:rsidRPr="008E4742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3D4E2D">
              <w:rPr>
                <w:rFonts w:asciiTheme="minorHAnsi" w:hAnsiTheme="minorHAnsi"/>
                <w:sz w:val="22"/>
                <w:szCs w:val="22"/>
              </w:rPr>
              <w:t xml:space="preserve">zamówienia </w:t>
            </w:r>
            <w:r w:rsidR="003D4E2D" w:rsidRPr="008E4742">
              <w:rPr>
                <w:rFonts w:asciiTheme="minorHAnsi" w:hAnsiTheme="minorHAnsi"/>
                <w:sz w:val="22"/>
                <w:szCs w:val="22"/>
              </w:rPr>
              <w:t xml:space="preserve">niejawne czy dotyczące szczególnego interesu bezpieczeństwa państwa. </w:t>
            </w:r>
            <w:r w:rsidR="00574E38" w:rsidRPr="005F267A">
              <w:rPr>
                <w:rFonts w:asciiTheme="minorHAnsi" w:hAnsiTheme="minorHAnsi"/>
                <w:sz w:val="22"/>
                <w:szCs w:val="22"/>
              </w:rPr>
              <w:t xml:space="preserve">Często sposób ich udzielania może być regulowany przez wewnętrzne zarządzenia. Powinny tam się znaleźć </w:t>
            </w:r>
            <w:r w:rsidR="008D6136" w:rsidRPr="005F267A">
              <w:rPr>
                <w:rFonts w:asciiTheme="minorHAnsi" w:hAnsiTheme="minorHAnsi"/>
                <w:sz w:val="22"/>
                <w:szCs w:val="22"/>
              </w:rPr>
              <w:t>zapisy dotyczące unikania KI. Ew</w:t>
            </w:r>
            <w:r w:rsidR="005E2959" w:rsidRPr="005F267A">
              <w:rPr>
                <w:rFonts w:asciiTheme="minorHAnsi" w:hAnsiTheme="minorHAnsi"/>
                <w:sz w:val="22"/>
                <w:szCs w:val="22"/>
              </w:rPr>
              <w:t>entualne</w:t>
            </w:r>
            <w:r w:rsidR="008D6136" w:rsidRPr="005F267A">
              <w:rPr>
                <w:rFonts w:asciiTheme="minorHAnsi" w:hAnsiTheme="minorHAnsi"/>
                <w:sz w:val="22"/>
                <w:szCs w:val="22"/>
              </w:rPr>
              <w:t xml:space="preserve"> deklaracje nie są jednak składane pod rygorem odpowiedzialności karnej (brak regulacji ustawowej), a jedynie dyscyplinarnej. </w:t>
            </w:r>
          </w:p>
          <w:p w14:paraId="68048AD1" w14:textId="559A60C9" w:rsidR="00574E38" w:rsidRPr="005F267A" w:rsidRDefault="008D6136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Ogólnie powinniśmy stosować tam takie same przesłanki wyłączenia się z postępowania jak przy zamówieniach w trybie PZP. </w:t>
            </w:r>
          </w:p>
          <w:p w14:paraId="59707454" w14:textId="40B26808" w:rsidR="009E6329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74DD98B" wp14:editId="223DA689">
                  <wp:extent cx="4572638" cy="3429479"/>
                  <wp:effectExtent l="114300" t="114300" r="113665" b="152400"/>
                  <wp:docPr id="21" name="Obraz 21" descr="Tytuł slajdu: Lektura uzupełniająca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3C3BC2D" w14:textId="46B9DE9E" w:rsidR="00946036" w:rsidRPr="005F267A" w:rsidRDefault="008A74E7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Wskaż</w:t>
            </w:r>
            <w:r w:rsidR="003E072F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gdzie można znaleźć uzupełniające informacje. </w:t>
            </w:r>
          </w:p>
          <w:p w14:paraId="0130E477" w14:textId="699B73DA" w:rsidR="00AC7333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BB861FE" wp14:editId="548C1CC0">
                  <wp:extent cx="4572638" cy="3429479"/>
                  <wp:effectExtent l="114300" t="114300" r="113665" b="152400"/>
                  <wp:docPr id="1" name="Obraz 1" descr="Tytuł slajdu: Wydawanie decyzji - wybrane zasady ogólne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BB94A33" w14:textId="06871910" w:rsidR="00AC7333" w:rsidRPr="005F267A" w:rsidRDefault="00BD22E7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 pokrótce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>wybran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 zasad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 ogóln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 wydawania decyzji z Zarządzenia nr 70</w:t>
            </w:r>
            <w:r w:rsidR="00345032" w:rsidRPr="005F267A">
              <w:rPr>
                <w:rFonts w:asciiTheme="minorHAnsi" w:hAnsiTheme="minorHAnsi"/>
                <w:sz w:val="22"/>
                <w:szCs w:val="22"/>
              </w:rPr>
              <w:t xml:space="preserve"> PRM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 i z Kpa. Choć są ogólne, to powinny być stosowane w postępowaniu. </w:t>
            </w:r>
          </w:p>
          <w:p w14:paraId="597EDD44" w14:textId="218CE88C" w:rsidR="00AC7333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5C20B04" wp14:editId="31920520">
                  <wp:extent cx="4572638" cy="3429479"/>
                  <wp:effectExtent l="114300" t="114300" r="113665" b="152400"/>
                  <wp:docPr id="22" name="Obraz 22" descr="Tytuł slajdu: Rodzaje KI przy wydawaniu decyzji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F10A071" w14:textId="07D92F6A" w:rsidR="00D96D99" w:rsidRPr="005F267A" w:rsidRDefault="007B1AEF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, na czym polegają rodzaje KI i jak ich unikać w specyfice wydawania decyzji administracyjnych czy podatkowych. </w:t>
            </w:r>
          </w:p>
          <w:p w14:paraId="2E08D572" w14:textId="7BB78F5F" w:rsidR="00AC7333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C0428AC" wp14:editId="731F5F81">
                  <wp:extent cx="4572638" cy="3429479"/>
                  <wp:effectExtent l="114300" t="114300" r="113665" b="152400"/>
                  <wp:docPr id="25" name="Obraz 25" descr="Tytuł slajdu: Konflikt interesów w decyzjach - skutki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3F14B29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7ADD2813" w14:textId="055D861F" w:rsidR="00AC7333" w:rsidRPr="005F267A" w:rsidRDefault="00F60AFD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Pr="00F60AFD" w:rsidDel="00F60AF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skutki KI w specyfice postępowań administracyjnych. Mogą być one </w:t>
            </w:r>
            <w:r w:rsidR="00640A77">
              <w:rPr>
                <w:rFonts w:asciiTheme="minorHAnsi" w:hAnsiTheme="minorHAnsi"/>
                <w:sz w:val="22"/>
                <w:szCs w:val="22"/>
              </w:rPr>
              <w:t>dotkliwe</w:t>
            </w:r>
            <w:r w:rsidR="00640A77" w:rsidRPr="005F26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 xml:space="preserve">dla strony, którą może być osoba fizyczna, ale także duży podmiot prawny, np. spółka akcyjna. </w:t>
            </w:r>
          </w:p>
          <w:p w14:paraId="2C409F6F" w14:textId="77777777" w:rsidR="0082483A" w:rsidRDefault="0082483A" w:rsidP="0082483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9274A">
              <w:rPr>
                <w:rFonts w:asciiTheme="minorHAnsi" w:hAnsiTheme="minorHAnsi"/>
                <w:sz w:val="22"/>
                <w:szCs w:val="22"/>
              </w:rPr>
              <w:t>Niektóre decyzje są wydawane w sprawach indywidualnych i w miarę oczywistych, np. wydanie prawa jazdy.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63134E6" w14:textId="77777777" w:rsidR="0082483A" w:rsidRDefault="0082483A" w:rsidP="0082483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Inne mają zasięg indywidualny, ale są mniej oczywiste, jak uznanie obywatelstwa polskiego, zezwolenie na pracę, decyzja o zwrocie nieprawidłowo wykorzystanej części dotacji, decyzja o prawie do rekompensaty za mienie zabużańskie czy o ustaleniu odszkodowania za nieruchomości przejęte na cele publiczne. </w:t>
            </w:r>
          </w:p>
          <w:p w14:paraId="68C731A5" w14:textId="4C499D93" w:rsidR="0082483A" w:rsidRDefault="0082483A" w:rsidP="0082483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Jeszcze i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nne mogą oddziaływać na cały region, jak np. </w:t>
            </w:r>
            <w:r>
              <w:rPr>
                <w:rFonts w:asciiTheme="minorHAnsi" w:hAnsiTheme="minorHAnsi"/>
                <w:sz w:val="22"/>
                <w:szCs w:val="22"/>
              </w:rPr>
              <w:t>zezwolenia na realizację inwestycji drogowej, lotniskowej, kolejowej czy przeciwpowodziowej.</w:t>
            </w:r>
            <w:r w:rsidRPr="00F9274A">
              <w:rPr>
                <w:rFonts w:asciiTheme="minorHAnsi" w:hAnsiTheme="minorHAnsi"/>
                <w:sz w:val="22"/>
                <w:szCs w:val="22"/>
              </w:rPr>
              <w:t xml:space="preserve"> Wtedy negatywne skutki rzeczywistego i postrzeganego konfliktu interesów dla społeczeństwa mogą być wielokrotnie większe niż ewentualne korzyści dla urzędnika czy nawet dla strony (np. zatwierdzenie niewłaściwej lokalizacji).</w:t>
            </w:r>
          </w:p>
          <w:p w14:paraId="37FC9313" w14:textId="21468F77" w:rsidR="00881688" w:rsidRPr="005F267A" w:rsidRDefault="00881688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Zapytaj, czy uczestnicy szkolenia </w:t>
            </w:r>
            <w:r w:rsidR="00E724B9">
              <w:rPr>
                <w:rFonts w:asciiTheme="minorHAnsi" w:hAnsiTheme="minorHAnsi"/>
                <w:sz w:val="22"/>
                <w:szCs w:val="22"/>
              </w:rPr>
              <w:t>biorą udział w procesie wydawania decyzji administracyjnych lub podatkowych i jakiego rodzaju. Wspólnie oceńcie, jakie mogą być negatywne skutki KI</w:t>
            </w:r>
            <w:r w:rsidR="00A0010F">
              <w:rPr>
                <w:rFonts w:asciiTheme="minorHAnsi" w:hAnsiTheme="minorHAnsi"/>
                <w:sz w:val="22"/>
                <w:szCs w:val="22"/>
              </w:rPr>
              <w:t xml:space="preserve"> przy wydawaniu takich decyzji. Zwróć uwagę także na koszty społeczne oraz wizerunkowe dla służby cywilnej. </w:t>
            </w:r>
          </w:p>
          <w:p w14:paraId="61E44728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Konflikt interesów stanowi wstęp, a czasami tło, do nadużyć i korupcji. </w:t>
            </w:r>
          </w:p>
          <w:p w14:paraId="0D8AA58C" w14:textId="0E27FE53" w:rsidR="00AC7333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F547937" wp14:editId="789BF83C">
                  <wp:extent cx="4572638" cy="3429479"/>
                  <wp:effectExtent l="114300" t="114300" r="113665" b="152400"/>
                  <wp:docPr id="32" name="Obraz 32" descr="Kodeks postępowania administracyjnego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AFDA170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Ten i następny slajd należy analizować z treścią art. 24 Kpa dostępną w materiałach. Niektóre przesłanki wyłączenia pracownika organu są jednoznacznie określone. </w:t>
            </w:r>
          </w:p>
          <w:p w14:paraId="0F26F44C" w14:textId="67C792FF" w:rsidR="00AC7333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E5F36F2" wp14:editId="74FBC8C6">
                  <wp:extent cx="4572638" cy="3429479"/>
                  <wp:effectExtent l="114300" t="114300" r="113665" b="152400"/>
                  <wp:docPr id="33" name="Obraz 33" descr="Tytuł slajdu: Kodeks postępowania administracyjnego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476BA55" w14:textId="7A0BA615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Podkreśl, że przepis dotyczy zarówno rzeczywistego, jak i postrzeganego KI.  </w:t>
            </w:r>
          </w:p>
          <w:p w14:paraId="39D74DF5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Dwa inne przepisy są </w:t>
            </w:r>
            <w:proofErr w:type="spellStart"/>
            <w:r w:rsidRPr="005F267A">
              <w:rPr>
                <w:rFonts w:asciiTheme="minorHAnsi" w:hAnsiTheme="minorHAnsi"/>
                <w:sz w:val="22"/>
                <w:szCs w:val="22"/>
              </w:rPr>
              <w:t>ocenne</w:t>
            </w:r>
            <w:proofErr w:type="spellEnd"/>
            <w:r w:rsidRPr="005F267A">
              <w:rPr>
                <w:rFonts w:asciiTheme="minorHAnsi" w:hAnsiTheme="minorHAnsi"/>
                <w:sz w:val="22"/>
                <w:szCs w:val="22"/>
              </w:rPr>
              <w:t xml:space="preserve"> („może mieć wpływ”, „uprawdopodobnione istnienie okoliczności, które mogą wywołać wątpliwość”). U jednej osoby coś może wywołać wątpliwości, a u innej nie. Nie składamy co prawda żadnego oświadczenia pod groźbą odpowiedzialności karnej, ale nieprzestrzeganie tych przepisów może narazić na odpowiedzialność dyscyplinarną, a ponadto być przesłanką wznowienia postępowania administracyjnego i wzruszenia wydanej decyzji. </w:t>
            </w:r>
          </w:p>
          <w:p w14:paraId="13D68C3E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Co się stanie, jeżeli wrażliwość organu wyższego stopnia, kontrolera lub prokuratora będzie inna niż nasza? Pytamy uczestników, jak się przed tym zabezpieczyć. </w:t>
            </w:r>
          </w:p>
          <w:p w14:paraId="4B7D7161" w14:textId="274C250A" w:rsidR="00A22C50" w:rsidRPr="00F9274A" w:rsidRDefault="00A22C50" w:rsidP="00A22C50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Rekomendowane odpowiedzi znajdują się na slajdzie „</w:t>
            </w:r>
            <w:r w:rsidR="00C44D83">
              <w:rPr>
                <w:rFonts w:asciiTheme="minorHAnsi" w:hAnsiTheme="minorHAnsi"/>
                <w:sz w:val="22"/>
                <w:szCs w:val="22"/>
              </w:rPr>
              <w:t>Konflikt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interesów – jak sobie radzić?” w dalszej części prezentacji. </w:t>
            </w:r>
          </w:p>
          <w:p w14:paraId="26007BF9" w14:textId="23C7B839" w:rsidR="00AC7333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FF3332E" wp14:editId="4A1E054A">
                  <wp:extent cx="4572638" cy="3429479"/>
                  <wp:effectExtent l="114300" t="114300" r="113665" b="152400"/>
                  <wp:docPr id="35" name="Obraz 35" descr="Tytuł slajdu: Ordynacja podatkowa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BA0B34E" w14:textId="2BEF7DA6" w:rsidR="00AC7333" w:rsidRPr="005F267A" w:rsidRDefault="0088171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="00AC7333" w:rsidRPr="005F267A">
              <w:rPr>
                <w:rFonts w:asciiTheme="minorHAnsi" w:hAnsiTheme="minorHAnsi"/>
                <w:sz w:val="22"/>
                <w:szCs w:val="22"/>
              </w:rPr>
              <w:t>, że przepisy ordynacji podatkowej są podobne. Nie omawiamy szczegółowo. Są w materiałach.</w:t>
            </w:r>
          </w:p>
          <w:p w14:paraId="5F0BABD9" w14:textId="0361E2FE" w:rsidR="00AC7333" w:rsidRPr="005F267A" w:rsidRDefault="00F72C10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D4DE9D0" wp14:editId="01FA02F3">
                  <wp:extent cx="4572638" cy="3429479"/>
                  <wp:effectExtent l="114300" t="114300" r="113665" b="152400"/>
                  <wp:docPr id="36" name="Obraz 36" descr="Tytuł slajdu: Konflikt interesów w Kpa - jak sobie radzić?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DCC8F0E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Zwracamy uwagę, że w tym przypadku brak ustawowej procedury przebiegu oceny konfliktu interesów przez składanie deklaracji o braku lub wystąpieniu konfliktu, jak to ma miejsce w zamówieniach publicznych. (Choć takie szczegółowe procedury badania czy deklaracje mogą być wprowadzone zarządzeniami wewnętrznymi – pytamy uczestników, czy u nich występują). Oznacza to, że każdy pracownik biorący udział w postępowaniu administracyjnym, podejmując czynności, musi od razu ocenić, czy zachodzą przesłanki KI. Strony postępowania są znane, należy więc ocenić: </w:t>
            </w:r>
          </w:p>
          <w:p w14:paraId="0B98E328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- nasze obecne i byłe relacje z nimi – czy mogą wywołać wrażenie naszej stronniczości, </w:t>
            </w:r>
          </w:p>
          <w:p w14:paraId="034F2B8F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- możliwość pośredniego wpływu decyzji na swoje prawa lub obowiązki, </w:t>
            </w:r>
          </w:p>
          <w:p w14:paraId="0F46BF01" w14:textId="77777777" w:rsidR="00AC7333" w:rsidRPr="005F267A" w:rsidRDefault="00AC7333" w:rsidP="005F267A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- możliwość wpływu decyzji na swój szeroko rozumiany interes prywatny – przykładowo zezwolenie na wycinkę drzew w okolicy naszego domu może na nasze interesy wpłynąć zarówno pozytywnie (bo drzewa zasłaniają światło), jak i negatywnie (bo niszczy miejsce naszego odpoczynku). Jeżeli jednak decyzja wpływa na interes pracownika tylko jako konsumenta, podobnie jak na interes tysięcy czy milionów innych (np. decyzja o budowie nowego lotniska, która może wpłynąć na mój interes jedynie jako konsumenta usług lotniczych) – to ryzyko KI należy uznać za niskie (bo mój interes jest taki sam jak powszechny interes konsumencki). </w:t>
            </w:r>
          </w:p>
          <w:p w14:paraId="4D7DFEA8" w14:textId="5D7523DE" w:rsidR="003E072F" w:rsidRPr="005F267A" w:rsidRDefault="00AC7333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Kluczowe jest ujawnienie relacji mogących wywoływać KI i poddanie ich zewnętrznej ocenie. Po pierwsze – </w:t>
            </w:r>
            <w:r w:rsidR="00C04819">
              <w:rPr>
                <w:rFonts w:asciiTheme="minorHAnsi" w:hAnsiTheme="minorHAnsi"/>
                <w:sz w:val="22"/>
                <w:szCs w:val="22"/>
              </w:rPr>
              <w:t xml:space="preserve">ocenie 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doradcy ds. etyki. Po drugie – należy o sprawie pisemnie poinformować przełożonego i przedyskutować ją z nim. Błędem będzie poleganie tylko na swoim wewnętrznym odczuciu, ponieważ nie jesteśmy obiektywni w osądzaniu spraw, które nas dotyczą.  </w:t>
            </w:r>
          </w:p>
          <w:p w14:paraId="3A2EF67D" w14:textId="77777777" w:rsidR="00AC7333" w:rsidRPr="005F267A" w:rsidRDefault="00AC7333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46A501F1" w14:textId="7D092CBD" w:rsidR="00CB29FA" w:rsidRPr="005F267A" w:rsidRDefault="00CB29FA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Ćwiczenie 1 – w czterech podgrupach</w:t>
            </w:r>
          </w:p>
          <w:p w14:paraId="434852F7" w14:textId="77777777" w:rsidR="00CB29FA" w:rsidRPr="005F267A" w:rsidRDefault="00CB29FA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Praca w podgrupach, lider przedstawia odpowiedzi, ewentualnie stanowisko mniejszości, dyskusja na forum całej grupy. </w:t>
            </w:r>
          </w:p>
          <w:p w14:paraId="4FA3573D" w14:textId="77777777" w:rsidR="00CB29FA" w:rsidRPr="005F267A" w:rsidRDefault="00CB29FA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</w:p>
          <w:p w14:paraId="7C3ACE56" w14:textId="10BC1E19" w:rsidR="003E072F" w:rsidRPr="005F267A" w:rsidRDefault="00F72C10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BDB5A49" wp14:editId="5AAF10F3">
                  <wp:extent cx="4572638" cy="3429479"/>
                  <wp:effectExtent l="114300" t="114300" r="113665" b="152400"/>
                  <wp:docPr id="37" name="Obraz 37" descr="Tytuł slajdu: Konflikt interesów - ćwiczenie 1 gr. 1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4BF2000" w14:textId="4DF2C4B9" w:rsidR="00FE1014" w:rsidRPr="005F267A" w:rsidRDefault="00F50A85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8742F3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="008742F3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7D759FBB" w14:textId="589F3FC1" w:rsidR="002372B8" w:rsidRPr="005F267A" w:rsidRDefault="002372B8" w:rsidP="005F267A">
            <w:pPr>
              <w:numPr>
                <w:ilvl w:val="0"/>
                <w:numId w:val="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Jest klientem sieci telefonii komórkowej wykonawcy</w:t>
            </w:r>
            <w:r w:rsidR="00A03101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A03101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nie, jeśli na zasadach dostępnych dla </w:t>
            </w:r>
            <w:r w:rsidR="00054C56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wszystkich klientów</w:t>
            </w:r>
            <w:r w:rsidR="000C41EB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(należy zakładać, że każdy członek komisji jest prywatnie użytkownikiem jakiejś sieci</w:t>
            </w:r>
            <w:r w:rsidR="000A16D0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i nie da się wszystkich wykluczyć, poziom ryzyka jest do zaakceptowania)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47DB8CE" w14:textId="59AA2200" w:rsidR="002372B8" w:rsidRPr="005F267A" w:rsidRDefault="00F436ED" w:rsidP="005F267A">
            <w:pPr>
              <w:numPr>
                <w:ilvl w:val="0"/>
                <w:numId w:val="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bookmarkStart w:id="0" w:name="_Hlk496013485"/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Ma samochód marki, którą oferuje wykonawca</w:t>
            </w:r>
            <w:r w:rsidR="00F26F98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bookmarkEnd w:id="0"/>
            <w:r w:rsidR="002372B8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– </w:t>
            </w:r>
            <w:r w:rsidR="00262409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nie, chyba że kupił go od wykonawcy (postrzegany konflikt interesów) albo ma dokładnie ten model, który oferuje wykonawca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2372B8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062771A9" w14:textId="4FFA8AD3" w:rsidR="002372B8" w:rsidRPr="005F267A" w:rsidRDefault="002372B8" w:rsidP="005F267A">
            <w:pPr>
              <w:numPr>
                <w:ilvl w:val="0"/>
                <w:numId w:val="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Jego szwagier pracuje u wykonawcy na średnim stanowisku kierowniczym</w:t>
            </w:r>
            <w:r w:rsidR="006736FE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6736FE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na pewno postrzegany konflikt interesów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6736FE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5CE89EF8" w14:textId="4E9AD47E" w:rsidR="002372B8" w:rsidRPr="005F267A" w:rsidRDefault="002372B8" w:rsidP="005F267A">
            <w:pPr>
              <w:numPr>
                <w:ilvl w:val="0"/>
                <w:numId w:val="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Prowadził 10 lat temu wspólną kancelarię prawną z członkiem rady nadzorczej wykonawcy</w:t>
            </w:r>
            <w:r w:rsidR="006736FE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C32D81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6736FE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C32D81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na pewno postrzegany konflikt interesów, może i rzeczywisty</w:t>
            </w:r>
            <w:r w:rsidR="00D33F5B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C32D81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w zależności od obecnych relacji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C32D81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63278308" w14:textId="0798E3C0" w:rsidR="002372B8" w:rsidRPr="005F267A" w:rsidRDefault="002372B8" w:rsidP="005F267A">
            <w:pPr>
              <w:numPr>
                <w:ilvl w:val="0"/>
                <w:numId w:val="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Posiada dozwolone ilości akcji lub udziałów wykonawcy</w:t>
            </w:r>
            <w:r w:rsidR="00C32D81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C32D81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zdecydowanie tak, rzeczywisty konflikt interesów, kontrakt wpływa na wartość akcji czy udziałów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028500E" w14:textId="5327762B" w:rsidR="008742F3" w:rsidRPr="005F267A" w:rsidRDefault="008742F3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5F01794C" w14:textId="40409001" w:rsidR="003E263C" w:rsidRPr="005F267A" w:rsidRDefault="00F72C10" w:rsidP="005F267A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7E14E68" wp14:editId="048B292A">
                  <wp:extent cx="4572638" cy="3429479"/>
                  <wp:effectExtent l="114300" t="114300" r="113665" b="152400"/>
                  <wp:docPr id="39" name="Obraz 39" descr="Tytuł slajdu: Konflikt interesów - ćwiczenie 1 gr. 2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E695CEF" w14:textId="77777777" w:rsidR="00D933E0" w:rsidRPr="005F267A" w:rsidRDefault="00D933E0" w:rsidP="005F267A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0B94BE37" w14:textId="7571D9A0" w:rsidR="00D933E0" w:rsidRPr="005F267A" w:rsidRDefault="00EC5931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215D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D933E0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648D635C" w14:textId="0163758A" w:rsidR="006D4738" w:rsidRPr="005F267A" w:rsidRDefault="0053386C" w:rsidP="005F267A">
            <w:pPr>
              <w:numPr>
                <w:ilvl w:val="0"/>
                <w:numId w:val="12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Mieli tego samego promotora pracy magisterskiej</w:t>
            </w:r>
            <w:r w:rsidR="000D37F8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0D37F8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nie, zależy czy się znali osobiście, może też zależeć od tego</w:t>
            </w:r>
            <w:r w:rsidR="00D33F5B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0D37F8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kim jest obecnie promotor, czy organizuje swoich studentów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C13C596" w14:textId="226A36AF" w:rsidR="006D4738" w:rsidRPr="005F267A" w:rsidRDefault="0053386C" w:rsidP="005F267A">
            <w:pPr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Prowadzili w przeszłości wspólny projekt badawczy</w:t>
            </w:r>
            <w:r w:rsidR="00F238D2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F238D2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F238D2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D9008DA" w14:textId="34E337B1" w:rsidR="006D4738" w:rsidRPr="005F267A" w:rsidRDefault="0053386C" w:rsidP="005F267A">
            <w:pPr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Jeden świadczył usługi prawne na rzecz podmiotu, w którym zatrudniony był drugi</w:t>
            </w:r>
            <w:r w:rsidR="00F238D2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F238D2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zależy, jaka była rola drugiego, czy </w:t>
            </w:r>
            <w:r w:rsidR="00C47AAA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uczestniczył w zamawianiu lub odbiorze usług prawnych, czy zupełnie nie miał z tym nic wspólnego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9B04253" w14:textId="0A0BC534" w:rsidR="006D4738" w:rsidRPr="005F267A" w:rsidRDefault="0053386C" w:rsidP="005F267A">
            <w:pPr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Są </w:t>
            </w:r>
            <w:r w:rsidR="00D33F5B" w:rsidRPr="005F267A">
              <w:rPr>
                <w:rFonts w:asciiTheme="minorHAnsi" w:hAnsiTheme="minorHAnsi"/>
                <w:i/>
                <w:sz w:val="22"/>
                <w:szCs w:val="22"/>
                <w:lang w:eastAsia="pl-PL"/>
              </w:rPr>
              <w:t xml:space="preserve">pro </w:t>
            </w:r>
            <w:r w:rsidRPr="005F267A">
              <w:rPr>
                <w:rFonts w:asciiTheme="minorHAnsi" w:hAnsiTheme="minorHAnsi"/>
                <w:i/>
                <w:sz w:val="22"/>
                <w:szCs w:val="22"/>
                <w:lang w:eastAsia="pl-PL"/>
              </w:rPr>
              <w:t>bono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członkami zarządu klubu sportowego</w:t>
            </w:r>
            <w:r w:rsidR="00C47AAA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C47AAA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tak, relacja osobista, chociaż </w:t>
            </w:r>
            <w:r w:rsidR="009434CA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zapewne </w:t>
            </w:r>
            <w:r w:rsidR="00C47AAA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niekomercyjna</w:t>
            </w:r>
            <w:r w:rsidR="00D33F5B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9ED4DA8" w14:textId="5A621EED" w:rsidR="006D4738" w:rsidRPr="005F267A" w:rsidRDefault="0053386C" w:rsidP="005F267A">
            <w:pPr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Aktywnie dyskutują między sobą na temat prawa zamówień publicznych w sieciach społecznościowych</w:t>
            </w:r>
            <w:r w:rsidR="009434CA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9434CA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relacja osobista, zawodowa, nawet jeżeli wirtualna</w:t>
            </w:r>
            <w:r w:rsidR="009434CA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622C4028" w14:textId="77777777" w:rsidR="009434CA" w:rsidRPr="005F267A" w:rsidRDefault="009434CA" w:rsidP="005F267A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486A7497" w14:textId="271B8C9A" w:rsidR="00CB29FA" w:rsidRPr="005F267A" w:rsidRDefault="00F72C10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6EDC7E9" wp14:editId="05AC115A">
                  <wp:extent cx="4572638" cy="3429479"/>
                  <wp:effectExtent l="114300" t="114300" r="113665" b="152400"/>
                  <wp:docPr id="41" name="Obraz 41" descr="Tytuł slajdu: Konflikt interesów - ćwiczenie 1 gr. 3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D38EC55" w14:textId="2BB6C8F6" w:rsidR="009F4F81" w:rsidRPr="005F267A" w:rsidRDefault="00EC5931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215D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9F4F81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4BCF45E8" w14:textId="77777777" w:rsidR="009F4F81" w:rsidRPr="005F267A" w:rsidRDefault="009F4F81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Decyzja dotyczy budowy fabryki po drugiej stronie ulicy, w stosunku do jego mieszkania – 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może mieć wpływ na interes prywatny, np. na pogorszenie otoczenia, spadek wartości mieszkania itp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69B9A4A1" w14:textId="77777777" w:rsidR="009F4F81" w:rsidRPr="005F267A" w:rsidRDefault="009F4F81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Decyzja dotyczy budowy autostrady, która nie przebiega w okolicy jego miejsca zamieszkania, ale zapewne znacząco skróci czas jego dojazdu do pracy – 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nie, bo w tym wypadku interes prywatny pokrywa się z ogólnym interesem konsumenckim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1ED9C0B" w14:textId="77777777" w:rsidR="009F4F81" w:rsidRPr="005F267A" w:rsidRDefault="009F4F81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Decyzja dotyczy budowy stacji bazowej telefonii komórkowej 100 m od jego mieszkania – 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jeżeli uznamy, że zasięg potencjalnego oddziaływania stacji przekracza 100 m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63880685" w14:textId="77777777" w:rsidR="009F4F81" w:rsidRPr="005F267A" w:rsidRDefault="009F4F81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Decyzja ma wpływ na rozbudowę sieci telefonii komórkowej, z której prywatnie korzysta – 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nie, usługi telefonii komórkowej stały się na tyle powszechne, że korzystają z nich praktycznie wszyscy, każdy urzędnik ma telefon przynajmniej w jednej z sieci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526C49A2" w14:textId="77777777" w:rsidR="00CB29FA" w:rsidRPr="005F267A" w:rsidRDefault="00CB29FA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5573E61E" w14:textId="466C9BE5" w:rsidR="00CB29FA" w:rsidRPr="005F267A" w:rsidRDefault="00F72C10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bookmarkStart w:id="1" w:name="_GoBack"/>
            <w:r w:rsidRPr="00F72C10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FA58964" wp14:editId="50415F3F">
                  <wp:extent cx="4572638" cy="3429479"/>
                  <wp:effectExtent l="114300" t="114300" r="113665" b="152400"/>
                  <wp:docPr id="42" name="Obraz 42" descr="Tytuł slajdu: Konflikt interesów - ćwiczenie 1 gr. 4" title="Zrzut ekranu prezentacji: Konflikt interesów w zamówieniach publicznych i przy wydawaniu decyzji w sprawach indywidual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11E470B7" w14:textId="1E484655" w:rsidR="009F4F81" w:rsidRPr="005F267A" w:rsidRDefault="00EC5931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215D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9F4F81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03C4DE7F" w14:textId="25AF7C52" w:rsidR="009F4F81" w:rsidRPr="005F267A" w:rsidRDefault="009F4F81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Kupił w bieżącym roku samochód u dealera, który złożył wniosek o wydanie decyzji – 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nie, jeżeli była to standardowa oferta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2986296" w14:textId="77777777" w:rsidR="009F4F81" w:rsidRPr="005F267A" w:rsidRDefault="009F4F81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Prowadzi ze stroną (osobą prawną) korespondencję, dotyczącą uznania jego reklamacji jako konsumenta – </w:t>
            </w:r>
            <w:r w:rsidRPr="00A229C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jest w sporze konsumenckim ze stroną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87E7CF1" w14:textId="3FA0354F" w:rsidR="009F4F81" w:rsidRPr="005F267A" w:rsidRDefault="009F4F81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Niedawno w sieci społecznościowej opisał w superlatywach nowy produkt wytwarzany przez stronę – 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nie, ale trzeba przeanalizować ryzyko postrzeganego konfliktu interesów, bezpieczniej jest wyłączyć</w:t>
            </w:r>
            <w:r w:rsidR="00C4407C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się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przy decyzjach „wrażliwych społecznie” bądź mających jakikolwiek związek z chwalonym produktem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650BEAB7" w14:textId="2325D58E" w:rsidR="00CB29FA" w:rsidRPr="005F267A" w:rsidRDefault="009F4F81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Stroną jest bank, w którym posiada konto – </w:t>
            </w:r>
            <w:r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to silna relacja konsumencka</w:t>
            </w: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D7E7948" w14:textId="21030B0E" w:rsidR="009F4F81" w:rsidRPr="005F267A" w:rsidRDefault="00692AD4" w:rsidP="005F267A">
            <w:pPr>
              <w:numPr>
                <w:ilvl w:val="0"/>
                <w:numId w:val="17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Strona (bank) udzielił mu kiedyś kredytu, który już spłacił, obecnie nie ma kont</w:t>
            </w:r>
            <w:r w:rsidR="009F4F81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a w tym banku ani relacji z nim – </w:t>
            </w:r>
            <w:r w:rsidR="009F4F81" w:rsidRPr="002257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nie, była relacja konsumencka, ale już wygasła, chyba że spłata kredytu i relacje z bankiem nie przebiegały bezkonfliktowo (możliwość zemsty)</w:t>
            </w:r>
            <w:r w:rsidR="009F4F81" w:rsidRPr="005F267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DC18F62" w14:textId="136356F7" w:rsidR="00CB29FA" w:rsidRPr="005F267A" w:rsidRDefault="00CB29FA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8E4FCF" w:rsidRPr="0024181E" w14:paraId="0EBC854E" w14:textId="77777777" w:rsidTr="001707E6">
        <w:trPr>
          <w:trHeight w:val="1914"/>
        </w:trPr>
        <w:tc>
          <w:tcPr>
            <w:tcW w:w="2082" w:type="dxa"/>
            <w:shd w:val="clear" w:color="auto" w:fill="D9D9D9"/>
          </w:tcPr>
          <w:p w14:paraId="6789AA33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F267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  <w:p w14:paraId="275349E2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3D6CB730" w14:textId="68DEE40F" w:rsidR="003E072F" w:rsidRPr="005F267A" w:rsidRDefault="003E072F" w:rsidP="005F267A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F267A">
              <w:rPr>
                <w:rFonts w:asciiTheme="minorHAnsi" w:hAnsiTheme="minorHAnsi"/>
                <w:sz w:val="22"/>
                <w:szCs w:val="22"/>
              </w:rPr>
              <w:t xml:space="preserve">Ze względu na interaktywną formę wykładu uczestnikom przed spotkaniem należy rozdać jedynie materiały dodatkowe, natomiast wydruk prezentacji należy im przekazać </w:t>
            </w:r>
            <w:r w:rsidR="00AC6718" w:rsidRPr="005F267A">
              <w:rPr>
                <w:rFonts w:asciiTheme="minorHAnsi" w:hAnsiTheme="minorHAnsi"/>
                <w:sz w:val="22"/>
                <w:szCs w:val="22"/>
                <w:u w:val="single"/>
              </w:rPr>
              <w:t>po</w:t>
            </w:r>
            <w:r w:rsidRPr="005F267A">
              <w:rPr>
                <w:rFonts w:asciiTheme="minorHAnsi" w:hAnsiTheme="minorHAnsi"/>
                <w:sz w:val="22"/>
                <w:szCs w:val="22"/>
                <w:u w:val="single"/>
              </w:rPr>
              <w:t xml:space="preserve"> części wykładowej</w:t>
            </w:r>
            <w:r w:rsidRPr="005F267A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  <w:tr w:rsidR="001707E6" w:rsidRPr="0024181E" w14:paraId="16BADD1A" w14:textId="77777777" w:rsidTr="001707E6">
        <w:trPr>
          <w:trHeight w:val="1914"/>
        </w:trPr>
        <w:tc>
          <w:tcPr>
            <w:tcW w:w="2082" w:type="dxa"/>
            <w:shd w:val="clear" w:color="auto" w:fill="D9D9D9"/>
          </w:tcPr>
          <w:p w14:paraId="71B555B9" w14:textId="7D37E3D8" w:rsidR="001707E6" w:rsidRPr="005F267A" w:rsidRDefault="001707E6" w:rsidP="001707E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Wybrane przepisy prawne</w:t>
            </w:r>
          </w:p>
        </w:tc>
        <w:tc>
          <w:tcPr>
            <w:tcW w:w="7416" w:type="dxa"/>
          </w:tcPr>
          <w:p w14:paraId="173E0F1A" w14:textId="77777777" w:rsidR="00B55EB6" w:rsidRDefault="00B55EB6" w:rsidP="00B55EB6">
            <w:pPr>
              <w:spacing w:after="120"/>
              <w:jc w:val="both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b/>
                <w:sz w:val="22"/>
                <w:szCs w:val="22"/>
                <w:lang w:eastAsia="pl-PL"/>
              </w:rPr>
              <w:t>Prawo zamówień publicznych</w:t>
            </w:r>
          </w:p>
          <w:p w14:paraId="42D616B6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b/>
                <w:sz w:val="22"/>
              </w:rPr>
              <w:t>Art. 56.</w:t>
            </w:r>
            <w:r w:rsidRPr="00524874">
              <w:rPr>
                <w:sz w:val="22"/>
              </w:rPr>
              <w:t xml:space="preserve"> 1. Kierownik zamawiającego,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czynności, jeżeli po ich stronie występuje konflikt interesów.</w:t>
            </w:r>
          </w:p>
          <w:p w14:paraId="2A321BC9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2. Konflikt interesów występuje wówczas, gdy osoby wymienione w ust. 1: </w:t>
            </w:r>
          </w:p>
          <w:p w14:paraId="5F60B56D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1) ubiegają się o udzielenie tego zamówienia; </w:t>
            </w:r>
          </w:p>
          <w:p w14:paraId="1C1CF469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2) pozostają w związku małżeńskim, w stosunku pokrewieństwa lub powinowactwa w linii prostej, pokrewieństwa lub powinowactwa w linii bocznej do drugiego stopnia, lub są związane z tytułu przysposobienia, opieki lub kurateli albo pozostają we wspólnym pożyciu z wykonawcą, jego zastępcą prawnym lub członkami organów zarządzających lub organów nadzorczych wykonawców ubiegających się o udzielenie zamówienia; </w:t>
            </w:r>
          </w:p>
          <w:p w14:paraId="1DD92382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3) w okresie 3 lat przed wszczęciem postępowania o udzielenie zamówienia pozostawały w stosunku pracy lub zlecenia z wykonawcą, otrzymywały od wykonawcy wynagrodzenie z innego tytułu lub były członkami organów zarządzających lub organów nadzorczych wykonawców ubiegających się o udzielenie zamówienia; </w:t>
            </w:r>
          </w:p>
          <w:p w14:paraId="2E33F105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4) 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postępowania. </w:t>
            </w:r>
          </w:p>
          <w:p w14:paraId="19B20889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3. Kierownik zamawiającego,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czynności, jeżeli zostały prawomocnie skazane za przestępstwo popełnione w związku z postępowaniem o udzielenie zamówienia, o którym mowa w art. 228–230a, art. 270, art. 276, art. 286, art. 287, art. 296, art. 296a, art. 297, art. 303 lub art. 305 ustawy z dnia 6 czerwca 1997 r. – Kodeks karny (Dz. U. z 2020 r. poz. 1444 i 1517), zwanej dalej „Kodeksem karnym”, o ile nie nastąpiło zatarcie skazania. </w:t>
            </w:r>
          </w:p>
          <w:p w14:paraId="5DFE40B1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4. Osoby, o których mowa w ust. 1 i 3, składają, pod rygorem odpowiedzialności karnej za złożenie fałszywego oświadczenia, oświadczenie w formie pisemnej o istnieniu albo braku istnienia okoliczności, o których mowa odpowiednio w ust. 2 lub 3. Przed odebraniem oświadczenia, kierownik zamawiającego lub osoba, której powierzył czynności w postępowaniu, uprzedza osoby składające oświadczenie o odpowiedzialności karnej za złożenie fałszywego oświadczenia. </w:t>
            </w:r>
          </w:p>
          <w:p w14:paraId="7E04A6BB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5. Oświadczenie o istnieniu okoliczności, o których mowa w ust. 2, składa się niezwłocznie po powzięciu wiadomości o ich istnieniu, a oświadczenie o braku istnienia tych okoliczności nie później niż przed zakończeniem postępowania o udzielenie zamówienia. </w:t>
            </w:r>
          </w:p>
          <w:p w14:paraId="137D4B5F" w14:textId="77777777" w:rsidR="00B55EB6" w:rsidRPr="00524874" w:rsidRDefault="00B55EB6" w:rsidP="00B55EB6">
            <w:pPr>
              <w:spacing w:before="120" w:after="120"/>
              <w:rPr>
                <w:sz w:val="22"/>
              </w:rPr>
            </w:pPr>
            <w:r w:rsidRPr="00524874">
              <w:rPr>
                <w:sz w:val="22"/>
              </w:rPr>
              <w:t xml:space="preserve">6. Oświadczenie o braku lub istnieniu okoliczności, o których mowa w ust. 3, składa się przed rozpoczęciem wykonywania czynności związanych z przeprowadzeniem postępowania o udzielenie zamówienia. </w:t>
            </w:r>
          </w:p>
          <w:p w14:paraId="48C143AB" w14:textId="77777777" w:rsidR="00B55EB6" w:rsidRPr="00524874" w:rsidRDefault="00B55EB6" w:rsidP="00B55EB6">
            <w:pPr>
              <w:spacing w:before="120" w:after="120"/>
              <w:rPr>
                <w:rFonts w:eastAsia="Times New Roman"/>
                <w:sz w:val="20"/>
                <w:szCs w:val="22"/>
                <w:lang w:eastAsia="pl-PL"/>
              </w:rPr>
            </w:pPr>
            <w:r w:rsidRPr="00524874">
              <w:rPr>
                <w:sz w:val="22"/>
              </w:rPr>
              <w:t>7. Czynności w postępowaniu o udzielenie zamówienia podjęte przez osobę podlegającą wyłączeniu powtarza się, z wyjątkiem otwarcia ofert oraz innych czynności faktycznych niewpływających na wynik postępowania.</w:t>
            </w:r>
          </w:p>
          <w:p w14:paraId="3951D6E9" w14:textId="77777777" w:rsidR="001707E6" w:rsidRPr="00151E1F" w:rsidRDefault="001707E6" w:rsidP="001707E6">
            <w:p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13AE7E5E" w14:textId="77777777" w:rsidR="001707E6" w:rsidRPr="00151E1F" w:rsidRDefault="001707E6" w:rsidP="001707E6">
            <w:pPr>
              <w:spacing w:after="120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b/>
                <w:sz w:val="22"/>
                <w:szCs w:val="22"/>
                <w:lang w:eastAsia="pl-PL"/>
              </w:rPr>
              <w:t>Kodeks karny</w:t>
            </w:r>
          </w:p>
          <w:p w14:paraId="283287D5" w14:textId="77777777" w:rsidR="001707E6" w:rsidRPr="00151E1F" w:rsidRDefault="001707E6" w:rsidP="001707E6">
            <w:p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Art. 233. </w:t>
            </w: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§ 1. Kto, składając zeznanie mające służyć za dowód w postępowaniu sądowym lub w innym postępowaniu prowadzonym na podstawie ustawy, zeznaje nieprawdę lub zataja prawdę,</w:t>
            </w:r>
          </w:p>
          <w:p w14:paraId="3591CC3F" w14:textId="77777777" w:rsidR="001707E6" w:rsidRPr="00151E1F" w:rsidRDefault="001707E6" w:rsidP="001707E6">
            <w:pPr>
              <w:spacing w:after="120"/>
              <w:ind w:firstLine="708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podlega karze pozbawienia wolności od 6 miesięcy do lat 8.</w:t>
            </w:r>
          </w:p>
          <w:p w14:paraId="35556CDF" w14:textId="77777777" w:rsidR="001707E6" w:rsidRPr="00151E1F" w:rsidRDefault="001707E6" w:rsidP="001707E6">
            <w:p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§ 1a. Jeżeli sprawca czynu określonego w § 1 zeznaje nieprawdę lub zataja prawdę z obawy przed odpowiedzialnością karną grożącą jemu samemu lub jego najbliższym,</w:t>
            </w:r>
          </w:p>
          <w:p w14:paraId="293E74A4" w14:textId="77777777" w:rsidR="001707E6" w:rsidRPr="00151E1F" w:rsidRDefault="001707E6" w:rsidP="001707E6">
            <w:pPr>
              <w:spacing w:after="120"/>
              <w:ind w:firstLine="708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podlega karze pozbawienia wolności od 3 miesięcy do lat 5.</w:t>
            </w:r>
          </w:p>
          <w:p w14:paraId="5C0D71F2" w14:textId="77777777" w:rsidR="001707E6" w:rsidRPr="00151E1F" w:rsidRDefault="001707E6" w:rsidP="001707E6">
            <w:p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§ 2. Warunkiem odpowiedzialności jest, aby przyjmujący zeznanie, działając w zakresie swoich uprawnień, uprzedził zeznającego o odpowiedzialności karnej za fałszywe zeznanie lub odebrał od niego przyrzeczenie.</w:t>
            </w:r>
          </w:p>
          <w:p w14:paraId="0AD93DDD" w14:textId="77777777" w:rsidR="001707E6" w:rsidRPr="00151E1F" w:rsidRDefault="001707E6" w:rsidP="001707E6">
            <w:p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§ 3. Nie podlega karze za czyn określony w § 1a, kto składa fałszywe zeznanie, nie wiedząc o prawie odmowy zeznania lub odpowiedzi na pytania.</w:t>
            </w:r>
          </w:p>
          <w:p w14:paraId="4B26FECF" w14:textId="77777777" w:rsidR="001707E6" w:rsidRPr="00151E1F" w:rsidRDefault="001707E6" w:rsidP="001707E6">
            <w:p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§ 5. Sąd może zastosować nadzwyczajne złagodzenie kary, a nawet odstąpić od jej wymierzenia, jeżeli:</w:t>
            </w:r>
          </w:p>
          <w:p w14:paraId="320A1587" w14:textId="77777777" w:rsidR="001707E6" w:rsidRPr="00151E1F" w:rsidRDefault="001707E6" w:rsidP="001707E6">
            <w:pPr>
              <w:spacing w:after="120"/>
              <w:ind w:firstLine="708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1) fałszywe zeznanie, opinia, ekspertyza lub tłumaczenie dotyczy okoliczności niemogących mieć wpływu na rozstrzygnięcie sprawy,</w:t>
            </w:r>
          </w:p>
          <w:p w14:paraId="47E8BD13" w14:textId="77777777" w:rsidR="001707E6" w:rsidRPr="00151E1F" w:rsidRDefault="001707E6" w:rsidP="001707E6">
            <w:pPr>
              <w:spacing w:after="120"/>
              <w:ind w:firstLine="708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2) sprawca dobrowolnie sprostuje fałszywe zeznanie, opinię, ekspertyzę lub tłumaczenie, zanim nastąpi, chociażby nieprawomocne, rozstrzygnięcie sprawy.</w:t>
            </w:r>
          </w:p>
          <w:p w14:paraId="46AA645C" w14:textId="77777777" w:rsidR="001707E6" w:rsidRPr="00151E1F" w:rsidRDefault="001707E6" w:rsidP="001707E6">
            <w:p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 w:rsidRPr="00151E1F">
              <w:rPr>
                <w:rFonts w:eastAsia="Times New Roman"/>
                <w:sz w:val="22"/>
                <w:szCs w:val="22"/>
                <w:lang w:eastAsia="pl-PL"/>
              </w:rPr>
              <w:t xml:space="preserve">§ 6. </w:t>
            </w:r>
            <w:r w:rsidRPr="00151E1F">
              <w:rPr>
                <w:rFonts w:eastAsia="Times New Roman"/>
                <w:sz w:val="22"/>
                <w:szCs w:val="22"/>
                <w:u w:val="single"/>
                <w:lang w:eastAsia="pl-PL"/>
              </w:rPr>
              <w:t>Przepisy § 1–3 oraz 5 stosuje się odpowiednio do osoby, która składa fałszywe oświadczenie, jeżeli przepis ustawy przewiduje możliwość odebrania oświadczenia pod rygorem odpowiedzialności karnej</w:t>
            </w:r>
            <w:r w:rsidRPr="00151E1F">
              <w:rPr>
                <w:rFonts w:eastAsia="Times New Roman"/>
                <w:sz w:val="22"/>
                <w:szCs w:val="22"/>
                <w:lang w:eastAsia="pl-PL"/>
              </w:rPr>
              <w:t>.</w:t>
            </w:r>
          </w:p>
          <w:p w14:paraId="54A69BFB" w14:textId="77777777" w:rsidR="001707E6" w:rsidRPr="005F267A" w:rsidRDefault="001707E6" w:rsidP="001707E6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C352B3A" w14:textId="77777777" w:rsidR="003E072F" w:rsidRPr="005F267A" w:rsidRDefault="003E072F" w:rsidP="005F267A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5F267A" w:rsidSect="00730C07">
      <w:footerReference w:type="even" r:id="rId30"/>
      <w:footerReference w:type="default" r:id="rId31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62C30" w14:textId="77777777" w:rsidR="00B27DD7" w:rsidRDefault="00B27DD7" w:rsidP="00C15B87">
      <w:r>
        <w:separator/>
      </w:r>
    </w:p>
  </w:endnote>
  <w:endnote w:type="continuationSeparator" w:id="0">
    <w:p w14:paraId="6AE29E23" w14:textId="77777777" w:rsidR="00B27DD7" w:rsidRDefault="00B27DD7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2372B8" w:rsidRDefault="002372B8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2372B8" w:rsidRDefault="002372B8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20141456" w:rsidR="002372B8" w:rsidRPr="00AE4C92" w:rsidRDefault="002372B8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E2567B">
      <w:rPr>
        <w:noProof/>
        <w:color w:val="4472C4"/>
      </w:rPr>
      <w:t>18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E2567B">
      <w:rPr>
        <w:noProof/>
        <w:color w:val="4472C4"/>
      </w:rPr>
      <w:t>18</w:t>
    </w:r>
    <w:r w:rsidRPr="00AE4C92">
      <w:rPr>
        <w:color w:val="4472C4"/>
      </w:rPr>
      <w:fldChar w:fldCharType="end"/>
    </w:r>
  </w:p>
  <w:p w14:paraId="54444048" w14:textId="77777777" w:rsidR="002372B8" w:rsidRDefault="002372B8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B5DF2" w14:textId="77777777" w:rsidR="00B27DD7" w:rsidRDefault="00B27DD7" w:rsidP="00C15B87">
      <w:r>
        <w:separator/>
      </w:r>
    </w:p>
  </w:footnote>
  <w:footnote w:type="continuationSeparator" w:id="0">
    <w:p w14:paraId="5AB9B041" w14:textId="77777777" w:rsidR="00B27DD7" w:rsidRDefault="00B27DD7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507D5A"/>
    <w:multiLevelType w:val="hybridMultilevel"/>
    <w:tmpl w:val="79704938"/>
    <w:lvl w:ilvl="0" w:tplc="74A20F3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A41D3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206C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ADBF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D636C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0C961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C207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B21D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6A3F3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464852"/>
    <w:multiLevelType w:val="hybridMultilevel"/>
    <w:tmpl w:val="907E9E1C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04C0D"/>
    <w:multiLevelType w:val="hybridMultilevel"/>
    <w:tmpl w:val="8F18047C"/>
    <w:lvl w:ilvl="0" w:tplc="7E9481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831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C0E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A0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AAEE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AC3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FC67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3AB6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8021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F02FC"/>
    <w:multiLevelType w:val="hybridMultilevel"/>
    <w:tmpl w:val="4A46B2B4"/>
    <w:lvl w:ilvl="0" w:tplc="4D74D2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FA80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87C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D402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887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CC31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96E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CE3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5423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C2251D"/>
    <w:multiLevelType w:val="hybridMultilevel"/>
    <w:tmpl w:val="2ADA7762"/>
    <w:lvl w:ilvl="0" w:tplc="4EE035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C61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237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E4D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CD5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4CE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1B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466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40B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37"/>
    <w:rsid w:val="00001249"/>
    <w:rsid w:val="00004679"/>
    <w:rsid w:val="000061B0"/>
    <w:rsid w:val="00024815"/>
    <w:rsid w:val="00030881"/>
    <w:rsid w:val="000364E8"/>
    <w:rsid w:val="00041424"/>
    <w:rsid w:val="00054C56"/>
    <w:rsid w:val="000625E3"/>
    <w:rsid w:val="00062650"/>
    <w:rsid w:val="00066724"/>
    <w:rsid w:val="000737A0"/>
    <w:rsid w:val="00074082"/>
    <w:rsid w:val="00075AF1"/>
    <w:rsid w:val="00082A67"/>
    <w:rsid w:val="000918E7"/>
    <w:rsid w:val="00092045"/>
    <w:rsid w:val="0009786B"/>
    <w:rsid w:val="000A067A"/>
    <w:rsid w:val="000A16D0"/>
    <w:rsid w:val="000B0066"/>
    <w:rsid w:val="000B0E9E"/>
    <w:rsid w:val="000C037B"/>
    <w:rsid w:val="000C41EB"/>
    <w:rsid w:val="000C6B6F"/>
    <w:rsid w:val="000D03D9"/>
    <w:rsid w:val="000D37F8"/>
    <w:rsid w:val="000D409E"/>
    <w:rsid w:val="000D7538"/>
    <w:rsid w:val="000E70A6"/>
    <w:rsid w:val="000E74F3"/>
    <w:rsid w:val="000F7E1E"/>
    <w:rsid w:val="00100D1B"/>
    <w:rsid w:val="00107767"/>
    <w:rsid w:val="00120C13"/>
    <w:rsid w:val="0012194C"/>
    <w:rsid w:val="0013088B"/>
    <w:rsid w:val="00130CA5"/>
    <w:rsid w:val="00140E0C"/>
    <w:rsid w:val="00142BBF"/>
    <w:rsid w:val="0014381B"/>
    <w:rsid w:val="00147F7A"/>
    <w:rsid w:val="00154162"/>
    <w:rsid w:val="00155E6D"/>
    <w:rsid w:val="001707E6"/>
    <w:rsid w:val="001848DF"/>
    <w:rsid w:val="0018624D"/>
    <w:rsid w:val="00197536"/>
    <w:rsid w:val="001A194B"/>
    <w:rsid w:val="001A311B"/>
    <w:rsid w:val="001A35DB"/>
    <w:rsid w:val="001B1CF2"/>
    <w:rsid w:val="001B4F33"/>
    <w:rsid w:val="001B58F7"/>
    <w:rsid w:val="001D1CFD"/>
    <w:rsid w:val="001E2C36"/>
    <w:rsid w:val="001E394C"/>
    <w:rsid w:val="001F0835"/>
    <w:rsid w:val="001F1087"/>
    <w:rsid w:val="001F4059"/>
    <w:rsid w:val="00200484"/>
    <w:rsid w:val="00203C3E"/>
    <w:rsid w:val="00203F8E"/>
    <w:rsid w:val="0020466C"/>
    <w:rsid w:val="00206AB3"/>
    <w:rsid w:val="00207FF1"/>
    <w:rsid w:val="002257F3"/>
    <w:rsid w:val="002262CB"/>
    <w:rsid w:val="002323E7"/>
    <w:rsid w:val="00232BFA"/>
    <w:rsid w:val="00235C51"/>
    <w:rsid w:val="002372B8"/>
    <w:rsid w:val="00237FB3"/>
    <w:rsid w:val="0024181E"/>
    <w:rsid w:val="00243726"/>
    <w:rsid w:val="00262409"/>
    <w:rsid w:val="0026703E"/>
    <w:rsid w:val="00267959"/>
    <w:rsid w:val="0027525B"/>
    <w:rsid w:val="00276C17"/>
    <w:rsid w:val="0028225C"/>
    <w:rsid w:val="002853D3"/>
    <w:rsid w:val="00286D2D"/>
    <w:rsid w:val="0028761A"/>
    <w:rsid w:val="00297625"/>
    <w:rsid w:val="002B112A"/>
    <w:rsid w:val="002B204A"/>
    <w:rsid w:val="002B2D70"/>
    <w:rsid w:val="002B68A6"/>
    <w:rsid w:val="002C04E0"/>
    <w:rsid w:val="002C521C"/>
    <w:rsid w:val="002C7730"/>
    <w:rsid w:val="002D03E7"/>
    <w:rsid w:val="002D38CA"/>
    <w:rsid w:val="002D3F03"/>
    <w:rsid w:val="002E0B39"/>
    <w:rsid w:val="002E0DCA"/>
    <w:rsid w:val="002E1B4C"/>
    <w:rsid w:val="002E54C2"/>
    <w:rsid w:val="002F2521"/>
    <w:rsid w:val="002F668D"/>
    <w:rsid w:val="0030036E"/>
    <w:rsid w:val="003016B3"/>
    <w:rsid w:val="003018AA"/>
    <w:rsid w:val="003051F0"/>
    <w:rsid w:val="00320E5D"/>
    <w:rsid w:val="00322399"/>
    <w:rsid w:val="003238F8"/>
    <w:rsid w:val="00331CEB"/>
    <w:rsid w:val="00335497"/>
    <w:rsid w:val="003373E4"/>
    <w:rsid w:val="00340BB9"/>
    <w:rsid w:val="00342C88"/>
    <w:rsid w:val="003436D9"/>
    <w:rsid w:val="00344BD5"/>
    <w:rsid w:val="00345032"/>
    <w:rsid w:val="00346C40"/>
    <w:rsid w:val="00360CB4"/>
    <w:rsid w:val="00365586"/>
    <w:rsid w:val="00375D37"/>
    <w:rsid w:val="00381022"/>
    <w:rsid w:val="003814DC"/>
    <w:rsid w:val="003860A9"/>
    <w:rsid w:val="0039071F"/>
    <w:rsid w:val="003A11B8"/>
    <w:rsid w:val="003A2E50"/>
    <w:rsid w:val="003A3F9C"/>
    <w:rsid w:val="003A499C"/>
    <w:rsid w:val="003B280E"/>
    <w:rsid w:val="003B5136"/>
    <w:rsid w:val="003B7650"/>
    <w:rsid w:val="003C054B"/>
    <w:rsid w:val="003C1023"/>
    <w:rsid w:val="003C1E79"/>
    <w:rsid w:val="003C36A2"/>
    <w:rsid w:val="003C7856"/>
    <w:rsid w:val="003D4E2D"/>
    <w:rsid w:val="003D5A98"/>
    <w:rsid w:val="003D6214"/>
    <w:rsid w:val="003E072F"/>
    <w:rsid w:val="003E0CDF"/>
    <w:rsid w:val="003E1F4D"/>
    <w:rsid w:val="003E263C"/>
    <w:rsid w:val="003E37A9"/>
    <w:rsid w:val="003E400C"/>
    <w:rsid w:val="003E60DF"/>
    <w:rsid w:val="004018A8"/>
    <w:rsid w:val="004110A7"/>
    <w:rsid w:val="0041197A"/>
    <w:rsid w:val="00421ACE"/>
    <w:rsid w:val="00432EBC"/>
    <w:rsid w:val="004349DD"/>
    <w:rsid w:val="00435C6B"/>
    <w:rsid w:val="00436C65"/>
    <w:rsid w:val="00446210"/>
    <w:rsid w:val="00460C49"/>
    <w:rsid w:val="00462E7E"/>
    <w:rsid w:val="00470157"/>
    <w:rsid w:val="00480C50"/>
    <w:rsid w:val="004863A5"/>
    <w:rsid w:val="004912E3"/>
    <w:rsid w:val="00494704"/>
    <w:rsid w:val="004A6F75"/>
    <w:rsid w:val="004A7B0A"/>
    <w:rsid w:val="004A7B7A"/>
    <w:rsid w:val="004C08E6"/>
    <w:rsid w:val="004C19B6"/>
    <w:rsid w:val="004C3521"/>
    <w:rsid w:val="004C3C24"/>
    <w:rsid w:val="004C3E20"/>
    <w:rsid w:val="004C4ADC"/>
    <w:rsid w:val="004D0EA6"/>
    <w:rsid w:val="004D5D0A"/>
    <w:rsid w:val="004E69DA"/>
    <w:rsid w:val="004F17DB"/>
    <w:rsid w:val="004F3F51"/>
    <w:rsid w:val="004F4EE9"/>
    <w:rsid w:val="004F515E"/>
    <w:rsid w:val="00500F46"/>
    <w:rsid w:val="00502B0C"/>
    <w:rsid w:val="00503ADA"/>
    <w:rsid w:val="00504C62"/>
    <w:rsid w:val="005065C8"/>
    <w:rsid w:val="00507581"/>
    <w:rsid w:val="00507862"/>
    <w:rsid w:val="0050793D"/>
    <w:rsid w:val="00510F8D"/>
    <w:rsid w:val="00511E19"/>
    <w:rsid w:val="00512A2B"/>
    <w:rsid w:val="00524A6E"/>
    <w:rsid w:val="00524D09"/>
    <w:rsid w:val="0053386C"/>
    <w:rsid w:val="00545CF6"/>
    <w:rsid w:val="00546D23"/>
    <w:rsid w:val="00553339"/>
    <w:rsid w:val="0055365D"/>
    <w:rsid w:val="00556474"/>
    <w:rsid w:val="0056064A"/>
    <w:rsid w:val="005616A4"/>
    <w:rsid w:val="00564885"/>
    <w:rsid w:val="00565C0E"/>
    <w:rsid w:val="00565F7D"/>
    <w:rsid w:val="005737DC"/>
    <w:rsid w:val="00574A72"/>
    <w:rsid w:val="00574E38"/>
    <w:rsid w:val="00575301"/>
    <w:rsid w:val="00575FA2"/>
    <w:rsid w:val="00581775"/>
    <w:rsid w:val="00583322"/>
    <w:rsid w:val="0058597F"/>
    <w:rsid w:val="00585B2D"/>
    <w:rsid w:val="00593887"/>
    <w:rsid w:val="00595607"/>
    <w:rsid w:val="005B3308"/>
    <w:rsid w:val="005C15B1"/>
    <w:rsid w:val="005D3F1B"/>
    <w:rsid w:val="005D4FF5"/>
    <w:rsid w:val="005E0B55"/>
    <w:rsid w:val="005E2959"/>
    <w:rsid w:val="005F267A"/>
    <w:rsid w:val="005F331D"/>
    <w:rsid w:val="00602030"/>
    <w:rsid w:val="006061D6"/>
    <w:rsid w:val="00607986"/>
    <w:rsid w:val="006171C6"/>
    <w:rsid w:val="00621549"/>
    <w:rsid w:val="00622B5D"/>
    <w:rsid w:val="00622CD0"/>
    <w:rsid w:val="0062460A"/>
    <w:rsid w:val="00630642"/>
    <w:rsid w:val="00640A77"/>
    <w:rsid w:val="006410A9"/>
    <w:rsid w:val="00643295"/>
    <w:rsid w:val="00650968"/>
    <w:rsid w:val="006515ED"/>
    <w:rsid w:val="006543FC"/>
    <w:rsid w:val="006555CA"/>
    <w:rsid w:val="006555FF"/>
    <w:rsid w:val="00657BFB"/>
    <w:rsid w:val="00657E45"/>
    <w:rsid w:val="00660F61"/>
    <w:rsid w:val="00662EA9"/>
    <w:rsid w:val="00663F91"/>
    <w:rsid w:val="00664091"/>
    <w:rsid w:val="0066481A"/>
    <w:rsid w:val="00667592"/>
    <w:rsid w:val="0067150A"/>
    <w:rsid w:val="006736FE"/>
    <w:rsid w:val="006829AE"/>
    <w:rsid w:val="006841F2"/>
    <w:rsid w:val="0069296C"/>
    <w:rsid w:val="00692AD4"/>
    <w:rsid w:val="006979BB"/>
    <w:rsid w:val="006A0619"/>
    <w:rsid w:val="006A09B3"/>
    <w:rsid w:val="006A11E5"/>
    <w:rsid w:val="006B25DE"/>
    <w:rsid w:val="006B6063"/>
    <w:rsid w:val="006C32C3"/>
    <w:rsid w:val="006C56A4"/>
    <w:rsid w:val="006D058D"/>
    <w:rsid w:val="006D125F"/>
    <w:rsid w:val="006D200E"/>
    <w:rsid w:val="006D4738"/>
    <w:rsid w:val="006E0614"/>
    <w:rsid w:val="006E0FA9"/>
    <w:rsid w:val="006F08EF"/>
    <w:rsid w:val="006F5460"/>
    <w:rsid w:val="00705037"/>
    <w:rsid w:val="00705359"/>
    <w:rsid w:val="00707597"/>
    <w:rsid w:val="007165D6"/>
    <w:rsid w:val="00716956"/>
    <w:rsid w:val="00720A67"/>
    <w:rsid w:val="00721B45"/>
    <w:rsid w:val="00724B3B"/>
    <w:rsid w:val="007263BB"/>
    <w:rsid w:val="00726560"/>
    <w:rsid w:val="00730314"/>
    <w:rsid w:val="00730C07"/>
    <w:rsid w:val="0074270E"/>
    <w:rsid w:val="007504AF"/>
    <w:rsid w:val="007543D4"/>
    <w:rsid w:val="007709D6"/>
    <w:rsid w:val="007731E8"/>
    <w:rsid w:val="007746C7"/>
    <w:rsid w:val="00776544"/>
    <w:rsid w:val="0078163C"/>
    <w:rsid w:val="007840F7"/>
    <w:rsid w:val="00792920"/>
    <w:rsid w:val="00793049"/>
    <w:rsid w:val="0079409C"/>
    <w:rsid w:val="00794510"/>
    <w:rsid w:val="007957F1"/>
    <w:rsid w:val="00795A57"/>
    <w:rsid w:val="007A6967"/>
    <w:rsid w:val="007A7275"/>
    <w:rsid w:val="007B078A"/>
    <w:rsid w:val="007B1AEF"/>
    <w:rsid w:val="007B2BE6"/>
    <w:rsid w:val="007B4FDE"/>
    <w:rsid w:val="007B56C9"/>
    <w:rsid w:val="007B768C"/>
    <w:rsid w:val="007C0976"/>
    <w:rsid w:val="007C2CAA"/>
    <w:rsid w:val="007C482D"/>
    <w:rsid w:val="007D10ED"/>
    <w:rsid w:val="007D1747"/>
    <w:rsid w:val="007D57C1"/>
    <w:rsid w:val="007E1305"/>
    <w:rsid w:val="007E6F40"/>
    <w:rsid w:val="007E75D6"/>
    <w:rsid w:val="007F2BDD"/>
    <w:rsid w:val="007F6747"/>
    <w:rsid w:val="00807AC0"/>
    <w:rsid w:val="00820CCB"/>
    <w:rsid w:val="00823FA4"/>
    <w:rsid w:val="008240A9"/>
    <w:rsid w:val="0082483A"/>
    <w:rsid w:val="00833B35"/>
    <w:rsid w:val="00833C6B"/>
    <w:rsid w:val="00835238"/>
    <w:rsid w:val="008438CC"/>
    <w:rsid w:val="00852DCF"/>
    <w:rsid w:val="00853AA4"/>
    <w:rsid w:val="00855EA9"/>
    <w:rsid w:val="00864FB3"/>
    <w:rsid w:val="00866615"/>
    <w:rsid w:val="00871D96"/>
    <w:rsid w:val="008742F3"/>
    <w:rsid w:val="00881688"/>
    <w:rsid w:val="00881713"/>
    <w:rsid w:val="00882A29"/>
    <w:rsid w:val="00882A92"/>
    <w:rsid w:val="00882E05"/>
    <w:rsid w:val="00887394"/>
    <w:rsid w:val="00887F5A"/>
    <w:rsid w:val="00894A6B"/>
    <w:rsid w:val="008A0BE9"/>
    <w:rsid w:val="008A528D"/>
    <w:rsid w:val="008A74E7"/>
    <w:rsid w:val="008B0003"/>
    <w:rsid w:val="008B1628"/>
    <w:rsid w:val="008B6925"/>
    <w:rsid w:val="008D6136"/>
    <w:rsid w:val="008D7A8E"/>
    <w:rsid w:val="008E1646"/>
    <w:rsid w:val="008E16B6"/>
    <w:rsid w:val="008E1DA3"/>
    <w:rsid w:val="008E4FCF"/>
    <w:rsid w:val="008E7632"/>
    <w:rsid w:val="008F1746"/>
    <w:rsid w:val="008F2671"/>
    <w:rsid w:val="008F780F"/>
    <w:rsid w:val="009054B0"/>
    <w:rsid w:val="0091142B"/>
    <w:rsid w:val="0091184F"/>
    <w:rsid w:val="0091756A"/>
    <w:rsid w:val="009177C1"/>
    <w:rsid w:val="00920909"/>
    <w:rsid w:val="0093171A"/>
    <w:rsid w:val="00942C70"/>
    <w:rsid w:val="00942CBC"/>
    <w:rsid w:val="009434CA"/>
    <w:rsid w:val="00944600"/>
    <w:rsid w:val="00946036"/>
    <w:rsid w:val="00963666"/>
    <w:rsid w:val="0096443A"/>
    <w:rsid w:val="009707CE"/>
    <w:rsid w:val="0097270F"/>
    <w:rsid w:val="0097531C"/>
    <w:rsid w:val="0097772E"/>
    <w:rsid w:val="00980310"/>
    <w:rsid w:val="009804FD"/>
    <w:rsid w:val="0099448E"/>
    <w:rsid w:val="009A7D1B"/>
    <w:rsid w:val="009C03A5"/>
    <w:rsid w:val="009C17D9"/>
    <w:rsid w:val="009D1F20"/>
    <w:rsid w:val="009D5EA7"/>
    <w:rsid w:val="009E22DF"/>
    <w:rsid w:val="009E6290"/>
    <w:rsid w:val="009E62AB"/>
    <w:rsid w:val="009E6329"/>
    <w:rsid w:val="009F15CC"/>
    <w:rsid w:val="009F4F81"/>
    <w:rsid w:val="00A000E2"/>
    <w:rsid w:val="00A0010F"/>
    <w:rsid w:val="00A01A57"/>
    <w:rsid w:val="00A03101"/>
    <w:rsid w:val="00A03D39"/>
    <w:rsid w:val="00A04F37"/>
    <w:rsid w:val="00A05713"/>
    <w:rsid w:val="00A07E0A"/>
    <w:rsid w:val="00A11701"/>
    <w:rsid w:val="00A12B17"/>
    <w:rsid w:val="00A15395"/>
    <w:rsid w:val="00A16A5A"/>
    <w:rsid w:val="00A229CE"/>
    <w:rsid w:val="00A22C50"/>
    <w:rsid w:val="00A23D9B"/>
    <w:rsid w:val="00A255A9"/>
    <w:rsid w:val="00A26C29"/>
    <w:rsid w:val="00A402A7"/>
    <w:rsid w:val="00A46DB4"/>
    <w:rsid w:val="00A54B04"/>
    <w:rsid w:val="00A6200F"/>
    <w:rsid w:val="00A64B42"/>
    <w:rsid w:val="00A7391A"/>
    <w:rsid w:val="00A776D6"/>
    <w:rsid w:val="00A80FA5"/>
    <w:rsid w:val="00A86A75"/>
    <w:rsid w:val="00A87A2D"/>
    <w:rsid w:val="00A907C6"/>
    <w:rsid w:val="00A92A0B"/>
    <w:rsid w:val="00A95678"/>
    <w:rsid w:val="00AA077A"/>
    <w:rsid w:val="00AA0901"/>
    <w:rsid w:val="00AA273C"/>
    <w:rsid w:val="00AA3DEB"/>
    <w:rsid w:val="00AA47F2"/>
    <w:rsid w:val="00AB1756"/>
    <w:rsid w:val="00AB1CD7"/>
    <w:rsid w:val="00AB4C49"/>
    <w:rsid w:val="00AB525A"/>
    <w:rsid w:val="00AC6718"/>
    <w:rsid w:val="00AC7333"/>
    <w:rsid w:val="00AD33BD"/>
    <w:rsid w:val="00AD515D"/>
    <w:rsid w:val="00AD6441"/>
    <w:rsid w:val="00AE0C07"/>
    <w:rsid w:val="00AE27DD"/>
    <w:rsid w:val="00AE4C92"/>
    <w:rsid w:val="00AE52FA"/>
    <w:rsid w:val="00AF2E47"/>
    <w:rsid w:val="00AF33D4"/>
    <w:rsid w:val="00B02419"/>
    <w:rsid w:val="00B02458"/>
    <w:rsid w:val="00B02C13"/>
    <w:rsid w:val="00B0603E"/>
    <w:rsid w:val="00B07672"/>
    <w:rsid w:val="00B15DC0"/>
    <w:rsid w:val="00B16AFF"/>
    <w:rsid w:val="00B17389"/>
    <w:rsid w:val="00B2309D"/>
    <w:rsid w:val="00B27DD7"/>
    <w:rsid w:val="00B35A86"/>
    <w:rsid w:val="00B371EC"/>
    <w:rsid w:val="00B441C7"/>
    <w:rsid w:val="00B45A13"/>
    <w:rsid w:val="00B47148"/>
    <w:rsid w:val="00B51C40"/>
    <w:rsid w:val="00B52708"/>
    <w:rsid w:val="00B530D4"/>
    <w:rsid w:val="00B55EB6"/>
    <w:rsid w:val="00B57268"/>
    <w:rsid w:val="00B71DDF"/>
    <w:rsid w:val="00B73026"/>
    <w:rsid w:val="00B73FFF"/>
    <w:rsid w:val="00B816A9"/>
    <w:rsid w:val="00B90024"/>
    <w:rsid w:val="00B90300"/>
    <w:rsid w:val="00B90382"/>
    <w:rsid w:val="00B90D62"/>
    <w:rsid w:val="00B93B89"/>
    <w:rsid w:val="00BA0617"/>
    <w:rsid w:val="00BA207F"/>
    <w:rsid w:val="00BA768D"/>
    <w:rsid w:val="00BD0F75"/>
    <w:rsid w:val="00BD22E7"/>
    <w:rsid w:val="00BD41C5"/>
    <w:rsid w:val="00BE029B"/>
    <w:rsid w:val="00BE7B8D"/>
    <w:rsid w:val="00BF77D6"/>
    <w:rsid w:val="00C00C6E"/>
    <w:rsid w:val="00C04819"/>
    <w:rsid w:val="00C04AA7"/>
    <w:rsid w:val="00C124D0"/>
    <w:rsid w:val="00C15B87"/>
    <w:rsid w:val="00C32D81"/>
    <w:rsid w:val="00C4224E"/>
    <w:rsid w:val="00C4407C"/>
    <w:rsid w:val="00C44D83"/>
    <w:rsid w:val="00C45BED"/>
    <w:rsid w:val="00C46861"/>
    <w:rsid w:val="00C47AAA"/>
    <w:rsid w:val="00C529A9"/>
    <w:rsid w:val="00C5402A"/>
    <w:rsid w:val="00C551C5"/>
    <w:rsid w:val="00C577F4"/>
    <w:rsid w:val="00C626A6"/>
    <w:rsid w:val="00C63BFE"/>
    <w:rsid w:val="00C65B9F"/>
    <w:rsid w:val="00C676A2"/>
    <w:rsid w:val="00C71D51"/>
    <w:rsid w:val="00C81AF0"/>
    <w:rsid w:val="00C9487B"/>
    <w:rsid w:val="00CB29FA"/>
    <w:rsid w:val="00CC46D9"/>
    <w:rsid w:val="00CD7AA6"/>
    <w:rsid w:val="00CE60F2"/>
    <w:rsid w:val="00CF11AC"/>
    <w:rsid w:val="00CF63A1"/>
    <w:rsid w:val="00CF6636"/>
    <w:rsid w:val="00CF6A41"/>
    <w:rsid w:val="00D00E8E"/>
    <w:rsid w:val="00D01E9A"/>
    <w:rsid w:val="00D22AD4"/>
    <w:rsid w:val="00D24E97"/>
    <w:rsid w:val="00D26212"/>
    <w:rsid w:val="00D27D8F"/>
    <w:rsid w:val="00D33F5B"/>
    <w:rsid w:val="00D3605C"/>
    <w:rsid w:val="00D43276"/>
    <w:rsid w:val="00D47351"/>
    <w:rsid w:val="00D51061"/>
    <w:rsid w:val="00D51F81"/>
    <w:rsid w:val="00D54991"/>
    <w:rsid w:val="00D6044B"/>
    <w:rsid w:val="00D60979"/>
    <w:rsid w:val="00D74359"/>
    <w:rsid w:val="00D76DDE"/>
    <w:rsid w:val="00D777CD"/>
    <w:rsid w:val="00D84F87"/>
    <w:rsid w:val="00D90B33"/>
    <w:rsid w:val="00D9286D"/>
    <w:rsid w:val="00D933E0"/>
    <w:rsid w:val="00D9641D"/>
    <w:rsid w:val="00D966BD"/>
    <w:rsid w:val="00D96D99"/>
    <w:rsid w:val="00D973F7"/>
    <w:rsid w:val="00DA00B8"/>
    <w:rsid w:val="00DA15D0"/>
    <w:rsid w:val="00DA3D1C"/>
    <w:rsid w:val="00DB110E"/>
    <w:rsid w:val="00DB5998"/>
    <w:rsid w:val="00DD44E7"/>
    <w:rsid w:val="00DE02D4"/>
    <w:rsid w:val="00DE4F7D"/>
    <w:rsid w:val="00DF0212"/>
    <w:rsid w:val="00DF1F57"/>
    <w:rsid w:val="00DF5C67"/>
    <w:rsid w:val="00E02B7A"/>
    <w:rsid w:val="00E05465"/>
    <w:rsid w:val="00E103CD"/>
    <w:rsid w:val="00E16AA0"/>
    <w:rsid w:val="00E17C94"/>
    <w:rsid w:val="00E22C8C"/>
    <w:rsid w:val="00E2567B"/>
    <w:rsid w:val="00E31735"/>
    <w:rsid w:val="00E32679"/>
    <w:rsid w:val="00E41953"/>
    <w:rsid w:val="00E45636"/>
    <w:rsid w:val="00E463E0"/>
    <w:rsid w:val="00E51349"/>
    <w:rsid w:val="00E517CF"/>
    <w:rsid w:val="00E52548"/>
    <w:rsid w:val="00E639D1"/>
    <w:rsid w:val="00E65B1B"/>
    <w:rsid w:val="00E66AB6"/>
    <w:rsid w:val="00E724B9"/>
    <w:rsid w:val="00EA30A2"/>
    <w:rsid w:val="00EA4585"/>
    <w:rsid w:val="00EA6DC5"/>
    <w:rsid w:val="00EA724F"/>
    <w:rsid w:val="00EB39E6"/>
    <w:rsid w:val="00EB4868"/>
    <w:rsid w:val="00EC41CE"/>
    <w:rsid w:val="00EC5931"/>
    <w:rsid w:val="00EC5CA8"/>
    <w:rsid w:val="00ED1166"/>
    <w:rsid w:val="00ED2CA8"/>
    <w:rsid w:val="00ED4C28"/>
    <w:rsid w:val="00ED4E62"/>
    <w:rsid w:val="00ED750C"/>
    <w:rsid w:val="00EE420A"/>
    <w:rsid w:val="00EF2427"/>
    <w:rsid w:val="00EF4ED7"/>
    <w:rsid w:val="00EF51E4"/>
    <w:rsid w:val="00EF751C"/>
    <w:rsid w:val="00EF7AE0"/>
    <w:rsid w:val="00F04024"/>
    <w:rsid w:val="00F052D9"/>
    <w:rsid w:val="00F125E8"/>
    <w:rsid w:val="00F1410C"/>
    <w:rsid w:val="00F14C7B"/>
    <w:rsid w:val="00F218FE"/>
    <w:rsid w:val="00F22374"/>
    <w:rsid w:val="00F238D2"/>
    <w:rsid w:val="00F26F98"/>
    <w:rsid w:val="00F27F17"/>
    <w:rsid w:val="00F302F7"/>
    <w:rsid w:val="00F32F69"/>
    <w:rsid w:val="00F337B5"/>
    <w:rsid w:val="00F348EA"/>
    <w:rsid w:val="00F371CB"/>
    <w:rsid w:val="00F436ED"/>
    <w:rsid w:val="00F4602C"/>
    <w:rsid w:val="00F50A85"/>
    <w:rsid w:val="00F5480C"/>
    <w:rsid w:val="00F60AFD"/>
    <w:rsid w:val="00F6229F"/>
    <w:rsid w:val="00F660FD"/>
    <w:rsid w:val="00F72C10"/>
    <w:rsid w:val="00F75755"/>
    <w:rsid w:val="00F7675E"/>
    <w:rsid w:val="00F80EEB"/>
    <w:rsid w:val="00F81AB6"/>
    <w:rsid w:val="00F85BE9"/>
    <w:rsid w:val="00F87025"/>
    <w:rsid w:val="00F90868"/>
    <w:rsid w:val="00F90CB6"/>
    <w:rsid w:val="00F96B09"/>
    <w:rsid w:val="00FB4181"/>
    <w:rsid w:val="00FB468C"/>
    <w:rsid w:val="00FC135F"/>
    <w:rsid w:val="00FC3652"/>
    <w:rsid w:val="00FC46E5"/>
    <w:rsid w:val="00FC7910"/>
    <w:rsid w:val="00FD6A6B"/>
    <w:rsid w:val="00FE1014"/>
    <w:rsid w:val="00FE6B52"/>
    <w:rsid w:val="00FF3F3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2576B770-D415-4B14-B644-B74F9850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C46861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rsid w:val="00C46861"/>
    <w:rPr>
      <w:rFonts w:ascii="Times New Roman" w:hAnsi="Times New Roman"/>
      <w:b/>
      <w:bCs/>
      <w:sz w:val="27"/>
      <w:szCs w:val="27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40E0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91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2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31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3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9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6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934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80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9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7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07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1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51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5A4AE-1027-4D78-A90F-7515FBEC1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18</Pages>
  <Words>2458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Dudzik Katarzyna</dc:creator>
  <cp:lastModifiedBy>Banaś Krzysztof</cp:lastModifiedBy>
  <cp:revision>18</cp:revision>
  <dcterms:created xsi:type="dcterms:W3CDTF">2017-11-14T20:33:00Z</dcterms:created>
  <dcterms:modified xsi:type="dcterms:W3CDTF">2023-07-14T10:55:00Z</dcterms:modified>
</cp:coreProperties>
</file>