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51633E" w14:textId="77777777"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851"/>
        <w:gridCol w:w="2126"/>
        <w:gridCol w:w="3969"/>
        <w:gridCol w:w="1985"/>
        <w:gridCol w:w="5895"/>
      </w:tblGrid>
      <w:tr w:rsidR="00A06425" w:rsidRPr="00A06425" w14:paraId="0BCF6892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7592063" w14:textId="3246C099" w:rsidR="00A06425" w:rsidRPr="00F86451" w:rsidRDefault="00A06425" w:rsidP="00863154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8645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86451" w:rsidRPr="00F86451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II</w:t>
            </w:r>
            <w:r w:rsidR="00D24830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F86451" w:rsidRPr="00F86451">
              <w:rPr>
                <w:rFonts w:asciiTheme="minorHAnsi" w:hAnsiTheme="minorHAnsi" w:cstheme="minorHAnsi"/>
                <w:sz w:val="22"/>
                <w:szCs w:val="22"/>
              </w:rPr>
              <w:t xml:space="preserve"> kwartał 2020 roku pn. </w:t>
            </w:r>
            <w:r w:rsidR="002A2135" w:rsidRPr="0042312D">
              <w:rPr>
                <w:rFonts w:asciiTheme="minorHAnsi" w:hAnsiTheme="minorHAnsi" w:cstheme="minorHAnsi"/>
                <w:sz w:val="22"/>
                <w:szCs w:val="22"/>
              </w:rPr>
              <w:t>Inwentaryzacja cennych siedlisk przyrodniczych kraju, gatunków występujących w ich obrębie oraz stworzenie Banku Danych o Zasobach Przyrodniczych</w:t>
            </w:r>
            <w:r w:rsidR="002A2135" w:rsidRPr="0086315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A2135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2A2135" w:rsidRPr="0042312D">
              <w:rPr>
                <w:rFonts w:asciiTheme="minorHAnsi" w:hAnsiTheme="minorHAnsi" w:cstheme="minorHAnsi"/>
                <w:sz w:val="22"/>
                <w:szCs w:val="22"/>
              </w:rPr>
              <w:t>Minister Klimatu i Środowiska, beneficjent Generalna Dyrekcja Ochrony Środowiska</w:t>
            </w:r>
            <w:r w:rsidR="002A2135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513C27CB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47256D17" w14:textId="77777777" w:rsidTr="00295748">
        <w:tc>
          <w:tcPr>
            <w:tcW w:w="562" w:type="dxa"/>
            <w:shd w:val="clear" w:color="auto" w:fill="auto"/>
            <w:vAlign w:val="center"/>
          </w:tcPr>
          <w:p w14:paraId="2EEB6A0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84E6E5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3EC18D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3818EA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C4B60E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5895" w:type="dxa"/>
            <w:vAlign w:val="center"/>
          </w:tcPr>
          <w:p w14:paraId="72D0965D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04973" w:rsidRPr="00A06425" w14:paraId="177B69F4" w14:textId="77777777" w:rsidTr="00295748">
        <w:tc>
          <w:tcPr>
            <w:tcW w:w="562" w:type="dxa"/>
            <w:shd w:val="clear" w:color="auto" w:fill="auto"/>
          </w:tcPr>
          <w:p w14:paraId="01D6D637" w14:textId="77777777" w:rsidR="00904973" w:rsidRDefault="00904973" w:rsidP="0090497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29E49AB4" w14:textId="77777777" w:rsidR="00904973" w:rsidRDefault="00904973" w:rsidP="0090497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6" w:type="dxa"/>
            <w:shd w:val="clear" w:color="auto" w:fill="auto"/>
          </w:tcPr>
          <w:p w14:paraId="420FB100" w14:textId="77777777" w:rsidR="00904973" w:rsidRPr="00A259C4" w:rsidRDefault="00904973" w:rsidP="009049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</w:p>
        </w:tc>
        <w:tc>
          <w:tcPr>
            <w:tcW w:w="3969" w:type="dxa"/>
            <w:shd w:val="clear" w:color="auto" w:fill="auto"/>
          </w:tcPr>
          <w:p w14:paraId="6F063406" w14:textId="77777777" w:rsidR="00904973" w:rsidRPr="00EC4E56" w:rsidRDefault="007F2284" w:rsidP="00E03C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Wnioskodawcą</w:t>
            </w:r>
            <w:r w:rsidR="00904973">
              <w:rPr>
                <w:rFonts w:asciiTheme="minorHAnsi" w:hAnsiTheme="minorHAnsi" w:cstheme="minorHAnsi"/>
                <w:sz w:val="22"/>
                <w:szCs w:val="22"/>
              </w:rPr>
              <w:t xml:space="preserve"> dla projektu </w:t>
            </w:r>
            <w:r w:rsidR="00E03C72">
              <w:rPr>
                <w:rFonts w:asciiTheme="minorHAnsi" w:hAnsiTheme="minorHAnsi" w:cstheme="minorHAnsi"/>
                <w:sz w:val="22"/>
                <w:szCs w:val="22"/>
              </w:rPr>
              <w:t>powinien być</w:t>
            </w:r>
            <w:r w:rsidR="0090497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02A2D">
              <w:rPr>
                <w:rFonts w:asciiTheme="minorHAnsi" w:hAnsiTheme="minorHAnsi" w:cstheme="minorHAnsi"/>
                <w:sz w:val="22"/>
                <w:szCs w:val="22"/>
              </w:rPr>
              <w:t>obecnie Minister Klimatu i Środowiska</w:t>
            </w:r>
            <w:r w:rsidR="00E03C7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5C06C104" w14:textId="77777777" w:rsidR="00904973" w:rsidRDefault="00904973" w:rsidP="009049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korektę raportu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A279398" w14:textId="77777777" w:rsidR="00904973" w:rsidRDefault="00904973" w:rsidP="009049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95" w:type="dxa"/>
          </w:tcPr>
          <w:p w14:paraId="2B55D93B" w14:textId="77777777" w:rsidR="00904973" w:rsidRPr="00A06425" w:rsidRDefault="00295748" w:rsidP="009049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Poprawiono w treści raportu</w:t>
            </w:r>
          </w:p>
        </w:tc>
      </w:tr>
      <w:tr w:rsidR="00E03C72" w:rsidRPr="00A06425" w14:paraId="639639C6" w14:textId="77777777" w:rsidTr="00295748">
        <w:tc>
          <w:tcPr>
            <w:tcW w:w="562" w:type="dxa"/>
            <w:shd w:val="clear" w:color="auto" w:fill="auto"/>
          </w:tcPr>
          <w:p w14:paraId="749C6DFC" w14:textId="77777777" w:rsidR="00E03C72" w:rsidRDefault="00E03C72" w:rsidP="00D179F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30344D2A" w14:textId="77777777" w:rsidR="00E03C72" w:rsidRDefault="00E03C72" w:rsidP="00D179F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6" w:type="dxa"/>
            <w:shd w:val="clear" w:color="auto" w:fill="auto"/>
          </w:tcPr>
          <w:p w14:paraId="61811E65" w14:textId="77777777" w:rsidR="00E03C72" w:rsidRPr="00A259C4" w:rsidRDefault="00E03C72" w:rsidP="00D179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Postęp finansowy – Wartość środków wydatkowanych</w:t>
            </w:r>
          </w:p>
        </w:tc>
        <w:tc>
          <w:tcPr>
            <w:tcW w:w="3969" w:type="dxa"/>
            <w:shd w:val="clear" w:color="auto" w:fill="auto"/>
          </w:tcPr>
          <w:p w14:paraId="3177F63D" w14:textId="77777777" w:rsidR="00E03C72" w:rsidRDefault="00E03C72" w:rsidP="00D179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11DA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raporcie wykazano </w:t>
            </w:r>
            <w:r w:rsidRPr="00C511DA">
              <w:rPr>
                <w:rFonts w:asciiTheme="minorHAnsi" w:hAnsiTheme="minorHAnsi" w:cstheme="minorHAnsi"/>
                <w:sz w:val="22"/>
                <w:szCs w:val="22"/>
              </w:rPr>
              <w:t>niskie wydatkowanie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oraz zaangażowanie</w:t>
            </w:r>
            <w:r w:rsidRPr="00C511DA">
              <w:rPr>
                <w:rFonts w:asciiTheme="minorHAnsi" w:hAnsiTheme="minorHAnsi" w:cstheme="minorHAnsi"/>
                <w:sz w:val="22"/>
                <w:szCs w:val="22"/>
              </w:rPr>
              <w:t xml:space="preserve"> środków pomimo dużego upływu czasu zaplanowanego na realizację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622E4B10" w14:textId="77777777" w:rsidR="00E03C72" w:rsidRDefault="00E03C72" w:rsidP="0065752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A7633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raportu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95" w:type="dxa"/>
          </w:tcPr>
          <w:p w14:paraId="25029AE7" w14:textId="77777777" w:rsidR="00A2459D" w:rsidRDefault="00295748" w:rsidP="00FA344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Celem projektu jest m.in.  inwentaryzacja cennych siedlisk przyrodniczych kraju  i gatunków występujących w ich obrębie. W ramach działań podpisywane są umowy wieloletnie dotyczące inwentaryzacji 170 gatunków w Polsce (</w:t>
            </w:r>
            <w:r w:rsidR="00A2459D">
              <w:rPr>
                <w:rFonts w:asciiTheme="minorHAnsi" w:hAnsiTheme="minorHAnsi" w:cstheme="minorHAnsi"/>
                <w:sz w:val="22"/>
                <w:szCs w:val="22"/>
              </w:rPr>
              <w:t xml:space="preserve">na terenie kilkuset obszarów Natura 200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gdzie ten sam gatunek może występować w kilku</w:t>
            </w:r>
            <w:r w:rsidR="00A2459D">
              <w:rPr>
                <w:rFonts w:asciiTheme="minorHAnsi" w:hAnsiTheme="minorHAnsi" w:cstheme="minorHAnsi"/>
                <w:sz w:val="22"/>
                <w:szCs w:val="22"/>
              </w:rPr>
              <w:t xml:space="preserve"> obszarach </w:t>
            </w:r>
            <w:r w:rsidR="00FA344B">
              <w:rPr>
                <w:rFonts w:asciiTheme="minorHAnsi" w:hAnsiTheme="minorHAnsi" w:cstheme="minorHAnsi"/>
                <w:sz w:val="22"/>
                <w:szCs w:val="22"/>
              </w:rPr>
              <w:t xml:space="preserve">jednocześnie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na terenie kraju</w:t>
            </w:r>
            <w:r w:rsidR="00FA344B">
              <w:rPr>
                <w:rFonts w:asciiTheme="minorHAnsi" w:hAnsiTheme="minorHAnsi" w:cstheme="minorHAnsi"/>
                <w:sz w:val="22"/>
                <w:szCs w:val="22"/>
              </w:rPr>
              <w:t xml:space="preserve"> co wymaga oddzielnych umów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). Pierwsze odbiory, a co za tym idzie płatności zaczęły się w II połowie 2019 r. Należy mieć na uwadze, że dla części postępowań wybór wykonawcy inwentaryzacji jest często procesem długotrwałym i problematycznym, z uwagi m.in. na k</w:t>
            </w:r>
            <w:r w:rsidRPr="00295748">
              <w:rPr>
                <w:rFonts w:asciiTheme="minorHAnsi" w:hAnsiTheme="minorHAnsi" w:cstheme="minorHAnsi"/>
                <w:sz w:val="22"/>
                <w:szCs w:val="22"/>
              </w:rPr>
              <w:t>onieczność unieważniania postępowań lub ich części (brak ofert) oraz powtarzania postępowań przetargowyc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h. </w:t>
            </w:r>
            <w:r w:rsidRPr="00295748">
              <w:rPr>
                <w:rFonts w:asciiTheme="minorHAnsi" w:hAnsiTheme="minorHAnsi" w:cstheme="minorHAnsi"/>
                <w:sz w:val="22"/>
                <w:szCs w:val="22"/>
              </w:rPr>
              <w:t>Dodatkowo problemy formalno-techniczne potencjalnych wykonawców w toku procedur przetargowych - złożenie oferty na błędnym formularzu, wpłata wadium po terminie składania ofert, niepodpisanie oferty, nieprawidłowe podpisanie oferty, złożenie JEDZ na błędnym formularzu i inne. Efektem tych błędów była konieczność unieważnienia części zadań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 co za tym idzie konieczność przekładania </w:t>
            </w:r>
            <w:r w:rsidR="00F25E63">
              <w:rPr>
                <w:rFonts w:asciiTheme="minorHAnsi" w:hAnsiTheme="minorHAnsi" w:cstheme="minorHAnsi"/>
                <w:sz w:val="22"/>
                <w:szCs w:val="22"/>
              </w:rPr>
              <w:t xml:space="preserve">ich realizacji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 kolejne lata. Specyfiką przeprowadzania inwentaryzacji przyrodniczych jest też fakt, że są one powiązane ściśle z określoną porą roku, co w  tym przypadku </w:t>
            </w:r>
            <w:r w:rsidR="00F25E63">
              <w:rPr>
                <w:rFonts w:asciiTheme="minorHAnsi" w:hAnsiTheme="minorHAnsi" w:cstheme="minorHAnsi"/>
                <w:sz w:val="22"/>
                <w:szCs w:val="22"/>
              </w:rPr>
              <w:t>niejednokrotnie ma również wpływ na konieczność przekładania zaplanowanych działań na kolejne lata realizacji projektu.</w:t>
            </w:r>
          </w:p>
          <w:p w14:paraId="6FFD4D95" w14:textId="2EED2B73" w:rsidR="00E03C72" w:rsidRPr="00A06425" w:rsidRDefault="00A2459D" w:rsidP="00FA344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Powyższe wpłynęło na wielkość </w:t>
            </w:r>
            <w:r w:rsidR="000804B9">
              <w:rPr>
                <w:rFonts w:asciiTheme="minorHAnsi" w:hAnsiTheme="minorHAnsi" w:cstheme="minorHAnsi"/>
                <w:sz w:val="22"/>
                <w:szCs w:val="22"/>
              </w:rPr>
              <w:t xml:space="preserve">zatwierdzonych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wniosków o płatność ( </w:t>
            </w:r>
            <w:r w:rsidR="000804B9">
              <w:rPr>
                <w:rFonts w:asciiTheme="minorHAnsi" w:hAnsiTheme="minorHAnsi" w:cstheme="minorHAnsi"/>
                <w:sz w:val="22"/>
                <w:szCs w:val="22"/>
              </w:rPr>
              <w:t>8,31%)</w:t>
            </w:r>
            <w:r w:rsidR="00C524B3">
              <w:rPr>
                <w:rFonts w:asciiTheme="minorHAnsi" w:hAnsiTheme="minorHAnsi" w:cstheme="minorHAnsi"/>
                <w:sz w:val="22"/>
                <w:szCs w:val="22"/>
              </w:rPr>
              <w:t xml:space="preserve"> oraz na zaangażowanie środków finansowych, które wynosi blisko 55%. Wartość ta ulega wyraźnemu zwiększeniu z  kwartału na kwartał, w IV kw</w:t>
            </w:r>
            <w:r w:rsidR="0021517B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C524B3">
              <w:rPr>
                <w:rFonts w:asciiTheme="minorHAnsi" w:hAnsiTheme="minorHAnsi" w:cstheme="minorHAnsi"/>
                <w:sz w:val="22"/>
                <w:szCs w:val="22"/>
              </w:rPr>
              <w:t>2020 r. podpisywane są kolejne umowy na realizację zaplanowanych zadań.</w:t>
            </w:r>
          </w:p>
        </w:tc>
      </w:tr>
      <w:tr w:rsidR="00D179F2" w:rsidRPr="00A06425" w14:paraId="3FC94D2C" w14:textId="77777777" w:rsidTr="00295748">
        <w:tc>
          <w:tcPr>
            <w:tcW w:w="562" w:type="dxa"/>
            <w:shd w:val="clear" w:color="auto" w:fill="auto"/>
          </w:tcPr>
          <w:p w14:paraId="15334975" w14:textId="77777777" w:rsidR="00D179F2" w:rsidRPr="00A06425" w:rsidRDefault="00D179F2" w:rsidP="00D179F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851" w:type="dxa"/>
            <w:shd w:val="clear" w:color="auto" w:fill="auto"/>
          </w:tcPr>
          <w:p w14:paraId="6B95CFE3" w14:textId="77777777" w:rsidR="00D179F2" w:rsidRDefault="00D179F2" w:rsidP="00D179F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6" w:type="dxa"/>
            <w:shd w:val="clear" w:color="auto" w:fill="auto"/>
          </w:tcPr>
          <w:p w14:paraId="6D55351E" w14:textId="77777777" w:rsidR="00D179F2" w:rsidRPr="00A259C4" w:rsidRDefault="00D179F2" w:rsidP="00D179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59C4">
              <w:rPr>
                <w:rFonts w:asciiTheme="minorHAnsi" w:hAnsiTheme="minorHAnsi" w:cstheme="minorHAnsi"/>
                <w:sz w:val="22"/>
                <w:szCs w:val="22"/>
              </w:rPr>
              <w:t>Pkt. 3 Postęp rzeczowy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Wskaźniki efektywności projektu (KPI)</w:t>
            </w:r>
          </w:p>
        </w:tc>
        <w:tc>
          <w:tcPr>
            <w:tcW w:w="3969" w:type="dxa"/>
            <w:shd w:val="clear" w:color="auto" w:fill="auto"/>
          </w:tcPr>
          <w:p w14:paraId="78E3B143" w14:textId="77777777" w:rsidR="00D179F2" w:rsidRDefault="000412A9" w:rsidP="00D179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="00D179F2">
              <w:rPr>
                <w:rFonts w:ascii="Calibri" w:hAnsi="Calibri" w:cs="Calibri"/>
                <w:color w:val="000000"/>
                <w:sz w:val="22"/>
                <w:szCs w:val="22"/>
              </w:rPr>
              <w:t>umy wartości docelowych wprowadzonych w kolumnie „Powiązane wskaźniki projektu” dla poszczególnych KPI, nie mogą przekraczać wartości docelowych podanych w tabeli „Wskaźniki efektywności projektu (KPI)”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14:paraId="521450CC" w14:textId="77777777" w:rsidR="000412A9" w:rsidRDefault="000412A9" w:rsidP="007F228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raporcie Wskaźnik efektywności projektu</w:t>
            </w:r>
            <w:r w:rsidR="007F228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nr 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 wartość 1, podczas kiedy w Kamieniach milowych wymieniony jest </w:t>
            </w:r>
            <w:r w:rsidR="007F2284">
              <w:rPr>
                <w:rFonts w:ascii="Calibri" w:hAnsi="Calibri" w:cs="Calibri"/>
                <w:color w:val="000000"/>
                <w:sz w:val="22"/>
                <w:szCs w:val="22"/>
              </w:rPr>
              <w:t>sześć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razy z wart</w:t>
            </w:r>
            <w:r w:rsidR="007F2284">
              <w:rPr>
                <w:rFonts w:ascii="Calibri" w:hAnsi="Calibri" w:cs="Calibri"/>
                <w:color w:val="000000"/>
                <w:sz w:val="22"/>
                <w:szCs w:val="22"/>
              </w:rPr>
              <w:t>ością 1, co daje razem wartość 6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706C8CE1" w14:textId="77777777" w:rsidR="00657521" w:rsidRDefault="00657521" w:rsidP="0065752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związku z wysokim poziomem osiągnięcia wartości docelowej wskaźników projektu </w:t>
            </w:r>
            <w:r w:rsidR="00E03C72"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roszę o analizę i korektę raportu.</w:t>
            </w:r>
          </w:p>
          <w:p w14:paraId="0F658DBA" w14:textId="77777777" w:rsidR="00657521" w:rsidRDefault="00657521" w:rsidP="000412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895" w:type="dxa"/>
          </w:tcPr>
          <w:p w14:paraId="1DEFB3E3" w14:textId="6610323D" w:rsidR="00D214AB" w:rsidRDefault="001909FF" w:rsidP="00FA344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Sposób określania wartości jest tożsam</w:t>
            </w:r>
            <w:r w:rsidR="00D214AB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od początku składania raportu z realizacji </w:t>
            </w:r>
            <w:r w:rsidR="0065425C">
              <w:rPr>
                <w:rFonts w:asciiTheme="minorHAnsi" w:hAnsiTheme="minorHAnsi" w:cstheme="minorHAnsi"/>
                <w:sz w:val="22"/>
                <w:szCs w:val="22"/>
              </w:rPr>
              <w:t>projektu</w:t>
            </w:r>
            <w:r w:rsidR="002B04D2">
              <w:rPr>
                <w:rFonts w:asciiTheme="minorHAnsi" w:hAnsiTheme="minorHAnsi" w:cstheme="minorHAnsi"/>
                <w:sz w:val="22"/>
                <w:szCs w:val="22"/>
              </w:rPr>
              <w:t xml:space="preserve"> i nie budził dotąd zastrzeżeń (raporty z takim zapisem uzyskiwały każdorazowo Państwa akceptację). </w:t>
            </w:r>
            <w:r w:rsidR="00D214AB">
              <w:rPr>
                <w:rFonts w:asciiTheme="minorHAnsi" w:hAnsiTheme="minorHAnsi" w:cstheme="minorHAnsi"/>
                <w:sz w:val="22"/>
                <w:szCs w:val="22"/>
              </w:rPr>
              <w:t xml:space="preserve">Zmiana w przyjętym sposobie raportowania na tym etapie jest niezrozumiała dla Beneficjenta. </w:t>
            </w:r>
          </w:p>
          <w:p w14:paraId="45FAC0F5" w14:textId="6E71310D" w:rsidR="00D179F2" w:rsidRPr="00A06425" w:rsidRDefault="00D179F2" w:rsidP="002151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F6679" w:rsidRPr="00A06425" w14:paraId="546804B6" w14:textId="77777777" w:rsidTr="00295748">
        <w:tc>
          <w:tcPr>
            <w:tcW w:w="562" w:type="dxa"/>
            <w:shd w:val="clear" w:color="auto" w:fill="auto"/>
          </w:tcPr>
          <w:p w14:paraId="28A2667B" w14:textId="77777777" w:rsidR="000F6679" w:rsidRDefault="00863154" w:rsidP="0040539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794239D2" w14:textId="77777777" w:rsidR="000F6679" w:rsidRDefault="000F6679" w:rsidP="0040539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6" w:type="dxa"/>
            <w:shd w:val="clear" w:color="auto" w:fill="auto"/>
          </w:tcPr>
          <w:p w14:paraId="7CB135E1" w14:textId="77777777" w:rsidR="000F6679" w:rsidRPr="000F6679" w:rsidRDefault="000F6679" w:rsidP="004053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Pkt. 7 Ryzyka - Ryzyka wpływające na realizację projektu</w:t>
            </w:r>
          </w:p>
        </w:tc>
        <w:tc>
          <w:tcPr>
            <w:tcW w:w="3969" w:type="dxa"/>
            <w:shd w:val="clear" w:color="auto" w:fill="auto"/>
          </w:tcPr>
          <w:p w14:paraId="356CFE09" w14:textId="77777777" w:rsidR="000F6679" w:rsidRPr="003811CA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raportu w kolumnie „Sposób zarządzania ryzykiem” dla każdego ryzyka należy wskazać: </w:t>
            </w:r>
          </w:p>
          <w:p w14:paraId="315A7E81" w14:textId="77777777" w:rsidR="000F6679" w:rsidRPr="003811CA" w:rsidRDefault="000F6679" w:rsidP="000F667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podejmowane działania zarządcze</w:t>
            </w:r>
          </w:p>
          <w:p w14:paraId="77B3EF87" w14:textId="77777777" w:rsidR="000F6679" w:rsidRPr="003811CA" w:rsidRDefault="000F6679" w:rsidP="000F667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spodziewane lub faktyczne efekty tych działań,</w:t>
            </w:r>
          </w:p>
          <w:p w14:paraId="4CF917FC" w14:textId="77777777" w:rsidR="000F6679" w:rsidRPr="003811CA" w:rsidRDefault="000F6679" w:rsidP="000F667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czy nastąpiła zmiana w zakresie danego ryzyka w stosunku do poprzedniego okresu sprawozdawczego.</w:t>
            </w:r>
          </w:p>
          <w:p w14:paraId="0B1A07D3" w14:textId="77777777" w:rsidR="000F6679" w:rsidRPr="003811CA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  <w:p w14:paraId="00AAE500" w14:textId="77777777" w:rsidR="000F6679" w:rsidRPr="003811CA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1FDF15" w14:textId="77777777" w:rsidR="000F6679" w:rsidRPr="003811CA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raporcie należy uwzględnić:</w:t>
            </w:r>
          </w:p>
          <w:p w14:paraId="5CBDF74E" w14:textId="77777777" w:rsidR="000F6679" w:rsidRPr="003811CA" w:rsidRDefault="000F6679" w:rsidP="000F6679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wszystkie ryzyka występujące w umowie/porozumieniu o dofinansowanie , jeżeli projekt jest realizowany ze środków UE, wraz z określeniem dla nich siły </w:t>
            </w:r>
            <w:r w:rsidRPr="003811C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oddziaływania i prawdopodobieństwa wpływu na ostatni dzień kwartału; </w:t>
            </w:r>
          </w:p>
          <w:p w14:paraId="7EC545FF" w14:textId="77777777" w:rsidR="000F6679" w:rsidRPr="003811CA" w:rsidRDefault="000F6679" w:rsidP="000F6679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przypadku, gdy ryzyko już nie występuje należy opisać w sposobie zarządzania w pkt 3 „zmiana w zakresie danego ryzyka w stosunku do po-przedniego okresu sprawozdawczego „ - „ryzyko zamknięte”</w:t>
            </w:r>
          </w:p>
          <w:p w14:paraId="711B3F98" w14:textId="77777777" w:rsidR="000F6679" w:rsidRPr="003811CA" w:rsidRDefault="000F6679" w:rsidP="000F6679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oraz 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ryzyk)</w:t>
            </w:r>
          </w:p>
          <w:p w14:paraId="3D63A314" w14:textId="77777777" w:rsidR="000F6679" w:rsidRPr="000F6679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32740FA8" w14:textId="77777777" w:rsidR="000F6679" w:rsidRDefault="000F6679" w:rsidP="000F667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uzupełnienie odpowiednich elementów w raporcie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9896E42" w14:textId="77777777" w:rsidR="000F6679" w:rsidRPr="00405397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57A5BB" w14:textId="77777777" w:rsidR="000F6679" w:rsidRPr="000805CA" w:rsidRDefault="000F6679" w:rsidP="004053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95" w:type="dxa"/>
          </w:tcPr>
          <w:p w14:paraId="7DCAD70D" w14:textId="77777777" w:rsidR="00D214AB" w:rsidRDefault="002505AD" w:rsidP="00FA344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2505AD">
              <w:rPr>
                <w:rFonts w:asciiTheme="minorHAnsi" w:hAnsiTheme="minorHAnsi" w:cstheme="minorHAnsi"/>
                <w:sz w:val="22"/>
                <w:szCs w:val="22"/>
              </w:rPr>
              <w:t xml:space="preserve">aporty z takim zapisem uzyskiwały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każdorazowo Państwa akceptację. </w:t>
            </w:r>
            <w:r w:rsidRPr="002505A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214AB">
              <w:rPr>
                <w:rFonts w:asciiTheme="minorHAnsi" w:hAnsiTheme="minorHAnsi" w:cstheme="minorHAnsi"/>
                <w:sz w:val="22"/>
                <w:szCs w:val="22"/>
              </w:rPr>
              <w:t xml:space="preserve">Zmiana w przyjętym sposobie raportowania na tym etapie jest niezrozumiała dla Beneficjenta. </w:t>
            </w:r>
          </w:p>
          <w:p w14:paraId="757DC2E8" w14:textId="3DA1864D" w:rsidR="000F6679" w:rsidRDefault="00D214AB" w:rsidP="00FA344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Uprzejmie wyjaśniam, że</w:t>
            </w:r>
            <w:r w:rsidR="002505AD">
              <w:rPr>
                <w:rFonts w:asciiTheme="minorHAnsi" w:hAnsiTheme="minorHAnsi" w:cstheme="minorHAnsi"/>
                <w:sz w:val="22"/>
                <w:szCs w:val="22"/>
              </w:rPr>
              <w:t xml:space="preserve"> w treści samego raportu znajdują się odniesienie do:</w:t>
            </w:r>
          </w:p>
          <w:p w14:paraId="74AB4586" w14:textId="77777777" w:rsidR="002505AD" w:rsidRPr="003811CA" w:rsidRDefault="002505AD" w:rsidP="00FA344B">
            <w:pPr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podejmowanych działań zarządczych</w:t>
            </w:r>
          </w:p>
          <w:p w14:paraId="699720A3" w14:textId="77777777" w:rsidR="002505AD" w:rsidRPr="003811CA" w:rsidRDefault="002505AD" w:rsidP="00FA344B">
            <w:pPr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spodziewan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ych</w:t>
            </w: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 lub faktyczn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ych efektów</w:t>
            </w: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 tych działań,</w:t>
            </w:r>
          </w:p>
          <w:p w14:paraId="65CBE9E6" w14:textId="77777777" w:rsidR="002505AD" w:rsidRPr="003811CA" w:rsidRDefault="002505AD" w:rsidP="00FA344B">
            <w:pPr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zmian </w:t>
            </w: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zakresie danego ryzyka w stosunku do poprzedniego okresu sprawozdawczego.</w:t>
            </w:r>
          </w:p>
          <w:p w14:paraId="5AD910D8" w14:textId="77777777" w:rsidR="002505AD" w:rsidRPr="002505AD" w:rsidRDefault="002505AD" w:rsidP="00FA344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35899694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553256" w16cex:dateUtc="2020-11-10T14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13D833E" w16cid:durableId="2355325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BF3BDA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412A9"/>
    <w:rsid w:val="000804B9"/>
    <w:rsid w:val="000F6679"/>
    <w:rsid w:val="00140BE8"/>
    <w:rsid w:val="00145ACC"/>
    <w:rsid w:val="001909FF"/>
    <w:rsid w:val="0019648E"/>
    <w:rsid w:val="001B6B3E"/>
    <w:rsid w:val="0021517B"/>
    <w:rsid w:val="002505AD"/>
    <w:rsid w:val="002715B2"/>
    <w:rsid w:val="00295748"/>
    <w:rsid w:val="002A2135"/>
    <w:rsid w:val="002B04D2"/>
    <w:rsid w:val="003124D1"/>
    <w:rsid w:val="00324AE4"/>
    <w:rsid w:val="003539A4"/>
    <w:rsid w:val="003B4105"/>
    <w:rsid w:val="00405397"/>
    <w:rsid w:val="004D086F"/>
    <w:rsid w:val="005F6527"/>
    <w:rsid w:val="006264B5"/>
    <w:rsid w:val="0065425C"/>
    <w:rsid w:val="00657521"/>
    <w:rsid w:val="006705EC"/>
    <w:rsid w:val="006E16E9"/>
    <w:rsid w:val="007F2284"/>
    <w:rsid w:val="00807385"/>
    <w:rsid w:val="00863154"/>
    <w:rsid w:val="00904973"/>
    <w:rsid w:val="00924AE5"/>
    <w:rsid w:val="00944932"/>
    <w:rsid w:val="009E5FDB"/>
    <w:rsid w:val="00A06425"/>
    <w:rsid w:val="00A2459D"/>
    <w:rsid w:val="00A259C4"/>
    <w:rsid w:val="00AC7796"/>
    <w:rsid w:val="00B871B6"/>
    <w:rsid w:val="00C524B3"/>
    <w:rsid w:val="00C64B1B"/>
    <w:rsid w:val="00CD5EB0"/>
    <w:rsid w:val="00CF1637"/>
    <w:rsid w:val="00D179F2"/>
    <w:rsid w:val="00D214AB"/>
    <w:rsid w:val="00D24830"/>
    <w:rsid w:val="00E02A2D"/>
    <w:rsid w:val="00E03C72"/>
    <w:rsid w:val="00E14C33"/>
    <w:rsid w:val="00EC7391"/>
    <w:rsid w:val="00F25E63"/>
    <w:rsid w:val="00F86451"/>
    <w:rsid w:val="00FA344B"/>
    <w:rsid w:val="00FB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811369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rsid w:val="00D214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214A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214AB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214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214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699</Words>
  <Characters>4447</Characters>
  <Application>Microsoft Office Word</Application>
  <DocSecurity>4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2</cp:revision>
  <dcterms:created xsi:type="dcterms:W3CDTF">2020-12-01T11:23:00Z</dcterms:created>
  <dcterms:modified xsi:type="dcterms:W3CDTF">2020-12-01T11:23:00Z</dcterms:modified>
</cp:coreProperties>
</file>