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07" w14:textId="3E798A99" w:rsidR="00CB1A6B" w:rsidRPr="00A74136" w:rsidRDefault="00A22892" w:rsidP="00A74136">
      <w:pPr>
        <w:spacing w:after="240"/>
        <w:ind w:left="1276"/>
        <w:rPr>
          <w:rFonts w:ascii="Calibri" w:hAnsi="Calibri" w:cs="Calibri"/>
          <w:sz w:val="28"/>
          <w:szCs w:val="28"/>
        </w:rPr>
      </w:pPr>
      <w:bookmarkStart w:id="0" w:name="OLE_LINK3"/>
      <w:bookmarkStart w:id="1" w:name="OLE_LINK4"/>
      <w:r w:rsidRPr="00A74136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7C6EB5E" wp14:editId="0540628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A74136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="00CB1A6B" w:rsidRPr="00A74136"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CB1A6B" w:rsidRPr="00A74136">
        <w:rPr>
          <w:rFonts w:ascii="Calibri" w:hAnsi="Calibri" w:cs="Calibri"/>
          <w:b/>
          <w:sz w:val="28"/>
          <w:szCs w:val="28"/>
        </w:rPr>
        <w:t>właściwy w sprawach rozpoznawanych</w:t>
      </w:r>
      <w:r w:rsidR="00CB1A6B" w:rsidRPr="00A74136">
        <w:rPr>
          <w:rFonts w:ascii="Calibri" w:hAnsi="Calibri" w:cs="Calibri"/>
          <w:b/>
          <w:sz w:val="28"/>
          <w:szCs w:val="28"/>
        </w:rPr>
        <w:br/>
        <w:t xml:space="preserve">przez </w:t>
      </w:r>
      <w:r w:rsidR="00CB1A6B" w:rsidRPr="00A74136">
        <w:rPr>
          <w:rFonts w:ascii="Calibri" w:hAnsi="Calibri" w:cs="Calibri"/>
          <w:color w:val="ED7D31"/>
          <w:sz w:val="28"/>
          <w:szCs w:val="28"/>
        </w:rPr>
        <w:t>/nazwa komisji orzekającej</w:t>
      </w:r>
      <w:r w:rsidR="00CB1A6B" w:rsidRPr="00A74136">
        <w:rPr>
          <w:rFonts w:ascii="Calibri" w:hAnsi="Calibri" w:cs="Calibri"/>
          <w:i/>
          <w:color w:val="ED7D31"/>
          <w:sz w:val="28"/>
          <w:szCs w:val="28"/>
        </w:rPr>
        <w:t>/</w:t>
      </w:r>
    </w:p>
    <w:bookmarkEnd w:id="0"/>
    <w:bookmarkEnd w:id="1"/>
    <w:p w14:paraId="44F6A7B4" w14:textId="4DA89F94" w:rsidR="00A22892" w:rsidRPr="004F133D" w:rsidRDefault="00A22892" w:rsidP="002075D9">
      <w:pPr>
        <w:tabs>
          <w:tab w:val="left" w:pos="5103"/>
        </w:tabs>
        <w:spacing w:after="12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 w:rsidRPr="004F133D">
        <w:rPr>
          <w:rFonts w:asciiTheme="minorHAnsi" w:hAnsiTheme="minorHAnsi" w:cstheme="minorHAnsi"/>
          <w:color w:val="ED7D31"/>
        </w:rPr>
        <w:t xml:space="preserve">Miejscowość, </w:t>
      </w:r>
      <w:r w:rsidR="005669E0">
        <w:rPr>
          <w:rFonts w:ascii="Calibri" w:hAnsi="Calibri"/>
        </w:rPr>
        <w:t xml:space="preserve">, </w:t>
      </w:r>
      <w:r w:rsidR="005669E0">
        <w:rPr>
          <w:rFonts w:ascii="Calibri" w:hAnsi="Calibri"/>
        </w:rPr>
        <w:fldChar w:fldCharType="begin"/>
      </w:r>
      <w:r w:rsidR="005669E0">
        <w:rPr>
          <w:rFonts w:ascii="Calibri" w:hAnsi="Calibri"/>
        </w:rPr>
        <w:instrText xml:space="preserve"> DATE  \@ "d MMMM yyyy"  \* MERGEFORMAT </w:instrText>
      </w:r>
      <w:r w:rsidR="005669E0">
        <w:rPr>
          <w:rFonts w:ascii="Calibri" w:hAnsi="Calibri"/>
        </w:rPr>
        <w:fldChar w:fldCharType="separate"/>
      </w:r>
      <w:r w:rsidR="00A725EA">
        <w:rPr>
          <w:rFonts w:ascii="Calibri" w:hAnsi="Calibri"/>
          <w:noProof/>
        </w:rPr>
        <w:t>21 lutego 2024</w:t>
      </w:r>
      <w:r w:rsidR="005669E0">
        <w:rPr>
          <w:rFonts w:ascii="Calibri" w:hAnsi="Calibri"/>
        </w:rPr>
        <w:fldChar w:fldCharType="end"/>
      </w:r>
      <w:r w:rsidR="005669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A22892" w:rsidRPr="004F133D" w14:paraId="39AB30EB" w14:textId="77777777" w:rsidTr="002462E4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458C7D2E" w14:textId="0F007D54" w:rsidR="00A22892" w:rsidRPr="004F133D" w:rsidRDefault="00A22892" w:rsidP="00E3034E">
            <w:pPr>
              <w:spacing w:after="120" w:line="276" w:lineRule="auto"/>
              <w:ind w:left="1348" w:hanging="141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303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wezwanie do uzupełnienia zawiadomienia</w:t>
            </w:r>
          </w:p>
        </w:tc>
      </w:tr>
      <w:tr w:rsidR="00A22892" w:rsidRPr="004F133D" w14:paraId="14FE67EB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77806DBA" w14:textId="418204C1" w:rsidR="00A22892" w:rsidRPr="004F133D" w:rsidRDefault="00A22892" w:rsidP="000D6785">
            <w:pPr>
              <w:tabs>
                <w:tab w:val="left" w:pos="106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A22892" w:rsidRPr="004F133D" w14:paraId="65ADA878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7EE552D9" w14:textId="35F1372E" w:rsidR="00A22892" w:rsidRPr="004F133D" w:rsidRDefault="00A22892" w:rsidP="002075D9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120195B5" w14:textId="773C172F" w:rsidR="000D6785" w:rsidRPr="004F133D" w:rsidRDefault="00A22892" w:rsidP="000D6785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D6785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tel. </w:t>
            </w:r>
            <w:r w:rsidR="000D678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0D6785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0D678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0D6785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572C9DC6" w14:textId="61D8FD25" w:rsidR="00A22892" w:rsidRPr="004F133D" w:rsidRDefault="000D6785" w:rsidP="000D6785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30B189DD" w14:textId="35938AC4" w:rsidR="00743BB3" w:rsidRPr="00614C19" w:rsidRDefault="00743BB3" w:rsidP="00614C19">
      <w:pPr>
        <w:tabs>
          <w:tab w:val="left" w:pos="5103"/>
        </w:tabs>
        <w:spacing w:line="276" w:lineRule="auto"/>
        <w:ind w:firstLine="5103"/>
        <w:contextualSpacing/>
        <w:rPr>
          <w:rFonts w:asciiTheme="minorHAnsi" w:hAnsiTheme="minorHAnsi" w:cstheme="minorHAnsi"/>
          <w:color w:val="ED7D31"/>
          <w:sz w:val="16"/>
          <w:szCs w:val="16"/>
        </w:rPr>
      </w:pPr>
    </w:p>
    <w:p w14:paraId="1FE0B9C2" w14:textId="105FBA03" w:rsidR="00493127" w:rsidRPr="00493127" w:rsidRDefault="00493127" w:rsidP="00150F02">
      <w:pPr>
        <w:spacing w:line="276" w:lineRule="auto"/>
        <w:ind w:left="4678"/>
        <w:rPr>
          <w:rFonts w:ascii="Calibri" w:hAnsi="Calibri" w:cs="Calibri"/>
          <w:b/>
          <w:color w:val="ED7D31" w:themeColor="accent2"/>
        </w:rPr>
      </w:pPr>
      <w:r w:rsidRPr="00E65D9C">
        <w:rPr>
          <w:rFonts w:ascii="Calibri" w:hAnsi="Calibri" w:cs="Calibri"/>
          <w:b/>
          <w:color w:val="ED7D31" w:themeColor="accent2"/>
        </w:rPr>
        <w:t xml:space="preserve">Pan </w:t>
      </w:r>
      <w:r w:rsidR="009117E0">
        <w:rPr>
          <w:rFonts w:ascii="Calibri" w:hAnsi="Calibri" w:cs="Calibri"/>
          <w:b/>
          <w:color w:val="ED7D31" w:themeColor="accent2"/>
        </w:rPr>
        <w:t>/ imię i nazwisko /</w:t>
      </w:r>
    </w:p>
    <w:p w14:paraId="7DBAD4C0" w14:textId="0B430A8A" w:rsidR="00493127" w:rsidRPr="00493127" w:rsidRDefault="00493127" w:rsidP="00150F02">
      <w:pPr>
        <w:spacing w:line="276" w:lineRule="auto"/>
        <w:ind w:left="4678"/>
        <w:rPr>
          <w:rFonts w:ascii="Calibri" w:hAnsi="Calibri" w:cs="Calibri"/>
          <w:color w:val="ED7D31" w:themeColor="accent2"/>
        </w:rPr>
      </w:pPr>
      <w:r w:rsidRPr="00493127">
        <w:rPr>
          <w:rFonts w:ascii="Calibri" w:hAnsi="Calibri" w:cs="Calibri"/>
          <w:color w:val="ED7D31" w:themeColor="accent2"/>
        </w:rPr>
        <w:t>/Kierownik jednostki, której dotyczy informacja, oraz organ sprawujący nadzór nad tą jednostką/</w:t>
      </w:r>
    </w:p>
    <w:p w14:paraId="1D3EBDD8" w14:textId="0428D6C8" w:rsidR="000F3AF6" w:rsidRPr="000F3AF6" w:rsidRDefault="00E3034E" w:rsidP="00150F02">
      <w:pPr>
        <w:pStyle w:val="Nagwek1"/>
        <w:spacing w:before="360" w:after="0" w:line="276" w:lineRule="auto"/>
        <w:rPr>
          <w:rFonts w:ascii="Calibri" w:hAnsi="Calibri" w:cs="Calibri"/>
        </w:rPr>
      </w:pPr>
      <w:r w:rsidRPr="00DF7F5A">
        <w:rPr>
          <w:rFonts w:ascii="Calibri" w:hAnsi="Calibri" w:cs="Calibri"/>
        </w:rPr>
        <w:t>Zarządzenie</w:t>
      </w:r>
      <w:r w:rsidR="000F3AF6">
        <w:rPr>
          <w:rFonts w:ascii="Calibri" w:hAnsi="Calibri" w:cs="Calibri"/>
        </w:rPr>
        <w:br/>
      </w:r>
      <w:r w:rsidR="00390026" w:rsidRPr="00E55F2E">
        <w:rPr>
          <w:rFonts w:ascii="Calibri" w:hAnsi="Calibri" w:cs="Calibri"/>
        </w:rPr>
        <w:t xml:space="preserve">o przekazaniu informacji o ujawnionych okolicznościach, </w:t>
      </w:r>
      <w:r w:rsidR="00390026">
        <w:rPr>
          <w:rFonts w:ascii="Calibri" w:hAnsi="Calibri" w:cs="Calibri"/>
        </w:rPr>
        <w:br/>
      </w:r>
      <w:r w:rsidR="00390026" w:rsidRPr="00E55F2E">
        <w:rPr>
          <w:rFonts w:ascii="Calibri" w:hAnsi="Calibri" w:cs="Calibri"/>
        </w:rPr>
        <w:t>wskazujących na naruszenie dyscypliny finansów publicznyc</w:t>
      </w:r>
      <w:r w:rsidR="000F3AF6" w:rsidRPr="00426CB5">
        <w:rPr>
          <w:rFonts w:ascii="Calibri" w:hAnsi="Calibri" w:cs="Calibri"/>
        </w:rPr>
        <w:t>h</w:t>
      </w:r>
      <w:r w:rsidR="000F3AF6" w:rsidRPr="000F3AF6">
        <w:rPr>
          <w:rFonts w:ascii="Calibri" w:hAnsi="Calibri" w:cs="Calibri"/>
        </w:rPr>
        <w:t xml:space="preserve"> </w:t>
      </w:r>
    </w:p>
    <w:p w14:paraId="16272CEC" w14:textId="0B05D71F" w:rsidR="007206F4" w:rsidRPr="00E65D9C" w:rsidRDefault="007206F4" w:rsidP="00150F02">
      <w:pPr>
        <w:spacing w:before="240" w:line="276" w:lineRule="auto"/>
        <w:rPr>
          <w:rFonts w:ascii="Calibri" w:hAnsi="Calibri" w:cs="Calibri"/>
          <w:color w:val="ED7D31" w:themeColor="accent2"/>
        </w:rPr>
      </w:pPr>
      <w:r w:rsidRPr="00E65D9C">
        <w:rPr>
          <w:rFonts w:ascii="Calibri" w:hAnsi="Calibri" w:cs="Calibri"/>
          <w:color w:val="ED7D31" w:themeColor="accent2"/>
        </w:rPr>
        <w:t>Szanowny Panie,</w:t>
      </w:r>
    </w:p>
    <w:p w14:paraId="53345674" w14:textId="7B784F62" w:rsidR="00390026" w:rsidRPr="00493127" w:rsidRDefault="00390026" w:rsidP="00150F02">
      <w:pPr>
        <w:spacing w:before="120" w:line="276" w:lineRule="auto"/>
        <w:rPr>
          <w:rFonts w:ascii="Calibri" w:hAnsi="Calibri" w:cs="Calibri"/>
          <w:color w:val="auto"/>
        </w:rPr>
      </w:pPr>
      <w:r w:rsidRPr="00493127">
        <w:rPr>
          <w:rFonts w:ascii="Calibri" w:hAnsi="Calibri" w:cs="Calibri"/>
          <w:b/>
          <w:color w:val="auto"/>
        </w:rPr>
        <w:t>przekazuję</w:t>
      </w:r>
      <w:r w:rsidR="00493127">
        <w:rPr>
          <w:rStyle w:val="Odwoanieprzypisudolnego"/>
          <w:rFonts w:ascii="Calibri" w:hAnsi="Calibri" w:cs="Calibri"/>
          <w:b/>
          <w:color w:val="auto"/>
        </w:rPr>
        <w:footnoteReference w:id="1"/>
      </w:r>
      <w:r w:rsidRPr="00493127">
        <w:rPr>
          <w:rFonts w:ascii="Calibri" w:hAnsi="Calibri" w:cs="Calibri"/>
          <w:b/>
          <w:color w:val="auto"/>
        </w:rPr>
        <w:t xml:space="preserve"> w załączeniu informację </w:t>
      </w:r>
      <w:r w:rsidRPr="00493127">
        <w:rPr>
          <w:rFonts w:ascii="Calibri" w:hAnsi="Calibri" w:cs="Calibri"/>
          <w:color w:val="auto"/>
        </w:rPr>
        <w:t xml:space="preserve">z </w:t>
      </w:r>
      <w:r w:rsidRPr="00493127">
        <w:rPr>
          <w:rFonts w:ascii="Calibri" w:hAnsi="Calibri" w:cs="Calibri"/>
          <w:color w:val="ED7D31" w:themeColor="accent2"/>
        </w:rPr>
        <w:t>/</w:t>
      </w:r>
      <w:r w:rsidR="00493127" w:rsidRPr="00493127">
        <w:rPr>
          <w:rFonts w:ascii="Calibri" w:hAnsi="Calibri" w:cs="Calibri"/>
          <w:color w:val="ED7D31" w:themeColor="accent2"/>
        </w:rPr>
        <w:t xml:space="preserve"> podaj datę </w:t>
      </w:r>
      <w:r w:rsidRPr="00493127">
        <w:rPr>
          <w:rFonts w:ascii="Calibri" w:hAnsi="Calibri" w:cs="Calibri"/>
          <w:color w:val="ED7D31" w:themeColor="accent2"/>
        </w:rPr>
        <w:t xml:space="preserve">/ </w:t>
      </w:r>
      <w:r w:rsidRPr="00493127">
        <w:rPr>
          <w:rFonts w:ascii="Calibri" w:hAnsi="Calibri" w:cs="Calibri"/>
          <w:color w:val="auto"/>
        </w:rPr>
        <w:t xml:space="preserve">o naruszeniu dyscypliny finansów publicznych w </w:t>
      </w:r>
      <w:r w:rsidRPr="00150F02">
        <w:rPr>
          <w:rFonts w:ascii="Calibri" w:hAnsi="Calibri" w:cs="Calibri"/>
          <w:color w:val="ED7D31" w:themeColor="accent2"/>
        </w:rPr>
        <w:t>/</w:t>
      </w:r>
      <w:r w:rsidR="00493127" w:rsidRPr="00150F02">
        <w:rPr>
          <w:rFonts w:ascii="Calibri" w:hAnsi="Calibri" w:cs="Calibri"/>
          <w:color w:val="ED7D31" w:themeColor="accent2"/>
        </w:rPr>
        <w:t xml:space="preserve"> </w:t>
      </w:r>
      <w:r w:rsidR="00150F02" w:rsidRPr="00150F02">
        <w:rPr>
          <w:rFonts w:ascii="Calibri" w:hAnsi="Calibri" w:cs="Calibri"/>
          <w:color w:val="ED7D31" w:themeColor="accent2"/>
        </w:rPr>
        <w:t>wymień</w:t>
      </w:r>
      <w:r w:rsidRPr="00150F02">
        <w:rPr>
          <w:rFonts w:ascii="Calibri" w:hAnsi="Calibri" w:cs="Calibri"/>
          <w:color w:val="ED7D31" w:themeColor="accent2"/>
        </w:rPr>
        <w:t xml:space="preserve"> jednostkę sektora finansów publicznych, której dotyczy informacja</w:t>
      </w:r>
      <w:r w:rsidR="00150F02">
        <w:rPr>
          <w:rFonts w:ascii="Calibri" w:hAnsi="Calibri" w:cs="Calibri"/>
          <w:color w:val="ED7D31" w:themeColor="accent2"/>
        </w:rPr>
        <w:t xml:space="preserve"> </w:t>
      </w:r>
      <w:r w:rsidRPr="00150F02">
        <w:rPr>
          <w:rFonts w:ascii="Calibri" w:hAnsi="Calibri" w:cs="Calibri"/>
          <w:color w:val="ED7D31" w:themeColor="accent2"/>
        </w:rPr>
        <w:t>/</w:t>
      </w:r>
      <w:r w:rsidRPr="00493127">
        <w:rPr>
          <w:rFonts w:ascii="Calibri" w:hAnsi="Calibri" w:cs="Calibri"/>
          <w:color w:val="auto"/>
        </w:rPr>
        <w:t xml:space="preserve">, która została złożona do rzecznika dyscypliny w </w:t>
      </w:r>
      <w:r w:rsidRPr="00150F02">
        <w:rPr>
          <w:rFonts w:ascii="Calibri" w:hAnsi="Calibri" w:cs="Calibri"/>
          <w:color w:val="ED7D31" w:themeColor="accent2"/>
        </w:rPr>
        <w:t>/</w:t>
      </w:r>
      <w:r w:rsidR="00150F02" w:rsidRPr="00150F02">
        <w:rPr>
          <w:rFonts w:ascii="Calibri" w:hAnsi="Calibri" w:cs="Calibri"/>
          <w:color w:val="ED7D31" w:themeColor="accent2"/>
        </w:rPr>
        <w:t xml:space="preserve"> </w:t>
      </w:r>
      <w:r w:rsidRPr="00150F02">
        <w:rPr>
          <w:rFonts w:ascii="Calibri" w:hAnsi="Calibri" w:cs="Calibri"/>
          <w:color w:val="ED7D31" w:themeColor="accent2"/>
        </w:rPr>
        <w:t>tu data</w:t>
      </w:r>
      <w:r w:rsidR="00150F02">
        <w:rPr>
          <w:rFonts w:ascii="Calibri" w:hAnsi="Calibri" w:cs="Calibri"/>
          <w:color w:val="ED7D31" w:themeColor="accent2"/>
        </w:rPr>
        <w:t xml:space="preserve"> </w:t>
      </w:r>
      <w:r w:rsidRPr="00150F02">
        <w:rPr>
          <w:rFonts w:ascii="Calibri" w:hAnsi="Calibri" w:cs="Calibri"/>
          <w:color w:val="ED7D31" w:themeColor="accent2"/>
        </w:rPr>
        <w:t>/</w:t>
      </w:r>
      <w:r w:rsidRPr="00493127">
        <w:rPr>
          <w:rFonts w:ascii="Calibri" w:hAnsi="Calibri" w:cs="Calibri"/>
          <w:color w:val="auto"/>
        </w:rPr>
        <w:t xml:space="preserve"> przez </w:t>
      </w:r>
      <w:r w:rsidRPr="00150F02">
        <w:rPr>
          <w:rFonts w:ascii="Calibri" w:hAnsi="Calibri" w:cs="Calibri"/>
          <w:color w:val="ED7D31" w:themeColor="accent2"/>
        </w:rPr>
        <w:t>/</w:t>
      </w:r>
      <w:r w:rsidR="00150F02" w:rsidRPr="00150F02">
        <w:rPr>
          <w:rFonts w:ascii="Calibri" w:hAnsi="Calibri" w:cs="Calibri"/>
          <w:color w:val="ED7D31" w:themeColor="accent2"/>
        </w:rPr>
        <w:t xml:space="preserve"> </w:t>
      </w:r>
      <w:r w:rsidRPr="00150F02">
        <w:rPr>
          <w:rFonts w:ascii="Calibri" w:hAnsi="Calibri" w:cs="Calibri"/>
          <w:color w:val="ED7D31" w:themeColor="accent2"/>
        </w:rPr>
        <w:t>tu podmiot składający informację - „zawiadamiający”</w:t>
      </w:r>
      <w:r w:rsidR="00150F02">
        <w:rPr>
          <w:rFonts w:ascii="Calibri" w:hAnsi="Calibri" w:cs="Calibri"/>
          <w:color w:val="ED7D31" w:themeColor="accent2"/>
        </w:rPr>
        <w:t xml:space="preserve"> </w:t>
      </w:r>
      <w:r w:rsidRPr="00150F02">
        <w:rPr>
          <w:rFonts w:ascii="Calibri" w:hAnsi="Calibri" w:cs="Calibri"/>
          <w:color w:val="ED7D31" w:themeColor="accent2"/>
        </w:rPr>
        <w:t>/</w:t>
      </w:r>
      <w:r w:rsidRPr="00493127">
        <w:rPr>
          <w:rFonts w:ascii="Calibri" w:hAnsi="Calibri" w:cs="Calibri"/>
          <w:color w:val="auto"/>
        </w:rPr>
        <w:t>.</w:t>
      </w:r>
    </w:p>
    <w:p w14:paraId="19E58406" w14:textId="79AA7CB9" w:rsidR="00390026" w:rsidRPr="00493127" w:rsidRDefault="00FE7705" w:rsidP="00150F02">
      <w:pPr>
        <w:spacing w:before="120" w:line="276" w:lineRule="auto"/>
        <w:rPr>
          <w:rFonts w:ascii="Calibri" w:eastAsia="Times New Roman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390026" w:rsidRPr="00493127">
        <w:rPr>
          <w:rFonts w:ascii="Calibri" w:hAnsi="Calibri" w:cs="Calibri"/>
          <w:color w:val="auto"/>
        </w:rPr>
        <w:t>odmioty uprawnione i zobowiązane do złożenia zawiadomienia o naruszeniu dyscypliny finansów publicznych</w:t>
      </w:r>
      <w:r>
        <w:rPr>
          <w:rStyle w:val="Odwoanieprzypisudolnego"/>
          <w:rFonts w:ascii="Calibri" w:hAnsi="Calibri" w:cs="Calibri"/>
          <w:color w:val="auto"/>
        </w:rPr>
        <w:footnoteReference w:id="2"/>
      </w:r>
      <w:r w:rsidRPr="00493127">
        <w:rPr>
          <w:rFonts w:ascii="Calibri" w:hAnsi="Calibri" w:cs="Calibri"/>
          <w:color w:val="auto"/>
        </w:rPr>
        <w:t>:</w:t>
      </w:r>
      <w:r w:rsidR="00390026" w:rsidRPr="00493127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to</w:t>
      </w:r>
      <w:r w:rsidR="00390026" w:rsidRPr="00493127">
        <w:rPr>
          <w:rFonts w:ascii="Calibri" w:hAnsi="Calibri" w:cs="Calibri"/>
          <w:color w:val="auto"/>
        </w:rPr>
        <w:t xml:space="preserve"> </w:t>
      </w:r>
      <w:r>
        <w:rPr>
          <w:rFonts w:ascii="Calibri" w:eastAsia="Times New Roman" w:hAnsi="Calibri" w:cs="Calibri"/>
          <w:color w:val="auto"/>
        </w:rPr>
        <w:t>kierownik</w:t>
      </w:r>
      <w:r w:rsidR="00390026" w:rsidRPr="00493127">
        <w:rPr>
          <w:rFonts w:ascii="Calibri" w:eastAsia="Times New Roman" w:hAnsi="Calibri" w:cs="Calibri"/>
          <w:color w:val="auto"/>
        </w:rPr>
        <w:t xml:space="preserve"> jednostki sektora </w:t>
      </w:r>
      <w:r>
        <w:rPr>
          <w:rFonts w:ascii="Calibri" w:eastAsia="Times New Roman" w:hAnsi="Calibri" w:cs="Calibri"/>
          <w:color w:val="auto"/>
        </w:rPr>
        <w:t>finansów publicznych, kierownik</w:t>
      </w:r>
      <w:r w:rsidR="00390026" w:rsidRPr="00493127">
        <w:rPr>
          <w:rFonts w:ascii="Calibri" w:eastAsia="Times New Roman" w:hAnsi="Calibri" w:cs="Calibri"/>
          <w:color w:val="auto"/>
        </w:rPr>
        <w:t xml:space="preserve"> podmiotu niezaliczanego do sektora finansów publicznych, któremu przekazano do wykorzystania lub dysponowania środki publiczne, organ sprawujący nadzór nad jednostką sektora finansów publicznych, organ stanowiący jednostki s</w:t>
      </w:r>
      <w:r>
        <w:rPr>
          <w:rFonts w:ascii="Calibri" w:eastAsia="Times New Roman" w:hAnsi="Calibri" w:cs="Calibri"/>
          <w:color w:val="auto"/>
        </w:rPr>
        <w:t>amorządu terytorialnego, komisja stała</w:t>
      </w:r>
      <w:r w:rsidR="00390026" w:rsidRPr="00493127">
        <w:rPr>
          <w:rFonts w:ascii="Calibri" w:eastAsia="Times New Roman" w:hAnsi="Calibri" w:cs="Calibri"/>
          <w:color w:val="auto"/>
        </w:rPr>
        <w:t xml:space="preserve"> organu stanowiącego samorządu terytorialnego, organ kontroli lub kierownik jednostki prowadzącej kontrolę jednostki sektora finansów publicznych, dysponent przekazując</w:t>
      </w:r>
      <w:r>
        <w:rPr>
          <w:rFonts w:ascii="Calibri" w:eastAsia="Times New Roman" w:hAnsi="Calibri" w:cs="Calibri"/>
          <w:color w:val="auto"/>
        </w:rPr>
        <w:t>y</w:t>
      </w:r>
      <w:r w:rsidR="00390026" w:rsidRPr="00493127">
        <w:rPr>
          <w:rFonts w:ascii="Calibri" w:eastAsia="Times New Roman" w:hAnsi="Calibri" w:cs="Calibri"/>
          <w:color w:val="auto"/>
        </w:rPr>
        <w:t xml:space="preserve"> środki publiczne jednostce sektora finansów publicznych lub podmiotowi niezaliczanemu do sektora finansów publicznych, organ założycielski jednostki sektora finansów publicznych.</w:t>
      </w:r>
    </w:p>
    <w:p w14:paraId="15069287" w14:textId="642DDDBE" w:rsidR="00390026" w:rsidRPr="00493127" w:rsidRDefault="00390026" w:rsidP="00150F02">
      <w:pPr>
        <w:spacing w:before="120" w:line="276" w:lineRule="auto"/>
        <w:rPr>
          <w:rFonts w:ascii="Calibri" w:hAnsi="Calibri" w:cs="Calibri"/>
          <w:color w:val="auto"/>
        </w:rPr>
      </w:pPr>
      <w:r w:rsidRPr="00150F02">
        <w:rPr>
          <w:rFonts w:ascii="Calibri" w:hAnsi="Calibri" w:cs="Calibri"/>
          <w:color w:val="ED7D31" w:themeColor="accent2"/>
        </w:rPr>
        <w:lastRenderedPageBreak/>
        <w:t>/</w:t>
      </w:r>
      <w:r w:rsidR="00150F02" w:rsidRPr="00150F02">
        <w:rPr>
          <w:rFonts w:ascii="Calibri" w:hAnsi="Calibri" w:cs="Calibri"/>
          <w:color w:val="ED7D31" w:themeColor="accent2"/>
        </w:rPr>
        <w:t xml:space="preserve"> </w:t>
      </w:r>
      <w:r w:rsidRPr="00150F02">
        <w:rPr>
          <w:rFonts w:ascii="Calibri" w:hAnsi="Calibri" w:cs="Calibri"/>
          <w:color w:val="ED7D31" w:themeColor="accent2"/>
        </w:rPr>
        <w:t>tu nazwa podmiotu składającego „zawiadomienie”</w:t>
      </w:r>
      <w:r w:rsidR="00150F02" w:rsidRPr="00150F02">
        <w:rPr>
          <w:rFonts w:ascii="Calibri" w:hAnsi="Calibri" w:cs="Calibri"/>
          <w:color w:val="ED7D31" w:themeColor="accent2"/>
        </w:rPr>
        <w:t xml:space="preserve"> </w:t>
      </w:r>
      <w:r w:rsidRPr="00150F02">
        <w:rPr>
          <w:rFonts w:ascii="Calibri" w:hAnsi="Calibri" w:cs="Calibri"/>
          <w:color w:val="ED7D31" w:themeColor="accent2"/>
        </w:rPr>
        <w:t xml:space="preserve">/ </w:t>
      </w:r>
      <w:r w:rsidRPr="00493127">
        <w:rPr>
          <w:rFonts w:ascii="Calibri" w:hAnsi="Calibri" w:cs="Calibri"/>
          <w:color w:val="auto"/>
        </w:rPr>
        <w:t>nie jest podmiotem „zawiadamiającym”</w:t>
      </w:r>
      <w:r w:rsidRPr="00493127">
        <w:rPr>
          <w:rFonts w:ascii="Calibri" w:hAnsi="Calibri" w:cs="Calibri"/>
          <w:i/>
          <w:color w:val="auto"/>
        </w:rPr>
        <w:t xml:space="preserve"> </w:t>
      </w:r>
      <w:r w:rsidR="00150F02">
        <w:rPr>
          <w:rFonts w:ascii="Calibri" w:hAnsi="Calibri" w:cs="Calibri"/>
          <w:color w:val="auto"/>
        </w:rPr>
        <w:t>w </w:t>
      </w:r>
      <w:r w:rsidRPr="00493127">
        <w:rPr>
          <w:rFonts w:ascii="Calibri" w:hAnsi="Calibri" w:cs="Calibri"/>
          <w:color w:val="auto"/>
        </w:rPr>
        <w:t>rozumieniu ustawy</w:t>
      </w:r>
      <w:r w:rsidR="00150F02">
        <w:rPr>
          <w:rStyle w:val="Odwoanieprzypisudolnego"/>
          <w:rFonts w:ascii="Calibri" w:hAnsi="Calibri" w:cs="Calibri"/>
          <w:color w:val="auto"/>
        </w:rPr>
        <w:footnoteReference w:id="3"/>
      </w:r>
      <w:r w:rsidRPr="00493127">
        <w:rPr>
          <w:rFonts w:ascii="Calibri" w:hAnsi="Calibri" w:cs="Calibri"/>
          <w:color w:val="auto"/>
        </w:rPr>
        <w:t xml:space="preserve"> i pismo w sprawie naruszenia dyscypliny finansów publicznych w </w:t>
      </w:r>
      <w:r w:rsidRPr="00150F02">
        <w:rPr>
          <w:rFonts w:ascii="Calibri" w:hAnsi="Calibri" w:cs="Calibri"/>
          <w:color w:val="ED7D31" w:themeColor="accent2"/>
        </w:rPr>
        <w:t>/</w:t>
      </w:r>
      <w:r w:rsidR="00150F02">
        <w:rPr>
          <w:rFonts w:ascii="Calibri" w:hAnsi="Calibri" w:cs="Calibri"/>
          <w:color w:val="ED7D31" w:themeColor="accent2"/>
        </w:rPr>
        <w:t xml:space="preserve"> </w:t>
      </w:r>
      <w:r w:rsidRPr="00150F02">
        <w:rPr>
          <w:rFonts w:ascii="Calibri" w:hAnsi="Calibri" w:cs="Calibri"/>
          <w:color w:val="ED7D31" w:themeColor="accent2"/>
        </w:rPr>
        <w:t>tu nazwa jednostki, której dotyczy pismo</w:t>
      </w:r>
      <w:r w:rsidR="00150F02">
        <w:rPr>
          <w:rFonts w:ascii="Calibri" w:hAnsi="Calibri" w:cs="Calibri"/>
          <w:color w:val="ED7D31" w:themeColor="accent2"/>
        </w:rPr>
        <w:t xml:space="preserve"> </w:t>
      </w:r>
      <w:r w:rsidRPr="00150F02">
        <w:rPr>
          <w:rFonts w:ascii="Calibri" w:hAnsi="Calibri" w:cs="Calibri"/>
          <w:color w:val="ED7D31" w:themeColor="accent2"/>
        </w:rPr>
        <w:t xml:space="preserve">/ </w:t>
      </w:r>
      <w:r w:rsidRPr="00493127">
        <w:rPr>
          <w:rFonts w:ascii="Calibri" w:hAnsi="Calibri" w:cs="Calibri"/>
          <w:color w:val="auto"/>
        </w:rPr>
        <w:t>stanowi informację, a nie zawiadomienie o naruszeniu dyscypliny, nie jest zatem podstawą do podjęcia przez rzecznika dysc</w:t>
      </w:r>
      <w:r w:rsidR="00150F02">
        <w:rPr>
          <w:rFonts w:ascii="Calibri" w:hAnsi="Calibri" w:cs="Calibri"/>
          <w:color w:val="auto"/>
        </w:rPr>
        <w:t>ypliny czynności sprawdzających.</w:t>
      </w:r>
    </w:p>
    <w:p w14:paraId="38300F4C" w14:textId="33ABBA72" w:rsidR="00390026" w:rsidRPr="00493127" w:rsidRDefault="00390026" w:rsidP="00150F02">
      <w:pPr>
        <w:spacing w:before="120" w:line="276" w:lineRule="auto"/>
        <w:rPr>
          <w:rFonts w:ascii="Calibri" w:hAnsi="Calibri" w:cs="Calibri"/>
          <w:color w:val="auto"/>
        </w:rPr>
      </w:pPr>
      <w:r w:rsidRPr="00493127">
        <w:rPr>
          <w:rFonts w:ascii="Calibri" w:hAnsi="Calibri" w:cs="Calibri"/>
          <w:color w:val="auto"/>
        </w:rPr>
        <w:t xml:space="preserve">Rzecznik dyscypliny finansów publicznych ma obowiązek przekazania informacji o naruszeniu dyscypliny finansów publicznych – skierowanej do niego przez osoby i organy </w:t>
      </w:r>
      <w:r w:rsidR="00150F02">
        <w:rPr>
          <w:rFonts w:ascii="Calibri" w:hAnsi="Calibri" w:cs="Calibri"/>
          <w:color w:val="auto"/>
        </w:rPr>
        <w:t>niewymienione w </w:t>
      </w:r>
      <w:r w:rsidRPr="00493127">
        <w:rPr>
          <w:rFonts w:ascii="Calibri" w:hAnsi="Calibri" w:cs="Calibri"/>
          <w:color w:val="auto"/>
        </w:rPr>
        <w:t>art. 93 ust. 1 ustawy – kierownikowi jednostki, której ona dotyczy, oraz organowi sprawującemu nadzór nad tą jednostką.</w:t>
      </w:r>
    </w:p>
    <w:p w14:paraId="26C7B0AD" w14:textId="73B3E797" w:rsidR="00390026" w:rsidRPr="00493127" w:rsidRDefault="00390026" w:rsidP="00150F02">
      <w:pPr>
        <w:spacing w:before="120" w:line="276" w:lineRule="auto"/>
        <w:rPr>
          <w:rFonts w:ascii="Calibri" w:hAnsi="Calibri" w:cs="Calibri"/>
          <w:color w:val="auto"/>
        </w:rPr>
      </w:pPr>
      <w:r w:rsidRPr="00493127">
        <w:rPr>
          <w:rFonts w:ascii="Calibri" w:hAnsi="Calibri" w:cs="Calibri"/>
          <w:color w:val="auto"/>
        </w:rPr>
        <w:t>Kierownik jednostki oraz organ sprawujący nadzór nad jednostką, który otrzymał przekazaną przez rzecznika dyscypliny informację, jest obowiązany p</w:t>
      </w:r>
      <w:r w:rsidR="00E4433F">
        <w:rPr>
          <w:rFonts w:ascii="Calibri" w:hAnsi="Calibri" w:cs="Calibri"/>
          <w:color w:val="auto"/>
        </w:rPr>
        <w:t>rzekazać rzecznikowi dyscypliny</w:t>
      </w:r>
      <w:r w:rsidRPr="009117E0">
        <w:rPr>
          <w:rFonts w:ascii="Calibri" w:hAnsi="Calibri" w:cs="Calibri"/>
          <w:i/>
          <w:color w:val="ED7D31" w:themeColor="accent2"/>
        </w:rPr>
        <w:t xml:space="preserve"> </w:t>
      </w:r>
      <w:r w:rsidR="00E4433F">
        <w:rPr>
          <w:rFonts w:ascii="Calibri" w:hAnsi="Calibri" w:cs="Calibri"/>
          <w:color w:val="auto"/>
        </w:rPr>
        <w:t>informację o </w:t>
      </w:r>
      <w:r w:rsidR="009117E0" w:rsidRPr="00493127">
        <w:rPr>
          <w:rFonts w:ascii="Calibri" w:hAnsi="Calibri" w:cs="Calibri"/>
          <w:color w:val="auto"/>
        </w:rPr>
        <w:t>działaniach</w:t>
      </w:r>
      <w:r w:rsidR="009117E0">
        <w:rPr>
          <w:rFonts w:ascii="Calibri" w:hAnsi="Calibri" w:cs="Calibri"/>
          <w:color w:val="auto"/>
        </w:rPr>
        <w:t>, które</w:t>
      </w:r>
      <w:r w:rsidR="009117E0" w:rsidRPr="00493127">
        <w:rPr>
          <w:rFonts w:ascii="Calibri" w:hAnsi="Calibri" w:cs="Calibri"/>
          <w:color w:val="auto"/>
        </w:rPr>
        <w:t xml:space="preserve"> </w:t>
      </w:r>
      <w:r w:rsidRPr="00493127">
        <w:rPr>
          <w:rFonts w:ascii="Calibri" w:hAnsi="Calibri" w:cs="Calibri"/>
          <w:color w:val="auto"/>
        </w:rPr>
        <w:t>podj</w:t>
      </w:r>
      <w:r w:rsidR="009117E0">
        <w:rPr>
          <w:rFonts w:ascii="Calibri" w:hAnsi="Calibri" w:cs="Calibri"/>
          <w:color w:val="auto"/>
        </w:rPr>
        <w:t>ął, żeby</w:t>
      </w:r>
      <w:r w:rsidRPr="00493127">
        <w:rPr>
          <w:rFonts w:ascii="Calibri" w:hAnsi="Calibri" w:cs="Calibri"/>
          <w:color w:val="auto"/>
        </w:rPr>
        <w:t xml:space="preserve"> ustal</w:t>
      </w:r>
      <w:r w:rsidR="009117E0">
        <w:rPr>
          <w:rFonts w:ascii="Calibri" w:hAnsi="Calibri" w:cs="Calibri"/>
          <w:color w:val="auto"/>
        </w:rPr>
        <w:t>ić</w:t>
      </w:r>
      <w:r w:rsidR="00E4433F">
        <w:rPr>
          <w:rFonts w:ascii="Calibri" w:hAnsi="Calibri" w:cs="Calibri"/>
          <w:color w:val="auto"/>
        </w:rPr>
        <w:t>,</w:t>
      </w:r>
      <w:r w:rsidRPr="00493127">
        <w:rPr>
          <w:rFonts w:ascii="Calibri" w:hAnsi="Calibri" w:cs="Calibri"/>
          <w:color w:val="auto"/>
        </w:rPr>
        <w:t xml:space="preserve"> czy w zakresie opisanym w informacji doszło do naruszenia </w:t>
      </w:r>
      <w:r w:rsidR="00E4433F">
        <w:rPr>
          <w:rFonts w:ascii="Calibri" w:hAnsi="Calibri" w:cs="Calibri"/>
          <w:color w:val="auto"/>
        </w:rPr>
        <w:t>dyscypliny finansów publicznych.</w:t>
      </w:r>
      <w:r w:rsidRPr="00493127">
        <w:rPr>
          <w:rFonts w:ascii="Calibri" w:hAnsi="Calibri" w:cs="Calibri"/>
          <w:color w:val="auto"/>
        </w:rPr>
        <w:t xml:space="preserve"> </w:t>
      </w:r>
      <w:r w:rsidR="00E4433F">
        <w:rPr>
          <w:rFonts w:ascii="Calibri" w:hAnsi="Calibri" w:cs="Calibri"/>
          <w:color w:val="auto"/>
        </w:rPr>
        <w:t xml:space="preserve">Informację o działaniach należy przekazać rzecznikowi </w:t>
      </w:r>
      <w:r w:rsidR="00E4433F" w:rsidRPr="00CC68D4">
        <w:rPr>
          <w:rFonts w:ascii="Calibri" w:hAnsi="Calibri" w:cs="Calibri"/>
          <w:b/>
          <w:color w:val="auto"/>
        </w:rPr>
        <w:t>w terminie do</w:t>
      </w:r>
      <w:r w:rsidR="00E4433F" w:rsidRPr="00493127">
        <w:rPr>
          <w:rFonts w:ascii="Calibri" w:hAnsi="Calibri" w:cs="Calibri"/>
          <w:color w:val="auto"/>
        </w:rPr>
        <w:t xml:space="preserve"> </w:t>
      </w:r>
      <w:r w:rsidR="00E4433F" w:rsidRPr="009117E0">
        <w:rPr>
          <w:rFonts w:ascii="Calibri" w:hAnsi="Calibri" w:cs="Calibri"/>
          <w:color w:val="ED7D31" w:themeColor="accent2"/>
        </w:rPr>
        <w:t xml:space="preserve">/ tu podaj termin </w:t>
      </w:r>
      <w:r w:rsidR="00E4433F" w:rsidRPr="009117E0">
        <w:rPr>
          <w:rFonts w:ascii="Calibri" w:hAnsi="Calibri" w:cs="Calibri"/>
          <w:b/>
          <w:color w:val="ED7D31" w:themeColor="accent2"/>
        </w:rPr>
        <w:t>nie dłuższy niż 3</w:t>
      </w:r>
      <w:r w:rsidR="00E4433F" w:rsidRPr="009117E0">
        <w:rPr>
          <w:rFonts w:ascii="Calibri" w:hAnsi="Calibri" w:cs="Calibri"/>
          <w:b/>
          <w:i/>
          <w:color w:val="ED7D31" w:themeColor="accent2"/>
        </w:rPr>
        <w:t xml:space="preserve"> </w:t>
      </w:r>
      <w:r w:rsidR="00E4433F" w:rsidRPr="009117E0">
        <w:rPr>
          <w:rFonts w:ascii="Calibri" w:hAnsi="Calibri" w:cs="Calibri"/>
          <w:b/>
          <w:color w:val="ED7D31" w:themeColor="accent2"/>
        </w:rPr>
        <w:t xml:space="preserve">miesiące </w:t>
      </w:r>
      <w:r w:rsidR="00E4433F" w:rsidRPr="009117E0">
        <w:rPr>
          <w:rFonts w:ascii="Calibri" w:hAnsi="Calibri" w:cs="Calibri"/>
          <w:color w:val="ED7D31" w:themeColor="accent2"/>
        </w:rPr>
        <w:t xml:space="preserve">i </w:t>
      </w:r>
      <w:r w:rsidR="00E4433F" w:rsidRPr="009117E0">
        <w:rPr>
          <w:rFonts w:ascii="Calibri" w:hAnsi="Calibri" w:cs="Calibri"/>
          <w:b/>
          <w:color w:val="ED7D31" w:themeColor="accent2"/>
        </w:rPr>
        <w:t>nie krótszy niż miesiąc</w:t>
      </w:r>
      <w:r w:rsidR="00E4433F">
        <w:rPr>
          <w:rFonts w:ascii="Calibri" w:hAnsi="Calibri" w:cs="Calibri"/>
          <w:b/>
          <w:color w:val="ED7D31" w:themeColor="accent2"/>
        </w:rPr>
        <w:t xml:space="preserve"> </w:t>
      </w:r>
      <w:r w:rsidR="00E4433F" w:rsidRPr="009117E0">
        <w:rPr>
          <w:rFonts w:ascii="Calibri" w:hAnsi="Calibri" w:cs="Calibri"/>
          <w:color w:val="ED7D31" w:themeColor="accent2"/>
        </w:rPr>
        <w:t>/</w:t>
      </w:r>
      <w:r w:rsidR="00E4433F">
        <w:rPr>
          <w:rFonts w:ascii="Calibri" w:hAnsi="Calibri" w:cs="Calibri"/>
          <w:color w:val="ED7D31" w:themeColor="accent2"/>
        </w:rPr>
        <w:t xml:space="preserve">. </w:t>
      </w:r>
      <w:r w:rsidR="00E4433F">
        <w:rPr>
          <w:rFonts w:ascii="Calibri" w:hAnsi="Calibri" w:cs="Calibri"/>
          <w:color w:val="auto"/>
        </w:rPr>
        <w:t>Następnie,</w:t>
      </w:r>
      <w:r w:rsidR="00E4433F" w:rsidRPr="00493127">
        <w:rPr>
          <w:rFonts w:ascii="Calibri" w:hAnsi="Calibri" w:cs="Calibri"/>
          <w:color w:val="auto"/>
        </w:rPr>
        <w:t xml:space="preserve"> </w:t>
      </w:r>
      <w:r w:rsidR="00E4433F">
        <w:rPr>
          <w:rFonts w:ascii="Calibri" w:hAnsi="Calibri" w:cs="Calibri"/>
          <w:color w:val="auto"/>
        </w:rPr>
        <w:t>k</w:t>
      </w:r>
      <w:r w:rsidR="00E4433F" w:rsidRPr="00493127">
        <w:rPr>
          <w:rFonts w:ascii="Calibri" w:hAnsi="Calibri" w:cs="Calibri"/>
          <w:color w:val="auto"/>
        </w:rPr>
        <w:t>ierownik jednostki oraz organ sprawujący nadzór nad jednostką</w:t>
      </w:r>
      <w:r w:rsidR="00E4433F">
        <w:rPr>
          <w:rFonts w:ascii="Calibri" w:hAnsi="Calibri" w:cs="Calibri"/>
          <w:color w:val="auto"/>
        </w:rPr>
        <w:t>,</w:t>
      </w:r>
      <w:r w:rsidR="00E4433F" w:rsidRPr="00493127">
        <w:rPr>
          <w:rFonts w:ascii="Calibri" w:hAnsi="Calibri" w:cs="Calibri"/>
          <w:color w:val="auto"/>
        </w:rPr>
        <w:t xml:space="preserve"> </w:t>
      </w:r>
      <w:r w:rsidR="00E4433F">
        <w:rPr>
          <w:rFonts w:ascii="Calibri" w:hAnsi="Calibri" w:cs="Calibri"/>
          <w:color w:val="auto"/>
        </w:rPr>
        <w:t xml:space="preserve">powinien </w:t>
      </w:r>
      <w:r w:rsidR="00150F02">
        <w:rPr>
          <w:rFonts w:ascii="Calibri" w:hAnsi="Calibri" w:cs="Calibri"/>
          <w:color w:val="auto"/>
        </w:rPr>
        <w:t xml:space="preserve">informować </w:t>
      </w:r>
      <w:r w:rsidR="00E4433F">
        <w:rPr>
          <w:rFonts w:ascii="Calibri" w:hAnsi="Calibri" w:cs="Calibri"/>
          <w:color w:val="auto"/>
        </w:rPr>
        <w:t xml:space="preserve">rzecznika </w:t>
      </w:r>
      <w:r w:rsidR="00150F02">
        <w:rPr>
          <w:rFonts w:ascii="Calibri" w:hAnsi="Calibri" w:cs="Calibri"/>
          <w:color w:val="auto"/>
        </w:rPr>
        <w:t>o </w:t>
      </w:r>
      <w:r w:rsidRPr="00493127">
        <w:rPr>
          <w:rFonts w:ascii="Calibri" w:hAnsi="Calibri" w:cs="Calibri"/>
          <w:color w:val="auto"/>
        </w:rPr>
        <w:t>dalszych czynnościach w sprawie i ich wynikach, chyba że złoży do rzecznika dyscypliny finansów publicznych zawiadomienie</w:t>
      </w:r>
      <w:r w:rsidR="001D4B72">
        <w:rPr>
          <w:rStyle w:val="Odwoanieprzypisudolnego"/>
          <w:rFonts w:ascii="Calibri" w:hAnsi="Calibri" w:cs="Calibri"/>
          <w:color w:val="auto"/>
        </w:rPr>
        <w:footnoteReference w:id="4"/>
      </w:r>
      <w:r w:rsidRPr="00493127">
        <w:rPr>
          <w:rFonts w:ascii="Calibri" w:hAnsi="Calibri" w:cs="Calibri"/>
          <w:color w:val="auto"/>
        </w:rPr>
        <w:t>.</w:t>
      </w:r>
      <w:r w:rsidR="00492447">
        <w:rPr>
          <w:rFonts w:ascii="Calibri" w:hAnsi="Calibri" w:cs="Calibri"/>
          <w:color w:val="auto"/>
        </w:rPr>
        <w:t xml:space="preserve"> K</w:t>
      </w:r>
      <w:r w:rsidR="00492447" w:rsidRPr="00493127">
        <w:rPr>
          <w:rFonts w:ascii="Calibri" w:hAnsi="Calibri" w:cs="Calibri"/>
          <w:color w:val="auto"/>
        </w:rPr>
        <w:t>ierownik jednostki oraz organ sprawujący nadzór nad jednostką</w:t>
      </w:r>
      <w:r w:rsidR="00492447">
        <w:rPr>
          <w:rFonts w:ascii="Calibri" w:hAnsi="Calibri" w:cs="Calibri"/>
          <w:color w:val="auto"/>
        </w:rPr>
        <w:t xml:space="preserve"> może to zrobić w terminie</w:t>
      </w:r>
      <w:r w:rsidR="00492447" w:rsidRPr="00493127">
        <w:rPr>
          <w:rFonts w:ascii="Calibri" w:hAnsi="Calibri" w:cs="Calibri"/>
          <w:color w:val="auto"/>
        </w:rPr>
        <w:t xml:space="preserve"> wskazanym przez rzecznika dyscypliny</w:t>
      </w:r>
      <w:r w:rsidR="00492447">
        <w:rPr>
          <w:rFonts w:ascii="Calibri" w:hAnsi="Calibri" w:cs="Calibri"/>
          <w:color w:val="auto"/>
        </w:rPr>
        <w:t xml:space="preserve">, </w:t>
      </w:r>
      <w:r w:rsidR="00492447" w:rsidRPr="00493127">
        <w:rPr>
          <w:rFonts w:ascii="Calibri" w:hAnsi="Calibri" w:cs="Calibri"/>
          <w:color w:val="auto"/>
        </w:rPr>
        <w:t>po przeanalizowaniu treści informacji, ustaleniu stanu faktycznego opisanych w niej okoliczności, w przypadku potwierdzenia, że okoliczności te wskazują na naruszenie dyscypliny finansów publicznych w jednostce</w:t>
      </w:r>
      <w:r w:rsidR="00492447">
        <w:rPr>
          <w:rFonts w:ascii="Calibri" w:hAnsi="Calibri" w:cs="Calibri"/>
          <w:color w:val="auto"/>
        </w:rPr>
        <w:t>.</w:t>
      </w:r>
    </w:p>
    <w:p w14:paraId="2FCC8270" w14:textId="77777777" w:rsidR="00A74136" w:rsidRPr="00E74EA3" w:rsidRDefault="00A74136" w:rsidP="001952F2">
      <w:pPr>
        <w:spacing w:before="360" w:line="276" w:lineRule="auto"/>
        <w:ind w:left="5103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 wyrazami szacunku</w:t>
      </w:r>
    </w:p>
    <w:p w14:paraId="53B4C992" w14:textId="77777777" w:rsidR="00A74136" w:rsidRPr="00765BCA" w:rsidRDefault="00A74136" w:rsidP="001952F2">
      <w:pPr>
        <w:spacing w:before="120" w:line="276" w:lineRule="auto"/>
        <w:ind w:left="5103"/>
        <w:jc w:val="center"/>
        <w:rPr>
          <w:rFonts w:ascii="Calibri" w:hAnsi="Calibri" w:cs="Calibri"/>
          <w:color w:val="auto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7B788" wp14:editId="19D8BEF1">
                <wp:simplePos x="0" y="0"/>
                <wp:positionH relativeFrom="column">
                  <wp:posOffset>3936365</wp:posOffset>
                </wp:positionH>
                <wp:positionV relativeFrom="paragraph">
                  <wp:posOffset>239506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9461C" id="Łącznik prosty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8.85pt" to="43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" strokecolor="black [3213]" strokeweight="1.5pt">
                <v:stroke dashstyle="3 1" joinstyle="miter"/>
              </v:line>
            </w:pict>
          </mc:Fallback>
        </mc:AlternateContent>
      </w:r>
    </w:p>
    <w:p w14:paraId="59A5B96F" w14:textId="77777777" w:rsidR="00A74136" w:rsidRPr="00765BCA" w:rsidRDefault="00A74136" w:rsidP="001952F2">
      <w:pPr>
        <w:spacing w:before="12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7CC79FAB" w14:textId="77777777" w:rsidR="001A5F98" w:rsidRPr="00A47579" w:rsidRDefault="001A5F98" w:rsidP="005A0058">
      <w:pPr>
        <w:pStyle w:val="Nagwek2"/>
        <w:spacing w:before="240" w:line="276" w:lineRule="auto"/>
        <w:rPr>
          <w:rFonts w:asciiTheme="minorHAnsi" w:hAnsiTheme="minorHAnsi" w:cstheme="minorHAnsi"/>
          <w:color w:val="FF0000"/>
        </w:rPr>
      </w:pPr>
      <w:r w:rsidRPr="00A47579">
        <w:rPr>
          <w:rFonts w:asciiTheme="minorHAnsi" w:hAnsiTheme="minorHAnsi" w:cstheme="minorHAnsi"/>
          <w:b/>
          <w:color w:val="FF0000"/>
          <w:sz w:val="28"/>
          <w:szCs w:val="28"/>
        </w:rPr>
        <w:t>Pouczenie</w:t>
      </w:r>
      <w:r w:rsidRPr="00A47579">
        <w:rPr>
          <w:rFonts w:asciiTheme="minorHAnsi" w:hAnsiTheme="minorHAnsi" w:cstheme="minorHAnsi"/>
          <w:color w:val="FF0000"/>
        </w:rPr>
        <w:t>:</w:t>
      </w:r>
    </w:p>
    <w:p w14:paraId="11454DF9" w14:textId="5B1CF279" w:rsidR="001A5F98" w:rsidRDefault="001A5F98" w:rsidP="005A0058">
      <w:pPr>
        <w:spacing w:before="12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Na zarządzenie nie przysługuje zażalenie.</w:t>
      </w:r>
    </w:p>
    <w:p w14:paraId="3DB81E5A" w14:textId="77777777" w:rsidR="000F3AF6" w:rsidRPr="000F3AF6" w:rsidRDefault="000F3AF6" w:rsidP="005A0058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0F3AF6">
        <w:rPr>
          <w:rFonts w:asciiTheme="minorHAnsi" w:hAnsiTheme="minorHAnsi" w:cstheme="minorHAnsi"/>
          <w:b/>
          <w:color w:val="FF0000"/>
          <w:sz w:val="28"/>
          <w:szCs w:val="28"/>
        </w:rPr>
        <w:t>Załącznik:</w:t>
      </w:r>
    </w:p>
    <w:p w14:paraId="5B7133C4" w14:textId="4D67A2A6" w:rsidR="000F3AF6" w:rsidRPr="00426CB5" w:rsidRDefault="005A0058" w:rsidP="005A0058">
      <w:pPr>
        <w:spacing w:before="12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Informacja</w:t>
      </w:r>
    </w:p>
    <w:p w14:paraId="6EC2D08B" w14:textId="77777777" w:rsidR="008A1B44" w:rsidRPr="00A3566D" w:rsidRDefault="008A1B44" w:rsidP="005A0058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3566D">
        <w:rPr>
          <w:rFonts w:asciiTheme="minorHAnsi" w:hAnsiTheme="minorHAnsi" w:cstheme="minorHAnsi"/>
          <w:b/>
          <w:color w:val="FF0000"/>
          <w:sz w:val="28"/>
          <w:szCs w:val="28"/>
        </w:rPr>
        <w:t>Korespondencję otrzymują:</w:t>
      </w:r>
    </w:p>
    <w:p w14:paraId="67EF21E1" w14:textId="478A1C8B" w:rsidR="005A0058" w:rsidRPr="005A0058" w:rsidRDefault="005A0058" w:rsidP="005A0058">
      <w:pPr>
        <w:pStyle w:val="Akapitzlist"/>
        <w:numPr>
          <w:ilvl w:val="0"/>
          <w:numId w:val="11"/>
        </w:numPr>
        <w:tabs>
          <w:tab w:val="left" w:leader="dot" w:pos="142"/>
        </w:tabs>
        <w:spacing w:before="120" w:line="276" w:lineRule="auto"/>
        <w:ind w:left="142" w:firstLine="0"/>
        <w:rPr>
          <w:rFonts w:ascii="Calibri" w:hAnsi="Calibri" w:cs="Calibri"/>
          <w:color w:val="ED7D31" w:themeColor="accent2"/>
        </w:rPr>
      </w:pPr>
      <w:r w:rsidRPr="005A0058">
        <w:rPr>
          <w:rFonts w:ascii="Calibri" w:hAnsi="Calibri" w:cs="Calibri"/>
          <w:color w:val="ED7D31" w:themeColor="accent2"/>
        </w:rPr>
        <w:t>/</w:t>
      </w:r>
      <w:r>
        <w:rPr>
          <w:rFonts w:ascii="Calibri" w:hAnsi="Calibri" w:cs="Calibri"/>
          <w:color w:val="ED7D31" w:themeColor="accent2"/>
        </w:rPr>
        <w:t xml:space="preserve"> </w:t>
      </w:r>
      <w:r w:rsidRPr="005A0058">
        <w:rPr>
          <w:rFonts w:ascii="Calibri" w:hAnsi="Calibri" w:cs="Calibri"/>
          <w:color w:val="ED7D31" w:themeColor="accent2"/>
        </w:rPr>
        <w:t>Kierownik jednostki</w:t>
      </w:r>
      <w:r>
        <w:rPr>
          <w:rFonts w:ascii="Calibri" w:hAnsi="Calibri" w:cs="Calibri"/>
          <w:color w:val="ED7D31" w:themeColor="accent2"/>
        </w:rPr>
        <w:t xml:space="preserve"> </w:t>
      </w:r>
      <w:r w:rsidRPr="005A0058">
        <w:rPr>
          <w:rFonts w:ascii="Calibri" w:hAnsi="Calibri" w:cs="Calibri"/>
          <w:color w:val="ED7D31" w:themeColor="accent2"/>
        </w:rPr>
        <w:t>/</w:t>
      </w:r>
    </w:p>
    <w:p w14:paraId="5BF39399" w14:textId="011FC560" w:rsidR="005A0058" w:rsidRPr="005A0058" w:rsidRDefault="005A0058" w:rsidP="005A0058">
      <w:pPr>
        <w:pStyle w:val="Akapitzlist"/>
        <w:numPr>
          <w:ilvl w:val="0"/>
          <w:numId w:val="11"/>
        </w:numPr>
        <w:tabs>
          <w:tab w:val="left" w:leader="dot" w:pos="142"/>
        </w:tabs>
        <w:spacing w:before="120" w:line="276" w:lineRule="auto"/>
        <w:ind w:left="142" w:firstLine="0"/>
        <w:rPr>
          <w:rFonts w:ascii="Calibri" w:hAnsi="Calibri" w:cs="Calibri"/>
          <w:color w:val="ED7D31" w:themeColor="accent2"/>
        </w:rPr>
      </w:pPr>
      <w:r w:rsidRPr="005A0058">
        <w:rPr>
          <w:rFonts w:ascii="Calibri" w:hAnsi="Calibri" w:cs="Calibri"/>
          <w:color w:val="ED7D31" w:themeColor="accent2"/>
        </w:rPr>
        <w:t>/</w:t>
      </w:r>
      <w:r>
        <w:rPr>
          <w:rFonts w:ascii="Calibri" w:hAnsi="Calibri" w:cs="Calibri"/>
          <w:color w:val="ED7D31" w:themeColor="accent2"/>
        </w:rPr>
        <w:t xml:space="preserve"> </w:t>
      </w:r>
      <w:r w:rsidRPr="005A0058">
        <w:rPr>
          <w:rFonts w:ascii="Calibri" w:hAnsi="Calibri" w:cs="Calibri"/>
          <w:color w:val="ED7D31" w:themeColor="accent2"/>
        </w:rPr>
        <w:t>organ sprawujący nadzór nad jednostką</w:t>
      </w:r>
      <w:r>
        <w:rPr>
          <w:rFonts w:ascii="Calibri" w:hAnsi="Calibri" w:cs="Calibri"/>
          <w:color w:val="ED7D31" w:themeColor="accent2"/>
        </w:rPr>
        <w:t xml:space="preserve"> </w:t>
      </w:r>
      <w:r w:rsidRPr="005A0058">
        <w:rPr>
          <w:rFonts w:ascii="Calibri" w:hAnsi="Calibri" w:cs="Calibri"/>
          <w:color w:val="ED7D31" w:themeColor="accent2"/>
        </w:rPr>
        <w:t>/</w:t>
      </w:r>
    </w:p>
    <w:p w14:paraId="62984C47" w14:textId="14A8F35B" w:rsidR="008A1B44" w:rsidRDefault="005A0058" w:rsidP="005A0058">
      <w:pPr>
        <w:pStyle w:val="Akapitzlist"/>
        <w:numPr>
          <w:ilvl w:val="0"/>
          <w:numId w:val="11"/>
        </w:numPr>
        <w:tabs>
          <w:tab w:val="left" w:leader="dot" w:pos="142"/>
        </w:tabs>
        <w:spacing w:before="120" w:line="276" w:lineRule="auto"/>
        <w:ind w:left="142" w:firstLine="0"/>
        <w:rPr>
          <w:rFonts w:ascii="Calibri" w:hAnsi="Calibri" w:cs="Calibri"/>
          <w:color w:val="auto"/>
        </w:rPr>
      </w:pPr>
      <w:r w:rsidRPr="005A0058">
        <w:rPr>
          <w:rFonts w:ascii="Calibri" w:hAnsi="Calibri" w:cs="Calibri"/>
          <w:color w:val="auto"/>
        </w:rPr>
        <w:t>a/a</w:t>
      </w:r>
    </w:p>
    <w:p w14:paraId="160E52EB" w14:textId="77777777" w:rsidR="005A0058" w:rsidRPr="005A0058" w:rsidRDefault="005A0058" w:rsidP="005A0058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A0058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Uwaga:</w:t>
      </w:r>
    </w:p>
    <w:p w14:paraId="3E8FB9A5" w14:textId="2F672E48" w:rsidR="005A0058" w:rsidRPr="00E55F2E" w:rsidRDefault="005A0058" w:rsidP="005A0058">
      <w:pPr>
        <w:spacing w:before="120" w:line="276" w:lineRule="auto"/>
        <w:rPr>
          <w:rFonts w:ascii="Calibri" w:hAnsi="Calibri" w:cs="Calibri"/>
          <w:color w:val="auto"/>
        </w:rPr>
      </w:pPr>
      <w:r w:rsidRPr="00E55F2E">
        <w:rPr>
          <w:rFonts w:ascii="Calibri" w:hAnsi="Calibri" w:cs="Calibri"/>
          <w:color w:val="auto"/>
        </w:rPr>
        <w:t>Jeżeli w terminie wyznaczonym przez rzecznika dyscypliny nie z</w:t>
      </w:r>
      <w:r>
        <w:rPr>
          <w:rFonts w:ascii="Calibri" w:hAnsi="Calibri" w:cs="Calibri"/>
          <w:color w:val="auto"/>
        </w:rPr>
        <w:t>ostanie przekazana informacja o </w:t>
      </w:r>
      <w:r w:rsidRPr="00E55F2E">
        <w:rPr>
          <w:rFonts w:ascii="Calibri" w:hAnsi="Calibri" w:cs="Calibri"/>
          <w:color w:val="auto"/>
        </w:rPr>
        <w:t>podjętych działaniach, ani nie zostanie złożone zawiadomienie, rzecznik dyscypliny przekazuje otrzymaną informację o naruszeniu dyscypliny finansów publicznych</w:t>
      </w:r>
      <w:r w:rsidR="006A6871" w:rsidRPr="006A6871">
        <w:rPr>
          <w:rFonts w:ascii="Calibri" w:hAnsi="Calibri" w:cs="Calibri"/>
          <w:color w:val="auto"/>
        </w:rPr>
        <w:t xml:space="preserve"> </w:t>
      </w:r>
      <w:r w:rsidR="006A6871" w:rsidRPr="00E55F2E">
        <w:rPr>
          <w:rFonts w:ascii="Calibri" w:hAnsi="Calibri" w:cs="Calibri"/>
          <w:color w:val="auto"/>
        </w:rPr>
        <w:t>Głównemu Rzecznikowi</w:t>
      </w:r>
      <w:r w:rsidRPr="00E55F2E">
        <w:rPr>
          <w:rFonts w:ascii="Calibri" w:hAnsi="Calibri" w:cs="Calibri"/>
          <w:color w:val="auto"/>
        </w:rPr>
        <w:t>. Informacja taka jest przekazywana Głównemu Rzecznikowi również w sytuacji, gdy po przekazaniu w terminie informacji o podjętych działaniach</w:t>
      </w:r>
      <w:r w:rsidR="006A6871">
        <w:rPr>
          <w:rFonts w:ascii="Calibri" w:hAnsi="Calibri" w:cs="Calibri"/>
          <w:color w:val="auto"/>
        </w:rPr>
        <w:t>,</w:t>
      </w:r>
      <w:r w:rsidRPr="00E55F2E">
        <w:rPr>
          <w:rFonts w:ascii="Calibri" w:hAnsi="Calibri" w:cs="Calibri"/>
          <w:color w:val="auto"/>
        </w:rPr>
        <w:t xml:space="preserve"> kierownik jednostki oraz organ sprawujący nadzór nad jednostką nie informują rzecznika dyscypliny o dalszych czynnościach w sprawie i ich wynikach.</w:t>
      </w:r>
    </w:p>
    <w:p w14:paraId="1BD7938C" w14:textId="77777777" w:rsidR="005A0058" w:rsidRPr="005A0058" w:rsidRDefault="005A0058" w:rsidP="005A0058">
      <w:pPr>
        <w:tabs>
          <w:tab w:val="left" w:leader="dot" w:pos="142"/>
        </w:tabs>
        <w:spacing w:before="120" w:line="276" w:lineRule="auto"/>
        <w:rPr>
          <w:rFonts w:ascii="Calibri" w:hAnsi="Calibri" w:cs="Calibri"/>
          <w:color w:val="auto"/>
        </w:rPr>
      </w:pPr>
    </w:p>
    <w:sectPr w:rsidR="005A0058" w:rsidRPr="005A0058" w:rsidSect="0027555F">
      <w:footerReference w:type="default" r:id="rId12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7C9B" w14:textId="77777777" w:rsidR="004352F1" w:rsidRDefault="004352F1">
      <w:r>
        <w:separator/>
      </w:r>
    </w:p>
  </w:endnote>
  <w:endnote w:type="continuationSeparator" w:id="0">
    <w:p w14:paraId="41D3AF6E" w14:textId="77777777" w:rsidR="004352F1" w:rsidRDefault="0043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771E" w14:textId="4A45797D" w:rsidR="007B51D6" w:rsidRPr="00A74136" w:rsidRDefault="00033655" w:rsidP="000F289F">
    <w:pPr>
      <w:pStyle w:val="Stopka"/>
      <w:spacing w:after="240"/>
      <w:jc w:val="highKashida"/>
      <w:rPr>
        <w:rFonts w:asciiTheme="minorHAnsi" w:hAnsiTheme="minorHAnsi" w:cstheme="minorHAnsi"/>
        <w:sz w:val="20"/>
        <w:szCs w:val="20"/>
      </w:rPr>
    </w:pPr>
    <w:r w:rsidRPr="00A74136">
      <w:rPr>
        <w:rFonts w:asciiTheme="minorHAnsi" w:eastAsiaTheme="majorEastAsia" w:hAnsiTheme="minorHAnsi" w:cstheme="minorHAnsi"/>
        <w:noProof/>
        <w:color w:val="ED7D31" w:themeColor="accent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85E7C" wp14:editId="653C3041">
              <wp:simplePos x="0" y="0"/>
              <wp:positionH relativeFrom="margin">
                <wp:align>left</wp:align>
              </wp:positionH>
              <wp:positionV relativeFrom="paragraph">
                <wp:posOffset>-139700</wp:posOffset>
              </wp:positionV>
              <wp:extent cx="5747657" cy="0"/>
              <wp:effectExtent l="0" t="0" r="2476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D74AB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pt" to="452.5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" strokecolor="#44546a [3215]" strokeweight=".5pt">
              <v:stroke joinstyle="miter"/>
              <w10:wrap anchorx="margin"/>
            </v:line>
          </w:pict>
        </mc:Fallback>
      </mc:AlternateContent>
    </w:r>
    <w:r w:rsidRPr="00A74136">
      <w:rPr>
        <w:rFonts w:asciiTheme="minorHAnsi" w:hAnsiTheme="minorHAnsi" w:cstheme="minorHAnsi"/>
        <w:color w:val="ED7D31" w:themeColor="accent2"/>
        <w:sz w:val="20"/>
        <w:szCs w:val="20"/>
      </w:rPr>
      <w:t>Dane teleadresowe</w:t>
    </w:r>
    <w:r w:rsidRPr="00A74136">
      <w:rPr>
        <w:rFonts w:asciiTheme="minorHAnsi" w:hAnsiTheme="minorHAnsi" w:cstheme="minorHAnsi"/>
        <w:sz w:val="20"/>
        <w:szCs w:val="20"/>
      </w:rPr>
      <w:t xml:space="preserve"> </w:t>
    </w:r>
  </w:p>
  <w:p w14:paraId="09D5771F" w14:textId="77777777" w:rsidR="000F289F" w:rsidRDefault="00A725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6553" w14:textId="77777777" w:rsidR="004352F1" w:rsidRDefault="004352F1">
      <w:r>
        <w:separator/>
      </w:r>
    </w:p>
  </w:footnote>
  <w:footnote w:type="continuationSeparator" w:id="0">
    <w:p w14:paraId="4FE30090" w14:textId="77777777" w:rsidR="004352F1" w:rsidRDefault="004352F1">
      <w:r>
        <w:continuationSeparator/>
      </w:r>
    </w:p>
  </w:footnote>
  <w:footnote w:id="1">
    <w:p w14:paraId="472A16A9" w14:textId="6B314508" w:rsidR="00493127" w:rsidRPr="001D4B72" w:rsidRDefault="00493127" w:rsidP="001D4B72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1D4B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D4B72">
        <w:rPr>
          <w:rFonts w:asciiTheme="minorHAnsi" w:hAnsiTheme="minorHAnsi" w:cstheme="minorHAnsi"/>
          <w:sz w:val="22"/>
          <w:szCs w:val="22"/>
        </w:rPr>
        <w:t xml:space="preserve"> </w:t>
      </w:r>
      <w:r w:rsidRPr="001D4B72">
        <w:rPr>
          <w:rFonts w:asciiTheme="minorHAnsi" w:hAnsiTheme="minorHAnsi" w:cstheme="minorHAnsi"/>
          <w:color w:val="auto"/>
          <w:sz w:val="22"/>
          <w:szCs w:val="22"/>
        </w:rPr>
        <w:t>na podstawie art. 95</w:t>
      </w:r>
      <w:r w:rsidRPr="001D4B7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D4B72">
        <w:rPr>
          <w:rFonts w:asciiTheme="minorHAnsi" w:hAnsiTheme="minorHAnsi" w:cstheme="minorHAnsi"/>
          <w:color w:val="auto"/>
          <w:sz w:val="22"/>
          <w:szCs w:val="22"/>
        </w:rPr>
        <w:t xml:space="preserve">ustawy z dnia 17 grudnia 2004 r. o odpowiedzialności za naruszenie dyscypliny finansów publicznych (Dz. U. z </w:t>
      </w:r>
      <w:r w:rsidRPr="001D4B72">
        <w:rPr>
          <w:rFonts w:asciiTheme="minorHAnsi" w:hAnsiTheme="minorHAnsi" w:cstheme="minorHAnsi"/>
          <w:sz w:val="22"/>
          <w:szCs w:val="22"/>
        </w:rPr>
        <w:t>202</w:t>
      </w:r>
      <w:r w:rsidR="00A725EA">
        <w:rPr>
          <w:rFonts w:asciiTheme="minorHAnsi" w:hAnsiTheme="minorHAnsi" w:cstheme="minorHAnsi"/>
          <w:sz w:val="22"/>
          <w:szCs w:val="22"/>
        </w:rPr>
        <w:t>4</w:t>
      </w:r>
      <w:r w:rsidRPr="001D4B72">
        <w:rPr>
          <w:rFonts w:asciiTheme="minorHAnsi" w:hAnsiTheme="minorHAnsi" w:cstheme="minorHAnsi"/>
          <w:sz w:val="22"/>
          <w:szCs w:val="22"/>
        </w:rPr>
        <w:t xml:space="preserve"> r. poz. </w:t>
      </w:r>
      <w:r w:rsidR="00A725EA">
        <w:rPr>
          <w:rFonts w:asciiTheme="minorHAnsi" w:hAnsiTheme="minorHAnsi" w:cstheme="minorHAnsi"/>
          <w:sz w:val="22"/>
          <w:szCs w:val="22"/>
        </w:rPr>
        <w:t>104</w:t>
      </w:r>
      <w:r w:rsidR="00E4433F">
        <w:rPr>
          <w:rFonts w:asciiTheme="minorHAnsi" w:hAnsiTheme="minorHAnsi" w:cstheme="minorHAnsi"/>
          <w:color w:val="auto"/>
          <w:sz w:val="22"/>
          <w:szCs w:val="22"/>
        </w:rPr>
        <w:t>), zwanej dalej „ustawą”</w:t>
      </w:r>
    </w:p>
  </w:footnote>
  <w:footnote w:id="2">
    <w:p w14:paraId="453521F4" w14:textId="41BE1572" w:rsidR="00FE7705" w:rsidRPr="001D4B72" w:rsidRDefault="00FE7705" w:rsidP="001D4B72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1D4B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E4433F">
        <w:rPr>
          <w:rFonts w:asciiTheme="minorHAnsi" w:hAnsiTheme="minorHAnsi" w:cstheme="minorHAnsi"/>
          <w:sz w:val="22"/>
          <w:szCs w:val="22"/>
        </w:rPr>
        <w:t xml:space="preserve"> p</w:t>
      </w:r>
      <w:r w:rsidRPr="001D4B72">
        <w:rPr>
          <w:rFonts w:asciiTheme="minorHAnsi" w:hAnsiTheme="minorHAnsi" w:cstheme="minorHAnsi"/>
          <w:sz w:val="22"/>
          <w:szCs w:val="22"/>
        </w:rPr>
        <w:t xml:space="preserve">odmioty określone </w:t>
      </w:r>
      <w:r w:rsidRPr="001D4B72">
        <w:rPr>
          <w:rFonts w:asciiTheme="minorHAnsi" w:hAnsiTheme="minorHAnsi" w:cstheme="minorHAnsi"/>
          <w:color w:val="auto"/>
          <w:sz w:val="22"/>
          <w:szCs w:val="22"/>
        </w:rPr>
        <w:t>w art. 93</w:t>
      </w:r>
      <w:r w:rsidR="009117E0" w:rsidRPr="001D4B72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Pr="001D4B72">
        <w:rPr>
          <w:rFonts w:asciiTheme="minorHAnsi" w:hAnsiTheme="minorHAnsi" w:cstheme="minorHAnsi"/>
          <w:color w:val="auto"/>
          <w:sz w:val="22"/>
          <w:szCs w:val="22"/>
        </w:rPr>
        <w:t xml:space="preserve"> ustawy</w:t>
      </w:r>
    </w:p>
  </w:footnote>
  <w:footnote w:id="3">
    <w:p w14:paraId="632B3FC4" w14:textId="2920679C" w:rsidR="00150F02" w:rsidRPr="00150F02" w:rsidRDefault="00150F02" w:rsidP="001D4B72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1D4B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D4B72">
        <w:rPr>
          <w:rFonts w:asciiTheme="minorHAnsi" w:hAnsiTheme="minorHAnsi" w:cstheme="minorHAnsi"/>
          <w:sz w:val="22"/>
          <w:szCs w:val="22"/>
        </w:rPr>
        <w:t xml:space="preserve"> </w:t>
      </w:r>
      <w:r w:rsidR="006A687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1D4B72">
        <w:rPr>
          <w:rFonts w:asciiTheme="minorHAnsi" w:hAnsiTheme="minorHAnsi" w:cstheme="minorHAnsi"/>
          <w:color w:val="auto"/>
          <w:sz w:val="22"/>
          <w:szCs w:val="22"/>
        </w:rPr>
        <w:t xml:space="preserve"> uwagi na brzmienie przepisu art. 93 ust. 1 ustawy o odpowiedzialności za naruszenie dyscypliny finansów publicznych</w:t>
      </w:r>
    </w:p>
  </w:footnote>
  <w:footnote w:id="4">
    <w:p w14:paraId="5C0F435B" w14:textId="5C73E57A" w:rsidR="001D4B72" w:rsidRPr="001D4B72" w:rsidRDefault="001D4B72" w:rsidP="001D4B72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1D4B7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D4B72">
        <w:rPr>
          <w:rFonts w:asciiTheme="minorHAnsi" w:hAnsiTheme="minorHAnsi" w:cstheme="minorHAnsi"/>
          <w:sz w:val="22"/>
          <w:szCs w:val="22"/>
        </w:rPr>
        <w:t xml:space="preserve"> </w:t>
      </w:r>
      <w:r w:rsidRPr="001D4B72">
        <w:rPr>
          <w:rFonts w:asciiTheme="minorHAnsi" w:hAnsiTheme="minorHAnsi" w:cstheme="minorHAnsi"/>
          <w:color w:val="auto"/>
          <w:sz w:val="22"/>
          <w:szCs w:val="22"/>
        </w:rPr>
        <w:t>o którym mowa w art. 94 ustawy</w:t>
      </w:r>
      <w:r w:rsidR="0049244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92447" w:rsidRPr="00492447">
        <w:rPr>
          <w:rFonts w:asciiTheme="minorHAnsi" w:hAnsiTheme="minorHAnsi" w:cstheme="minorHAnsi"/>
          <w:color w:val="auto"/>
          <w:sz w:val="22"/>
          <w:szCs w:val="22"/>
        </w:rPr>
        <w:t>spełniające wymogi określone w art. 94 ust. 1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742"/>
    <w:multiLevelType w:val="hybridMultilevel"/>
    <w:tmpl w:val="355677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74DF"/>
    <w:multiLevelType w:val="hybridMultilevel"/>
    <w:tmpl w:val="C7CC9784"/>
    <w:lvl w:ilvl="0" w:tplc="9CCA71D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B7E26"/>
    <w:multiLevelType w:val="hybridMultilevel"/>
    <w:tmpl w:val="30EAFE5A"/>
    <w:lvl w:ilvl="0" w:tplc="63EA6C4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8C1CBA"/>
    <w:multiLevelType w:val="hybridMultilevel"/>
    <w:tmpl w:val="96909E6C"/>
    <w:lvl w:ilvl="0" w:tplc="0EAAF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9D0CB7"/>
    <w:multiLevelType w:val="hybridMultilevel"/>
    <w:tmpl w:val="AB16E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92A43"/>
    <w:multiLevelType w:val="hybridMultilevel"/>
    <w:tmpl w:val="2A600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11622F"/>
    <w:multiLevelType w:val="hybridMultilevel"/>
    <w:tmpl w:val="C6180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99046C"/>
    <w:multiLevelType w:val="hybridMultilevel"/>
    <w:tmpl w:val="16C4B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CCA7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D939D4"/>
    <w:multiLevelType w:val="hybridMultilevel"/>
    <w:tmpl w:val="8E107BD4"/>
    <w:lvl w:ilvl="0" w:tplc="0EAAF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33655"/>
    <w:rsid w:val="000D6785"/>
    <w:rsid w:val="000F3AF6"/>
    <w:rsid w:val="00150F02"/>
    <w:rsid w:val="001711BB"/>
    <w:rsid w:val="001952F2"/>
    <w:rsid w:val="001958B5"/>
    <w:rsid w:val="001A5F98"/>
    <w:rsid w:val="001D4B72"/>
    <w:rsid w:val="001F367C"/>
    <w:rsid w:val="002075D9"/>
    <w:rsid w:val="0027555F"/>
    <w:rsid w:val="00275AC5"/>
    <w:rsid w:val="00277124"/>
    <w:rsid w:val="002F14FA"/>
    <w:rsid w:val="002F6C65"/>
    <w:rsid w:val="00311F11"/>
    <w:rsid w:val="00313B07"/>
    <w:rsid w:val="00390026"/>
    <w:rsid w:val="003D4145"/>
    <w:rsid w:val="00411548"/>
    <w:rsid w:val="004352F1"/>
    <w:rsid w:val="00492447"/>
    <w:rsid w:val="00493127"/>
    <w:rsid w:val="0049615A"/>
    <w:rsid w:val="004C4C4A"/>
    <w:rsid w:val="004C629E"/>
    <w:rsid w:val="00516317"/>
    <w:rsid w:val="0055589D"/>
    <w:rsid w:val="005669E0"/>
    <w:rsid w:val="00577DFB"/>
    <w:rsid w:val="005A0058"/>
    <w:rsid w:val="005A0EBA"/>
    <w:rsid w:val="005B4929"/>
    <w:rsid w:val="005D5F3A"/>
    <w:rsid w:val="00614C19"/>
    <w:rsid w:val="00620351"/>
    <w:rsid w:val="006357F6"/>
    <w:rsid w:val="006542B5"/>
    <w:rsid w:val="006A3201"/>
    <w:rsid w:val="006A6871"/>
    <w:rsid w:val="006B62D8"/>
    <w:rsid w:val="006D5EE7"/>
    <w:rsid w:val="007206F4"/>
    <w:rsid w:val="00743BB3"/>
    <w:rsid w:val="007C21AF"/>
    <w:rsid w:val="007D7569"/>
    <w:rsid w:val="00886BF1"/>
    <w:rsid w:val="008A1B44"/>
    <w:rsid w:val="008A399A"/>
    <w:rsid w:val="009117E0"/>
    <w:rsid w:val="00950612"/>
    <w:rsid w:val="00963465"/>
    <w:rsid w:val="009B5A7A"/>
    <w:rsid w:val="009D3CC1"/>
    <w:rsid w:val="009F6024"/>
    <w:rsid w:val="00A22892"/>
    <w:rsid w:val="00A47579"/>
    <w:rsid w:val="00A57336"/>
    <w:rsid w:val="00A64E13"/>
    <w:rsid w:val="00A725EA"/>
    <w:rsid w:val="00A74136"/>
    <w:rsid w:val="00AC08FD"/>
    <w:rsid w:val="00AD1969"/>
    <w:rsid w:val="00B0024A"/>
    <w:rsid w:val="00B67F4C"/>
    <w:rsid w:val="00B86203"/>
    <w:rsid w:val="00B95C9F"/>
    <w:rsid w:val="00BE0072"/>
    <w:rsid w:val="00C318F2"/>
    <w:rsid w:val="00C47F3B"/>
    <w:rsid w:val="00C50B10"/>
    <w:rsid w:val="00C51EB2"/>
    <w:rsid w:val="00C56C21"/>
    <w:rsid w:val="00C6301A"/>
    <w:rsid w:val="00C83D50"/>
    <w:rsid w:val="00CB1A6B"/>
    <w:rsid w:val="00CB375F"/>
    <w:rsid w:val="00CC68D4"/>
    <w:rsid w:val="00DA142B"/>
    <w:rsid w:val="00DE2781"/>
    <w:rsid w:val="00E3034E"/>
    <w:rsid w:val="00E41A0A"/>
    <w:rsid w:val="00E4433F"/>
    <w:rsid w:val="00E65D9C"/>
    <w:rsid w:val="00E74EA3"/>
    <w:rsid w:val="00E851C8"/>
    <w:rsid w:val="00F457C3"/>
    <w:rsid w:val="00FC31A7"/>
    <w:rsid w:val="00FE7705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8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89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8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2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9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2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2F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2F2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F2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A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57893-3D00-476C-B694-7A2697869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2024-02-21T13:06:00Z</dcterms:created>
  <dcterms:modified xsi:type="dcterms:W3CDTF">2024-02-21T13:21:00Z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UxC4dwLulzfINJ8nQH+xvX5LNGipWa4BRSZhPgxsCvlr+LTmtccVdpp0C326rf7YQ/OxaqFf2dui3K5gEAD23Q==</vt:lpwstr>
  </property>
  <property fmtid="{D5CDD505-2E9C-101B-9397-08002B2CF9AE}" pid="5" name="MFClassificationDate">
    <vt:lpwstr>2022-06-21T14:38:56.7998392+02:00</vt:lpwstr>
  </property>
  <property fmtid="{D5CDD505-2E9C-101B-9397-08002B2CF9AE}" pid="6" name="MFClassifiedBySID">
    <vt:lpwstr>UxC4dwLulzfINJ8nQH+xvX5LNGipWa4BRSZhPgxsCvm42mrIC/DSDv0ggS+FjUN/2v1BBotkLlY5aAiEhoi6ufH7kEg6E7TuEaiA7sVi9kl6FI2jCZtQKK3p4N3236AF</vt:lpwstr>
  </property>
  <property fmtid="{D5CDD505-2E9C-101B-9397-08002B2CF9AE}" pid="7" name="MFGRNItemId">
    <vt:lpwstr>GRN-be67246a-0bf0-4b5d-b298-c9d7322350db</vt:lpwstr>
  </property>
  <property fmtid="{D5CDD505-2E9C-101B-9397-08002B2CF9AE}" pid="8" name="MFHash">
    <vt:lpwstr>hcemLhFBWgaYzcGw3+5vaU5Mf5/8xoGVed2OqbqoFzM=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