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3E2" w:rsidRDefault="00B12091" w:rsidP="006C5791">
      <w:pPr>
        <w:pStyle w:val="Geenafstand"/>
        <w:spacing w:line="276" w:lineRule="auto"/>
        <w:rPr>
          <w:rFonts w:ascii="Verdana" w:hAnsi="Verdana"/>
          <w:b/>
          <w:color w:val="4472C4" w:themeColor="accent5"/>
          <w:sz w:val="20"/>
          <w:szCs w:val="18"/>
          <w:lang w:val="en-GB"/>
        </w:rPr>
      </w:pPr>
      <w:r w:rsidRPr="00B12091">
        <w:rPr>
          <w:rFonts w:ascii="Verdana" w:hAnsi="Verdana"/>
          <w:b/>
          <w:color w:val="4472C4" w:themeColor="accent5"/>
          <w:sz w:val="20"/>
          <w:szCs w:val="18"/>
          <w:lang w:val="en-GB"/>
        </w:rPr>
        <w:t>Part</w:t>
      </w:r>
      <w:r>
        <w:rPr>
          <w:rFonts w:ascii="Verdana" w:hAnsi="Verdana"/>
          <w:b/>
          <w:color w:val="4472C4" w:themeColor="accent5"/>
          <w:sz w:val="20"/>
          <w:szCs w:val="18"/>
          <w:lang w:val="en-GB"/>
        </w:rPr>
        <w:t xml:space="preserve"> 4</w:t>
      </w:r>
      <w:r w:rsidRPr="00B12091">
        <w:rPr>
          <w:rFonts w:ascii="Verdana" w:hAnsi="Verdana"/>
          <w:b/>
          <w:color w:val="4472C4" w:themeColor="accent5"/>
          <w:sz w:val="20"/>
          <w:szCs w:val="18"/>
          <w:lang w:val="en-GB"/>
        </w:rPr>
        <w:t>:</w:t>
      </w:r>
      <w:r>
        <w:rPr>
          <w:rFonts w:ascii="Verdana" w:hAnsi="Verdana"/>
          <w:b/>
          <w:color w:val="4472C4" w:themeColor="accent5"/>
          <w:sz w:val="20"/>
          <w:szCs w:val="18"/>
          <w:lang w:val="en-GB"/>
        </w:rPr>
        <w:t xml:space="preserve"> </w:t>
      </w:r>
      <w:r w:rsidR="002063E2" w:rsidRPr="00B12091">
        <w:rPr>
          <w:rFonts w:ascii="Verdana" w:hAnsi="Verdana"/>
          <w:b/>
          <w:color w:val="4472C4" w:themeColor="accent5"/>
          <w:sz w:val="20"/>
          <w:szCs w:val="18"/>
          <w:lang w:val="en-GB"/>
        </w:rPr>
        <w:t>Multi-criteria analysis</w:t>
      </w:r>
      <w:r w:rsidR="00A24B98">
        <w:rPr>
          <w:rFonts w:ascii="Verdana" w:hAnsi="Verdana"/>
          <w:b/>
          <w:color w:val="4472C4" w:themeColor="accent5"/>
          <w:sz w:val="20"/>
          <w:szCs w:val="18"/>
          <w:lang w:val="en-GB"/>
        </w:rPr>
        <w:t xml:space="preserve"> (MCA)</w:t>
      </w:r>
    </w:p>
    <w:p w:rsidR="00B12091" w:rsidRDefault="00B12091" w:rsidP="006C5791">
      <w:pPr>
        <w:pStyle w:val="Geenafstand"/>
        <w:spacing w:line="276" w:lineRule="auto"/>
        <w:rPr>
          <w:rFonts w:ascii="Verdana" w:hAnsi="Verdana"/>
          <w:b/>
          <w:color w:val="4472C4" w:themeColor="accent5"/>
          <w:sz w:val="20"/>
          <w:szCs w:val="18"/>
          <w:lang w:val="en-GB"/>
        </w:rPr>
      </w:pPr>
    </w:p>
    <w:p w:rsidR="002063E2" w:rsidRPr="004D3DC6" w:rsidRDefault="00A24B98" w:rsidP="006C5791">
      <w:pPr>
        <w:spacing w:after="0" w:line="276" w:lineRule="auto"/>
        <w:jc w:val="both"/>
        <w:rPr>
          <w:rFonts w:ascii="Verdana" w:hAnsi="Verdana"/>
          <w:sz w:val="18"/>
          <w:szCs w:val="18"/>
        </w:rPr>
      </w:pPr>
      <w:r>
        <w:rPr>
          <w:rFonts w:ascii="Verdana" w:hAnsi="Verdana"/>
          <w:sz w:val="18"/>
          <w:szCs w:val="18"/>
        </w:rPr>
        <w:t>The multi-criteria analysis exists of different options. In this case option 0 is the s</w:t>
      </w:r>
      <w:r w:rsidR="002063E2" w:rsidRPr="004D3DC6">
        <w:rPr>
          <w:rFonts w:ascii="Verdana" w:hAnsi="Verdana"/>
          <w:sz w:val="18"/>
          <w:szCs w:val="18"/>
        </w:rPr>
        <w:t>tatus quo</w:t>
      </w:r>
      <w:r>
        <w:rPr>
          <w:rFonts w:ascii="Verdana" w:hAnsi="Verdana"/>
          <w:sz w:val="18"/>
          <w:szCs w:val="18"/>
        </w:rPr>
        <w:t>, which</w:t>
      </w:r>
      <w:r w:rsidR="002063E2" w:rsidRPr="004D3DC6">
        <w:rPr>
          <w:rFonts w:ascii="Verdana" w:hAnsi="Verdana"/>
          <w:sz w:val="18"/>
          <w:szCs w:val="18"/>
        </w:rPr>
        <w:t xml:space="preserve"> used as benchmark for other options. The benefits and costs of other options should be compared with option 0.</w:t>
      </w:r>
      <w:r w:rsidR="005104AE" w:rsidRPr="005104AE">
        <w:rPr>
          <w:rFonts w:ascii="Verdana" w:hAnsi="Verdana"/>
          <w:sz w:val="18"/>
          <w:szCs w:val="18"/>
        </w:rPr>
        <w:t xml:space="preserve"> </w:t>
      </w:r>
      <w:r w:rsidR="005104AE">
        <w:rPr>
          <w:rFonts w:ascii="Verdana" w:hAnsi="Verdana"/>
          <w:sz w:val="18"/>
          <w:szCs w:val="18"/>
        </w:rPr>
        <w:t>In other words, the impact of the different measures in option 1 and 2 are marginal effects relative to doing nothing in option 0.</w:t>
      </w:r>
      <w:r>
        <w:rPr>
          <w:rFonts w:ascii="Verdana" w:hAnsi="Verdana"/>
          <w:sz w:val="18"/>
          <w:szCs w:val="18"/>
        </w:rPr>
        <w:t xml:space="preserve"> You have to calculate the marginal cost and benefits of the first option. The costs and benefits of option 2 are already calculated in order to carry out a MCA.</w:t>
      </w:r>
    </w:p>
    <w:p w:rsidR="00D84DC9" w:rsidRPr="004D3DC6" w:rsidRDefault="00D84DC9" w:rsidP="006C5791">
      <w:pPr>
        <w:spacing w:after="0" w:line="276" w:lineRule="auto"/>
        <w:ind w:left="720"/>
        <w:rPr>
          <w:rFonts w:ascii="Verdana" w:hAnsi="Verdana"/>
          <w:sz w:val="18"/>
          <w:szCs w:val="18"/>
        </w:rPr>
      </w:pPr>
    </w:p>
    <w:p w:rsidR="002063E2" w:rsidRPr="004D3DC6" w:rsidRDefault="002063E2" w:rsidP="006C5791">
      <w:pPr>
        <w:numPr>
          <w:ilvl w:val="0"/>
          <w:numId w:val="4"/>
        </w:numPr>
        <w:spacing w:after="0" w:line="276" w:lineRule="auto"/>
        <w:rPr>
          <w:rFonts w:ascii="Verdana" w:hAnsi="Verdana"/>
          <w:b/>
          <w:sz w:val="18"/>
          <w:szCs w:val="18"/>
        </w:rPr>
      </w:pPr>
      <w:r w:rsidRPr="004D3DC6">
        <w:rPr>
          <w:rFonts w:ascii="Verdana" w:hAnsi="Verdana"/>
          <w:b/>
          <w:sz w:val="18"/>
          <w:szCs w:val="18"/>
        </w:rPr>
        <w:t>Option 1: Polish cluster of measurements</w:t>
      </w:r>
    </w:p>
    <w:p w:rsidR="00D84DC9" w:rsidRDefault="00D84DC9" w:rsidP="006C5791">
      <w:pPr>
        <w:spacing w:after="0" w:line="276" w:lineRule="auto"/>
        <w:ind w:left="720"/>
        <w:rPr>
          <w:rFonts w:ascii="Verdana" w:hAnsi="Verdana"/>
          <w:sz w:val="18"/>
          <w:szCs w:val="18"/>
        </w:rPr>
      </w:pPr>
    </w:p>
    <w:p w:rsidR="005104AE" w:rsidRDefault="005104AE" w:rsidP="006C5791">
      <w:pPr>
        <w:spacing w:after="0" w:line="276" w:lineRule="auto"/>
        <w:ind w:left="720"/>
        <w:rPr>
          <w:rFonts w:ascii="Verdana" w:hAnsi="Verdana"/>
          <w:sz w:val="18"/>
          <w:szCs w:val="18"/>
        </w:rPr>
      </w:pPr>
      <w:r>
        <w:rPr>
          <w:rFonts w:ascii="Verdana" w:hAnsi="Verdana"/>
          <w:sz w:val="18"/>
          <w:szCs w:val="18"/>
        </w:rPr>
        <w:t>Option 1 exists of the Polish measurements that are currently active:</w:t>
      </w:r>
    </w:p>
    <w:p w:rsidR="002063E2" w:rsidRPr="004D3DC6" w:rsidRDefault="002063E2" w:rsidP="006C5791">
      <w:pPr>
        <w:numPr>
          <w:ilvl w:val="1"/>
          <w:numId w:val="4"/>
        </w:numPr>
        <w:spacing w:after="0" w:line="276" w:lineRule="auto"/>
        <w:rPr>
          <w:rFonts w:ascii="Verdana" w:hAnsi="Verdana"/>
          <w:sz w:val="18"/>
          <w:szCs w:val="18"/>
        </w:rPr>
      </w:pPr>
      <w:r w:rsidRPr="004D3DC6">
        <w:rPr>
          <w:rFonts w:ascii="Verdana" w:hAnsi="Verdana"/>
          <w:sz w:val="18"/>
          <w:szCs w:val="18"/>
        </w:rPr>
        <w:t>Stricter payment terms</w:t>
      </w:r>
    </w:p>
    <w:p w:rsidR="002063E2" w:rsidRPr="004D3DC6" w:rsidRDefault="002063E2" w:rsidP="006C5791">
      <w:pPr>
        <w:numPr>
          <w:ilvl w:val="1"/>
          <w:numId w:val="4"/>
        </w:numPr>
        <w:spacing w:after="0" w:line="276" w:lineRule="auto"/>
        <w:rPr>
          <w:rFonts w:ascii="Verdana" w:hAnsi="Verdana"/>
          <w:sz w:val="18"/>
          <w:szCs w:val="18"/>
        </w:rPr>
      </w:pPr>
      <w:r w:rsidRPr="004D3DC6">
        <w:rPr>
          <w:rFonts w:ascii="Verdana" w:hAnsi="Verdana"/>
          <w:sz w:val="18"/>
          <w:szCs w:val="18"/>
        </w:rPr>
        <w:t>Transparency of payment practices</w:t>
      </w:r>
    </w:p>
    <w:p w:rsidR="002063E2" w:rsidRPr="004D3DC6" w:rsidRDefault="002063E2" w:rsidP="006C5791">
      <w:pPr>
        <w:numPr>
          <w:ilvl w:val="1"/>
          <w:numId w:val="4"/>
        </w:numPr>
        <w:spacing w:after="0" w:line="276" w:lineRule="auto"/>
        <w:rPr>
          <w:rFonts w:ascii="Verdana" w:hAnsi="Verdana"/>
          <w:sz w:val="18"/>
          <w:szCs w:val="18"/>
        </w:rPr>
      </w:pPr>
      <w:r w:rsidRPr="004D3DC6">
        <w:rPr>
          <w:rFonts w:ascii="Verdana" w:hAnsi="Verdana"/>
          <w:sz w:val="18"/>
          <w:szCs w:val="18"/>
        </w:rPr>
        <w:t>Alternative Dispute Resolution System</w:t>
      </w:r>
    </w:p>
    <w:p w:rsidR="002063E2" w:rsidRPr="004D3DC6" w:rsidRDefault="002063E2" w:rsidP="006C5791">
      <w:pPr>
        <w:numPr>
          <w:ilvl w:val="1"/>
          <w:numId w:val="4"/>
        </w:numPr>
        <w:spacing w:after="0" w:line="276" w:lineRule="auto"/>
        <w:rPr>
          <w:rFonts w:ascii="Verdana" w:hAnsi="Verdana"/>
          <w:sz w:val="18"/>
          <w:szCs w:val="18"/>
        </w:rPr>
      </w:pPr>
      <w:r w:rsidRPr="004D3DC6">
        <w:rPr>
          <w:rFonts w:ascii="Verdana" w:hAnsi="Verdana"/>
          <w:sz w:val="18"/>
          <w:szCs w:val="18"/>
        </w:rPr>
        <w:t>Administrative sanctions</w:t>
      </w:r>
    </w:p>
    <w:p w:rsidR="002063E2" w:rsidRPr="004D3DC6" w:rsidRDefault="002063E2" w:rsidP="006C5791">
      <w:pPr>
        <w:numPr>
          <w:ilvl w:val="1"/>
          <w:numId w:val="4"/>
        </w:numPr>
        <w:spacing w:after="0" w:line="276" w:lineRule="auto"/>
        <w:rPr>
          <w:rFonts w:ascii="Verdana" w:hAnsi="Verdana"/>
          <w:sz w:val="18"/>
          <w:szCs w:val="18"/>
        </w:rPr>
      </w:pPr>
      <w:r w:rsidRPr="004D3DC6">
        <w:rPr>
          <w:rFonts w:ascii="Verdana" w:hAnsi="Verdana"/>
          <w:sz w:val="18"/>
          <w:szCs w:val="18"/>
        </w:rPr>
        <w:t>Compensation for recovery costs proportional to the size of the debt</w:t>
      </w:r>
    </w:p>
    <w:p w:rsidR="002063E2" w:rsidRPr="004D3DC6" w:rsidRDefault="002063E2" w:rsidP="006C5791">
      <w:pPr>
        <w:numPr>
          <w:ilvl w:val="1"/>
          <w:numId w:val="4"/>
        </w:numPr>
        <w:spacing w:after="0" w:line="276" w:lineRule="auto"/>
        <w:rPr>
          <w:rFonts w:ascii="Verdana" w:hAnsi="Verdana"/>
          <w:sz w:val="18"/>
          <w:szCs w:val="18"/>
        </w:rPr>
      </w:pPr>
      <w:r w:rsidRPr="004D3DC6">
        <w:rPr>
          <w:rFonts w:ascii="Verdana" w:hAnsi="Verdana"/>
          <w:sz w:val="18"/>
          <w:szCs w:val="18"/>
        </w:rPr>
        <w:t>Tax regulations</w:t>
      </w:r>
    </w:p>
    <w:p w:rsidR="002063E2" w:rsidRPr="004D3DC6" w:rsidRDefault="002063E2" w:rsidP="006C5791">
      <w:pPr>
        <w:spacing w:after="0" w:line="276" w:lineRule="auto"/>
        <w:ind w:left="720"/>
        <w:rPr>
          <w:rFonts w:ascii="Verdana" w:hAnsi="Verdana"/>
          <w:sz w:val="18"/>
          <w:szCs w:val="18"/>
        </w:rPr>
      </w:pPr>
    </w:p>
    <w:p w:rsidR="002063E2" w:rsidRPr="004D3DC6" w:rsidRDefault="002063E2" w:rsidP="006C5791">
      <w:pPr>
        <w:spacing w:after="0" w:line="276" w:lineRule="auto"/>
        <w:ind w:left="720"/>
        <w:jc w:val="both"/>
        <w:rPr>
          <w:rFonts w:ascii="Verdana" w:hAnsi="Verdana"/>
          <w:sz w:val="18"/>
          <w:szCs w:val="18"/>
        </w:rPr>
      </w:pPr>
      <w:r w:rsidRPr="004D3DC6">
        <w:rPr>
          <w:rFonts w:ascii="Verdana" w:hAnsi="Verdana"/>
          <w:sz w:val="18"/>
          <w:szCs w:val="18"/>
        </w:rPr>
        <w:t>In order to calculate the impact of the Polish measurements, we take a time span of 10 years into account. The wages of the different stak</w:t>
      </w:r>
      <w:r w:rsidR="00FA49CE" w:rsidRPr="004D3DC6">
        <w:rPr>
          <w:rFonts w:ascii="Verdana" w:hAnsi="Verdana"/>
          <w:sz w:val="18"/>
          <w:szCs w:val="18"/>
        </w:rPr>
        <w:t>eholder are mentioned in Table 2</w:t>
      </w:r>
      <w:r w:rsidRPr="004D3DC6">
        <w:rPr>
          <w:rFonts w:ascii="Verdana" w:hAnsi="Verdana"/>
          <w:sz w:val="18"/>
          <w:szCs w:val="18"/>
        </w:rPr>
        <w:t>.</w:t>
      </w:r>
      <w:r w:rsidR="005104AE">
        <w:rPr>
          <w:rFonts w:ascii="Verdana" w:hAnsi="Verdana"/>
          <w:sz w:val="18"/>
          <w:szCs w:val="18"/>
        </w:rPr>
        <w:t xml:space="preserve"> </w:t>
      </w:r>
    </w:p>
    <w:p w:rsidR="002063E2" w:rsidRPr="004D3DC6" w:rsidRDefault="002063E2" w:rsidP="006C5791">
      <w:pPr>
        <w:spacing w:after="0" w:line="276" w:lineRule="auto"/>
        <w:ind w:left="720"/>
        <w:jc w:val="both"/>
        <w:rPr>
          <w:rFonts w:ascii="Verdana" w:hAnsi="Verdana"/>
          <w:sz w:val="18"/>
          <w:szCs w:val="18"/>
        </w:rPr>
      </w:pPr>
    </w:p>
    <w:p w:rsidR="00DF1A27" w:rsidRPr="004D3DC6" w:rsidRDefault="002063E2" w:rsidP="006C5791">
      <w:pPr>
        <w:spacing w:after="0" w:line="276" w:lineRule="auto"/>
        <w:ind w:left="720"/>
        <w:rPr>
          <w:rFonts w:ascii="Verdana" w:hAnsi="Verdana"/>
          <w:sz w:val="18"/>
          <w:szCs w:val="18"/>
        </w:rPr>
      </w:pPr>
      <w:r w:rsidRPr="004D3DC6">
        <w:rPr>
          <w:rFonts w:ascii="Verdana" w:hAnsi="Verdana"/>
          <w:sz w:val="18"/>
          <w:szCs w:val="18"/>
        </w:rPr>
        <w:t xml:space="preserve">Due to stricter payment terms, 2 million SMEs should update their general contract terms. This process takes about 30 minutes for administrative employees. </w:t>
      </w:r>
    </w:p>
    <w:p w:rsidR="002063E2" w:rsidRPr="004D3DC6" w:rsidRDefault="002063E2" w:rsidP="006C5791">
      <w:pPr>
        <w:spacing w:after="0" w:line="276" w:lineRule="auto"/>
        <w:ind w:left="720"/>
        <w:rPr>
          <w:rFonts w:ascii="Verdana" w:hAnsi="Verdana"/>
          <w:sz w:val="18"/>
          <w:szCs w:val="18"/>
        </w:rPr>
      </w:pPr>
    </w:p>
    <w:p w:rsidR="002063E2" w:rsidRPr="004D3DC6" w:rsidRDefault="00D84DC9" w:rsidP="006C5791">
      <w:pPr>
        <w:spacing w:after="0" w:line="276" w:lineRule="auto"/>
        <w:ind w:left="720"/>
        <w:jc w:val="both"/>
        <w:rPr>
          <w:rFonts w:ascii="Verdana" w:hAnsi="Verdana"/>
          <w:sz w:val="18"/>
          <w:szCs w:val="18"/>
        </w:rPr>
      </w:pPr>
      <w:r>
        <w:rPr>
          <w:noProof/>
        </w:rPr>
        <w:drawing>
          <wp:anchor distT="0" distB="0" distL="114300" distR="114300" simplePos="0" relativeHeight="251667456" behindDoc="0" locked="0" layoutInCell="1" allowOverlap="1">
            <wp:simplePos x="0" y="0"/>
            <wp:positionH relativeFrom="column">
              <wp:posOffset>4347845</wp:posOffset>
            </wp:positionH>
            <wp:positionV relativeFrom="paragraph">
              <wp:posOffset>20955</wp:posOffset>
            </wp:positionV>
            <wp:extent cx="1581150" cy="1656080"/>
            <wp:effectExtent l="0" t="0" r="0" b="1270"/>
            <wp:wrapSquare wrapText="bothSides"/>
            <wp:docPr id="13" name="Afbeelding 13" descr="Afbeeldingsresultaat voor reporting oblig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reporting obligation"/>
                    <pic:cNvPicPr>
                      <a:picLocks noChangeAspect="1" noChangeArrowheads="1"/>
                    </pic:cNvPicPr>
                  </pic:nvPicPr>
                  <pic:blipFill rotWithShape="1">
                    <a:blip r:embed="rId8">
                      <a:extLst>
                        <a:ext uri="{28A0092B-C50C-407E-A947-70E740481C1C}">
                          <a14:useLocalDpi xmlns:a14="http://schemas.microsoft.com/office/drawing/2010/main" val="0"/>
                        </a:ext>
                      </a:extLst>
                    </a:blip>
                    <a:srcRect l="10476" t="7937" r="9524" b="8254"/>
                    <a:stretch/>
                  </pic:blipFill>
                  <pic:spPr bwMode="auto">
                    <a:xfrm>
                      <a:off x="0" y="0"/>
                      <a:ext cx="1581150" cy="16560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 xml:space="preserve">The reporting obligation concerning the transparency of payment practices is only applicable for companies which have more than EUR 50 million revenue per years (18.000 firms in Poland). The reporting obligation is required quarterly. </w:t>
      </w:r>
      <w:r w:rsidR="00DF1A27" w:rsidRPr="004D3DC6">
        <w:rPr>
          <w:rFonts w:ascii="Verdana" w:hAnsi="Verdana"/>
          <w:sz w:val="18"/>
          <w:szCs w:val="18"/>
        </w:rPr>
        <w:t>The first time, it</w:t>
      </w:r>
      <w:r w:rsidR="002063E2" w:rsidRPr="004D3DC6">
        <w:rPr>
          <w:rFonts w:ascii="Verdana" w:hAnsi="Verdana"/>
          <w:sz w:val="18"/>
          <w:szCs w:val="18"/>
        </w:rPr>
        <w:t xml:space="preserve"> takes about 2 hours of a corporate manager's time to get familiar with the reporting obligation. Drawing up the report takes 1 hour of a financial director's time and 3 hours of a corporate manager's time. To guarantee transparency of payment practices, governments databases and registries should be updated on regularly bases, which takes about </w:t>
      </w:r>
      <w:r w:rsidR="008803F0">
        <w:rPr>
          <w:rFonts w:ascii="Verdana" w:hAnsi="Verdana"/>
          <w:sz w:val="18"/>
          <w:szCs w:val="18"/>
        </w:rPr>
        <w:t>4</w:t>
      </w:r>
      <w:bookmarkStart w:id="0" w:name="_GoBack"/>
      <w:bookmarkEnd w:id="0"/>
      <w:r w:rsidR="00836A1E" w:rsidRPr="004D3DC6">
        <w:rPr>
          <w:rFonts w:ascii="Verdana" w:hAnsi="Verdana"/>
          <w:sz w:val="18"/>
          <w:szCs w:val="18"/>
        </w:rPr>
        <w:t xml:space="preserve"> hours/week</w:t>
      </w:r>
      <w:r w:rsidR="002063E2" w:rsidRPr="004D3DC6">
        <w:rPr>
          <w:rFonts w:ascii="Verdana" w:hAnsi="Verdana"/>
          <w:sz w:val="18"/>
          <w:szCs w:val="18"/>
        </w:rPr>
        <w:t xml:space="preserve"> for a of a web design and developer professional's time.</w:t>
      </w:r>
    </w:p>
    <w:p w:rsidR="00DF1A27" w:rsidRPr="004D3DC6" w:rsidRDefault="00DF1A27" w:rsidP="006C5791">
      <w:pPr>
        <w:spacing w:after="0" w:line="276" w:lineRule="auto"/>
        <w:ind w:left="720"/>
        <w:jc w:val="both"/>
        <w:rPr>
          <w:rFonts w:ascii="Verdana" w:hAnsi="Verdana"/>
          <w:sz w:val="18"/>
          <w:szCs w:val="18"/>
        </w:rPr>
      </w:pPr>
    </w:p>
    <w:p w:rsidR="00D279BB" w:rsidRPr="004D3DC6" w:rsidRDefault="00D279BB" w:rsidP="00D279BB">
      <w:pPr>
        <w:spacing w:after="0" w:line="276" w:lineRule="auto"/>
        <w:ind w:left="720"/>
        <w:contextualSpacing/>
        <w:jc w:val="both"/>
        <w:rPr>
          <w:rFonts w:ascii="Verdana" w:hAnsi="Verdana"/>
          <w:sz w:val="18"/>
          <w:szCs w:val="18"/>
        </w:rPr>
      </w:pPr>
      <w:r w:rsidRPr="004D3DC6">
        <w:rPr>
          <w:rFonts w:ascii="Verdana" w:hAnsi="Verdana"/>
          <w:sz w:val="18"/>
          <w:szCs w:val="18"/>
        </w:rPr>
        <w:t xml:space="preserve">The organisation of an alternative dispute resolution system has a start-up cost of EUR 100,000 for the government. These costs reflect the investment in computer software and a database in which the negotiators have to upload a report. </w:t>
      </w:r>
      <w:r>
        <w:rPr>
          <w:rFonts w:ascii="Verdana" w:hAnsi="Verdana"/>
          <w:sz w:val="18"/>
          <w:szCs w:val="18"/>
        </w:rPr>
        <w:t xml:space="preserve">It is expected that </w:t>
      </w:r>
      <w:r w:rsidRPr="004D3DC6">
        <w:rPr>
          <w:rFonts w:ascii="Verdana" w:hAnsi="Verdana"/>
          <w:sz w:val="18"/>
          <w:szCs w:val="18"/>
        </w:rPr>
        <w:t xml:space="preserve">on average an alternative dispute resolution system </w:t>
      </w:r>
      <w:r>
        <w:rPr>
          <w:rFonts w:ascii="Verdana" w:hAnsi="Verdana"/>
          <w:sz w:val="18"/>
          <w:szCs w:val="18"/>
        </w:rPr>
        <w:t>is used by</w:t>
      </w:r>
      <w:r w:rsidRPr="004D3DC6">
        <w:rPr>
          <w:rFonts w:ascii="Verdana" w:hAnsi="Verdana"/>
          <w:sz w:val="18"/>
          <w:szCs w:val="18"/>
        </w:rPr>
        <w:t xml:space="preserve"> 7,500 SMEs per year. Instead of each firm hiring a lawyer, which spends on average 8 hours per case, there is only one negotiator per 2 firms. The negotiator spends on average 6 hours per dispute and is paid by the companies.</w:t>
      </w:r>
    </w:p>
    <w:p w:rsidR="00CE7255" w:rsidRDefault="00CE7255" w:rsidP="006C5791">
      <w:pPr>
        <w:spacing w:after="0" w:line="276" w:lineRule="auto"/>
        <w:ind w:left="720"/>
        <w:jc w:val="both"/>
        <w:rPr>
          <w:rFonts w:ascii="Verdana" w:hAnsi="Verdana"/>
          <w:b/>
          <w:sz w:val="18"/>
          <w:szCs w:val="18"/>
        </w:rPr>
      </w:pPr>
    </w:p>
    <w:p w:rsidR="00CE7255" w:rsidRDefault="00CE7255" w:rsidP="006C5791">
      <w:pPr>
        <w:spacing w:after="0" w:line="276" w:lineRule="auto"/>
        <w:rPr>
          <w:rFonts w:ascii="Verdana" w:hAnsi="Verdana"/>
          <w:sz w:val="18"/>
          <w:szCs w:val="18"/>
        </w:rPr>
      </w:pPr>
      <w:r>
        <w:rPr>
          <w:rFonts w:ascii="Verdana" w:hAnsi="Verdana"/>
          <w:sz w:val="18"/>
          <w:szCs w:val="18"/>
        </w:rPr>
        <w:br w:type="page"/>
      </w:r>
    </w:p>
    <w:p w:rsidR="002063E2" w:rsidRPr="004D3DC6" w:rsidRDefault="00D84DC9" w:rsidP="006C5791">
      <w:pPr>
        <w:spacing w:after="0" w:line="276" w:lineRule="auto"/>
        <w:ind w:left="720"/>
        <w:jc w:val="both"/>
        <w:rPr>
          <w:rFonts w:ascii="Verdana" w:hAnsi="Verdana"/>
          <w:sz w:val="18"/>
          <w:szCs w:val="18"/>
        </w:rPr>
      </w:pPr>
      <w:r>
        <w:rPr>
          <w:noProof/>
        </w:rPr>
        <w:lastRenderedPageBreak/>
        <w:drawing>
          <wp:anchor distT="0" distB="0" distL="114300" distR="114300" simplePos="0" relativeHeight="251668480" behindDoc="0" locked="0" layoutInCell="1" allowOverlap="1">
            <wp:simplePos x="0" y="0"/>
            <wp:positionH relativeFrom="column">
              <wp:posOffset>3976370</wp:posOffset>
            </wp:positionH>
            <wp:positionV relativeFrom="paragraph">
              <wp:posOffset>366395</wp:posOffset>
            </wp:positionV>
            <wp:extent cx="1958340" cy="1310640"/>
            <wp:effectExtent l="0" t="0" r="3810" b="3810"/>
            <wp:wrapSquare wrapText="bothSides"/>
            <wp:docPr id="14" name="Afbeelding 1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elateerde afbeeld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8340" cy="1310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Administrative sanctions requires a system in which the public administration can help to take action against the debtor. On average, 1,500 enterprises are controlled each year, and the following actions are undertaken:</w:t>
      </w:r>
    </w:p>
    <w:p w:rsidR="002063E2" w:rsidRPr="004D3DC6" w:rsidRDefault="002063E2" w:rsidP="006C5791">
      <w:pPr>
        <w:pStyle w:val="Lijstalinea"/>
        <w:spacing w:after="0" w:line="276" w:lineRule="auto"/>
        <w:ind w:left="1134"/>
        <w:contextualSpacing w:val="0"/>
        <w:jc w:val="both"/>
        <w:rPr>
          <w:rFonts w:ascii="Verdana" w:hAnsi="Verdana"/>
          <w:sz w:val="18"/>
          <w:szCs w:val="18"/>
        </w:rPr>
      </w:pPr>
      <w:r w:rsidRPr="004D3DC6">
        <w:rPr>
          <w:rFonts w:ascii="Verdana" w:hAnsi="Verdana"/>
          <w:sz w:val="18"/>
          <w:szCs w:val="18"/>
        </w:rPr>
        <w:t>- 200 warnings;</w:t>
      </w:r>
      <w:r w:rsidR="00D84DC9" w:rsidRPr="00D84DC9">
        <w:rPr>
          <w:noProof/>
        </w:rPr>
        <w:t xml:space="preserve"> </w:t>
      </w:r>
    </w:p>
    <w:p w:rsidR="002063E2" w:rsidRPr="004D3DC6" w:rsidRDefault="002063E2" w:rsidP="006C5791">
      <w:pPr>
        <w:pStyle w:val="Lijstalinea"/>
        <w:spacing w:after="0" w:line="276" w:lineRule="auto"/>
        <w:ind w:left="1134"/>
        <w:contextualSpacing w:val="0"/>
        <w:jc w:val="both"/>
        <w:rPr>
          <w:rFonts w:ascii="Verdana" w:hAnsi="Verdana"/>
          <w:sz w:val="18"/>
          <w:szCs w:val="18"/>
        </w:rPr>
      </w:pPr>
      <w:r w:rsidRPr="004D3DC6">
        <w:rPr>
          <w:rFonts w:ascii="Verdana" w:hAnsi="Verdana"/>
          <w:sz w:val="18"/>
          <w:szCs w:val="18"/>
        </w:rPr>
        <w:t>- 100 injunctions;</w:t>
      </w:r>
    </w:p>
    <w:p w:rsidR="002063E2" w:rsidRPr="004D3DC6" w:rsidRDefault="002063E2" w:rsidP="006C5791">
      <w:pPr>
        <w:pStyle w:val="Lijstalinea"/>
        <w:spacing w:after="0" w:line="276" w:lineRule="auto"/>
        <w:ind w:left="1134"/>
        <w:contextualSpacing w:val="0"/>
        <w:jc w:val="both"/>
        <w:rPr>
          <w:rFonts w:ascii="Verdana" w:hAnsi="Verdana"/>
          <w:sz w:val="18"/>
          <w:szCs w:val="18"/>
        </w:rPr>
      </w:pPr>
      <w:r w:rsidRPr="004D3DC6">
        <w:rPr>
          <w:rFonts w:ascii="Verdana" w:hAnsi="Verdana"/>
          <w:sz w:val="18"/>
          <w:szCs w:val="18"/>
        </w:rPr>
        <w:t>- 150 notifications of the application of administrative sanctions.</w:t>
      </w:r>
    </w:p>
    <w:p w:rsidR="002063E2" w:rsidRPr="004D3DC6" w:rsidRDefault="002063E2" w:rsidP="006C5791">
      <w:pPr>
        <w:spacing w:after="0" w:line="276" w:lineRule="auto"/>
        <w:ind w:left="720"/>
        <w:jc w:val="both"/>
        <w:rPr>
          <w:rFonts w:ascii="Verdana" w:hAnsi="Verdana"/>
          <w:sz w:val="18"/>
          <w:szCs w:val="18"/>
        </w:rPr>
      </w:pPr>
      <w:r w:rsidRPr="004D3DC6">
        <w:rPr>
          <w:rFonts w:ascii="Verdana" w:hAnsi="Verdana"/>
          <w:sz w:val="18"/>
          <w:szCs w:val="18"/>
        </w:rPr>
        <w:t>An average check takes about 2 hours per firm (administrative employee)</w:t>
      </w:r>
      <w:r w:rsidR="00836A1E" w:rsidRPr="004D3DC6">
        <w:rPr>
          <w:rFonts w:ascii="Verdana" w:hAnsi="Verdana"/>
          <w:sz w:val="18"/>
          <w:szCs w:val="18"/>
        </w:rPr>
        <w:t xml:space="preserve"> for the government as well as the firm</w:t>
      </w:r>
      <w:r w:rsidRPr="004D3DC6">
        <w:rPr>
          <w:rFonts w:ascii="Verdana" w:hAnsi="Verdana"/>
          <w:sz w:val="18"/>
          <w:szCs w:val="18"/>
        </w:rPr>
        <w:t>. On average, the total annual number of administrative fines amounted to EUR 5 million.</w:t>
      </w:r>
    </w:p>
    <w:p w:rsidR="002063E2" w:rsidRPr="004D3DC6" w:rsidRDefault="002063E2" w:rsidP="006C5791">
      <w:pPr>
        <w:spacing w:after="0" w:line="276" w:lineRule="auto"/>
        <w:ind w:left="720" w:right="50"/>
        <w:jc w:val="both"/>
        <w:rPr>
          <w:rFonts w:ascii="Verdana" w:hAnsi="Verdana"/>
          <w:sz w:val="18"/>
          <w:szCs w:val="18"/>
        </w:rPr>
      </w:pPr>
    </w:p>
    <w:p w:rsidR="002063E2" w:rsidRPr="004D3DC6" w:rsidRDefault="002063E2" w:rsidP="006C5791">
      <w:pPr>
        <w:spacing w:after="0" w:line="276" w:lineRule="auto"/>
        <w:ind w:left="720" w:right="50"/>
        <w:jc w:val="both"/>
        <w:rPr>
          <w:rFonts w:ascii="Verdana" w:hAnsi="Verdana"/>
          <w:sz w:val="18"/>
          <w:szCs w:val="18"/>
        </w:rPr>
      </w:pPr>
      <w:r w:rsidRPr="004D3DC6">
        <w:rPr>
          <w:rFonts w:ascii="Verdana" w:hAnsi="Verdana"/>
          <w:sz w:val="18"/>
          <w:szCs w:val="18"/>
        </w:rPr>
        <w:t xml:space="preserve">The Late Payment Directive sets out a fixed sum of EUR 40 as compensation for recovery costs that the creditor is entitled to obtain from the debtor once interest for late payment has become payable. On average an administrative government employee spends 5 hours a week to make sure the system works correctly. Yearly, the system results in </w:t>
      </w:r>
      <w:r w:rsidR="00981A96" w:rsidRPr="004D3DC6">
        <w:rPr>
          <w:rFonts w:ascii="Verdana" w:hAnsi="Verdana"/>
          <w:sz w:val="18"/>
          <w:szCs w:val="18"/>
        </w:rPr>
        <w:t xml:space="preserve">EUR 2 million in compensation. </w:t>
      </w:r>
      <w:r w:rsidRPr="004D3DC6">
        <w:rPr>
          <w:rFonts w:ascii="Verdana" w:hAnsi="Verdana"/>
          <w:sz w:val="18"/>
          <w:szCs w:val="18"/>
        </w:rPr>
        <w:t>A system of tax regulations requires companies to fill in the correct forms, which have to be checked by the government. On average it takes about half an hour for an administrative employee to per application for the company as well as the government. On average 7,500 applications are filled in per year.</w:t>
      </w:r>
    </w:p>
    <w:p w:rsidR="00365038" w:rsidRPr="004D3DC6" w:rsidRDefault="00365038" w:rsidP="006C5791">
      <w:pPr>
        <w:spacing w:after="0" w:line="276" w:lineRule="auto"/>
        <w:ind w:left="720" w:right="50"/>
        <w:jc w:val="both"/>
        <w:rPr>
          <w:rFonts w:ascii="Verdana" w:hAnsi="Verdana"/>
          <w:b/>
          <w:sz w:val="18"/>
          <w:szCs w:val="18"/>
        </w:rPr>
      </w:pPr>
    </w:p>
    <w:p w:rsidR="00365038" w:rsidRDefault="00365038" w:rsidP="006C5791">
      <w:pPr>
        <w:spacing w:after="0" w:line="276" w:lineRule="auto"/>
        <w:ind w:left="720" w:right="50"/>
        <w:jc w:val="both"/>
        <w:rPr>
          <w:rFonts w:ascii="Verdana" w:hAnsi="Verdana"/>
          <w:sz w:val="18"/>
          <w:szCs w:val="18"/>
        </w:rPr>
      </w:pPr>
      <w:r w:rsidRPr="004D3DC6">
        <w:rPr>
          <w:rFonts w:ascii="Verdana" w:hAnsi="Verdana"/>
          <w:sz w:val="18"/>
          <w:szCs w:val="18"/>
        </w:rPr>
        <w:t>A system of tax regulation requires the government to invest in a software and database infrastructure of EUR 250,000. On average a fulltime administrative government employee (38 hours/week) controls and registers the request for tax reduction. On average 30,000 applications for tax reductions are requested per year, which takes approximately 30 minutes per application of an administrative employees. On the one hand, the tax reduction results in less government revenues, but on the other hand in less costs for the companies. In other words this is a shift between the government and the companies. The average tax reduction amounts to EUR 300 per application.</w:t>
      </w:r>
    </w:p>
    <w:p w:rsidR="00CE7255" w:rsidRPr="004D3DC6" w:rsidRDefault="00CE7255" w:rsidP="006C5791">
      <w:pPr>
        <w:spacing w:after="0" w:line="276" w:lineRule="auto"/>
        <w:ind w:left="720" w:right="50"/>
        <w:jc w:val="both"/>
        <w:rPr>
          <w:rFonts w:ascii="Verdana" w:hAnsi="Verdana"/>
          <w:sz w:val="18"/>
          <w:szCs w:val="18"/>
        </w:rPr>
      </w:pPr>
    </w:p>
    <w:p w:rsidR="002063E2" w:rsidRPr="00D84DC9" w:rsidRDefault="00CE7255" w:rsidP="006C5791">
      <w:pPr>
        <w:pStyle w:val="Bijschrift"/>
        <w:keepNext/>
        <w:spacing w:after="0" w:line="276" w:lineRule="auto"/>
        <w:jc w:val="center"/>
        <w:rPr>
          <w:rFonts w:ascii="Verdana" w:hAnsi="Verdana"/>
          <w:b/>
          <w:i w:val="0"/>
          <w:color w:val="auto"/>
          <w:sz w:val="16"/>
        </w:rPr>
      </w:pPr>
      <w:r>
        <w:rPr>
          <w:rFonts w:ascii="Verdana" w:hAnsi="Verdana"/>
          <w:b/>
          <w:i w:val="0"/>
          <w:color w:val="auto"/>
          <w:sz w:val="16"/>
        </w:rPr>
        <w:t>T</w:t>
      </w:r>
      <w:r w:rsidR="002063E2" w:rsidRPr="00D84DC9">
        <w:rPr>
          <w:rFonts w:ascii="Verdana" w:hAnsi="Verdana"/>
          <w:b/>
          <w:i w:val="0"/>
          <w:color w:val="auto"/>
          <w:sz w:val="16"/>
        </w:rPr>
        <w:t xml:space="preserve">able </w:t>
      </w:r>
      <w:r w:rsidR="00385B66" w:rsidRPr="00D84DC9">
        <w:rPr>
          <w:rFonts w:ascii="Verdana" w:hAnsi="Verdana"/>
          <w:b/>
          <w:i w:val="0"/>
          <w:color w:val="auto"/>
          <w:sz w:val="16"/>
        </w:rPr>
        <w:t>2</w:t>
      </w:r>
      <w:r w:rsidR="002063E2" w:rsidRPr="00D84DC9">
        <w:rPr>
          <w:rFonts w:ascii="Verdana" w:hAnsi="Verdana"/>
          <w:b/>
          <w:i w:val="0"/>
          <w:color w:val="auto"/>
          <w:sz w:val="16"/>
        </w:rPr>
        <w:t>: wages</w:t>
      </w:r>
    </w:p>
    <w:tbl>
      <w:tblPr>
        <w:tblStyle w:val="Tabelraster"/>
        <w:tblW w:w="0" w:type="auto"/>
        <w:jc w:val="center"/>
        <w:tblLook w:val="04A0" w:firstRow="1" w:lastRow="0" w:firstColumn="1" w:lastColumn="0" w:noHBand="0" w:noVBand="1"/>
      </w:tblPr>
      <w:tblGrid>
        <w:gridCol w:w="3089"/>
        <w:gridCol w:w="1281"/>
      </w:tblGrid>
      <w:tr w:rsidR="00D84DC9" w:rsidRPr="004D3DC6" w:rsidTr="00D84DC9">
        <w:trPr>
          <w:jc w:val="center"/>
        </w:trPr>
        <w:tc>
          <w:tcPr>
            <w:tcW w:w="4370" w:type="dxa"/>
            <w:gridSpan w:val="2"/>
            <w:shd w:val="clear" w:color="auto" w:fill="D9D9D9" w:themeFill="background1" w:themeFillShade="D9"/>
          </w:tcPr>
          <w:p w:rsidR="00D84DC9" w:rsidRPr="004D3DC6" w:rsidRDefault="00D84DC9" w:rsidP="006C5791">
            <w:pPr>
              <w:spacing w:line="276" w:lineRule="auto"/>
              <w:rPr>
                <w:rFonts w:ascii="Verdana" w:hAnsi="Verdana"/>
                <w:sz w:val="18"/>
                <w:szCs w:val="18"/>
              </w:rPr>
            </w:pPr>
            <w:r w:rsidRPr="004D3DC6">
              <w:rPr>
                <w:rFonts w:ascii="Verdana" w:hAnsi="Verdana"/>
                <w:b/>
                <w:sz w:val="18"/>
                <w:szCs w:val="18"/>
              </w:rPr>
              <w:t>Business</w:t>
            </w:r>
          </w:p>
        </w:tc>
      </w:tr>
      <w:tr w:rsidR="002063E2" w:rsidRPr="004D3DC6" w:rsidTr="00DF1A27">
        <w:trPr>
          <w:jc w:val="center"/>
        </w:trPr>
        <w:tc>
          <w:tcPr>
            <w:tcW w:w="3089" w:type="dxa"/>
          </w:tcPr>
          <w:p w:rsidR="002063E2" w:rsidRPr="004D3DC6" w:rsidRDefault="002063E2" w:rsidP="006C5791">
            <w:pPr>
              <w:spacing w:line="276" w:lineRule="auto"/>
              <w:ind w:left="171"/>
              <w:rPr>
                <w:rFonts w:ascii="Verdana" w:hAnsi="Verdana"/>
                <w:b/>
                <w:i/>
                <w:sz w:val="18"/>
                <w:szCs w:val="18"/>
              </w:rPr>
            </w:pPr>
            <w:r w:rsidRPr="004D3DC6">
              <w:rPr>
                <w:rFonts w:ascii="Verdana" w:hAnsi="Verdana"/>
                <w:i/>
                <w:sz w:val="18"/>
                <w:szCs w:val="18"/>
              </w:rPr>
              <w:t>Financial director</w:t>
            </w:r>
          </w:p>
        </w:tc>
        <w:tc>
          <w:tcPr>
            <w:tcW w:w="1281" w:type="dxa"/>
          </w:tcPr>
          <w:p w:rsidR="002063E2" w:rsidRPr="004D3DC6" w:rsidRDefault="002063E2" w:rsidP="006C5791">
            <w:pPr>
              <w:spacing w:line="276" w:lineRule="auto"/>
              <w:rPr>
                <w:rFonts w:ascii="Verdana" w:hAnsi="Verdana"/>
                <w:sz w:val="18"/>
                <w:szCs w:val="18"/>
              </w:rPr>
            </w:pPr>
            <w:r w:rsidRPr="004D3DC6">
              <w:rPr>
                <w:rFonts w:ascii="Verdana" w:hAnsi="Verdana"/>
                <w:sz w:val="18"/>
                <w:szCs w:val="18"/>
              </w:rPr>
              <w:t>€100/hour</w:t>
            </w:r>
          </w:p>
        </w:tc>
      </w:tr>
      <w:tr w:rsidR="002063E2" w:rsidRPr="004D3DC6" w:rsidTr="00DF1A27">
        <w:trPr>
          <w:jc w:val="center"/>
        </w:trPr>
        <w:tc>
          <w:tcPr>
            <w:tcW w:w="3089" w:type="dxa"/>
          </w:tcPr>
          <w:p w:rsidR="002063E2" w:rsidRPr="004D3DC6" w:rsidRDefault="002063E2" w:rsidP="006C5791">
            <w:pPr>
              <w:spacing w:line="276" w:lineRule="auto"/>
              <w:ind w:left="171"/>
              <w:rPr>
                <w:rFonts w:ascii="Verdana" w:hAnsi="Verdana"/>
                <w:b/>
                <w:i/>
                <w:sz w:val="18"/>
                <w:szCs w:val="18"/>
              </w:rPr>
            </w:pPr>
            <w:r w:rsidRPr="004D3DC6">
              <w:rPr>
                <w:rFonts w:ascii="Verdana" w:hAnsi="Verdana"/>
                <w:i/>
                <w:sz w:val="18"/>
                <w:szCs w:val="18"/>
              </w:rPr>
              <w:t>Corporate manager</w:t>
            </w:r>
          </w:p>
        </w:tc>
        <w:tc>
          <w:tcPr>
            <w:tcW w:w="1281" w:type="dxa"/>
          </w:tcPr>
          <w:p w:rsidR="002063E2" w:rsidRPr="004D3DC6" w:rsidRDefault="002063E2" w:rsidP="006C5791">
            <w:pPr>
              <w:spacing w:line="276" w:lineRule="auto"/>
              <w:rPr>
                <w:rFonts w:ascii="Verdana" w:hAnsi="Verdana"/>
                <w:sz w:val="18"/>
                <w:szCs w:val="18"/>
              </w:rPr>
            </w:pPr>
            <w:r w:rsidRPr="004D3DC6">
              <w:rPr>
                <w:rFonts w:ascii="Verdana" w:hAnsi="Verdana"/>
                <w:sz w:val="18"/>
                <w:szCs w:val="18"/>
              </w:rPr>
              <w:t>€70/hour</w:t>
            </w:r>
          </w:p>
        </w:tc>
      </w:tr>
      <w:tr w:rsidR="002063E2" w:rsidRPr="004D3DC6" w:rsidTr="00DF1A27">
        <w:trPr>
          <w:jc w:val="center"/>
        </w:trPr>
        <w:tc>
          <w:tcPr>
            <w:tcW w:w="3089" w:type="dxa"/>
          </w:tcPr>
          <w:p w:rsidR="002063E2" w:rsidRPr="004D3DC6" w:rsidRDefault="002063E2" w:rsidP="006C5791">
            <w:pPr>
              <w:spacing w:line="276" w:lineRule="auto"/>
              <w:ind w:left="171"/>
              <w:rPr>
                <w:rFonts w:ascii="Verdana" w:hAnsi="Verdana"/>
                <w:b/>
                <w:i/>
                <w:sz w:val="18"/>
                <w:szCs w:val="18"/>
              </w:rPr>
            </w:pPr>
            <w:r w:rsidRPr="004D3DC6">
              <w:rPr>
                <w:rFonts w:ascii="Verdana" w:hAnsi="Verdana"/>
                <w:i/>
                <w:sz w:val="18"/>
                <w:szCs w:val="18"/>
              </w:rPr>
              <w:t>Administrative employees</w:t>
            </w:r>
          </w:p>
        </w:tc>
        <w:tc>
          <w:tcPr>
            <w:tcW w:w="1281" w:type="dxa"/>
          </w:tcPr>
          <w:p w:rsidR="002063E2" w:rsidRPr="004D3DC6" w:rsidRDefault="002063E2" w:rsidP="006C5791">
            <w:pPr>
              <w:spacing w:line="276" w:lineRule="auto"/>
              <w:rPr>
                <w:rFonts w:ascii="Verdana" w:hAnsi="Verdana"/>
                <w:sz w:val="18"/>
                <w:szCs w:val="18"/>
              </w:rPr>
            </w:pPr>
            <w:r w:rsidRPr="004D3DC6">
              <w:rPr>
                <w:rFonts w:ascii="Verdana" w:hAnsi="Verdana"/>
                <w:sz w:val="18"/>
                <w:szCs w:val="18"/>
              </w:rPr>
              <w:t>€40/hour</w:t>
            </w:r>
          </w:p>
        </w:tc>
      </w:tr>
      <w:tr w:rsidR="002063E2" w:rsidRPr="004D3DC6" w:rsidTr="00DF1A27">
        <w:trPr>
          <w:jc w:val="center"/>
        </w:trPr>
        <w:tc>
          <w:tcPr>
            <w:tcW w:w="3089" w:type="dxa"/>
          </w:tcPr>
          <w:p w:rsidR="002063E2" w:rsidRPr="004D3DC6" w:rsidRDefault="002063E2" w:rsidP="006C5791">
            <w:pPr>
              <w:spacing w:line="276" w:lineRule="auto"/>
              <w:ind w:left="171"/>
              <w:rPr>
                <w:rFonts w:ascii="Verdana" w:hAnsi="Verdana"/>
                <w:i/>
                <w:sz w:val="18"/>
                <w:szCs w:val="18"/>
              </w:rPr>
            </w:pPr>
            <w:r w:rsidRPr="004D3DC6">
              <w:rPr>
                <w:rFonts w:ascii="Verdana" w:hAnsi="Verdana"/>
                <w:i/>
                <w:sz w:val="18"/>
                <w:szCs w:val="18"/>
              </w:rPr>
              <w:t>Lawyer</w:t>
            </w:r>
          </w:p>
        </w:tc>
        <w:tc>
          <w:tcPr>
            <w:tcW w:w="1281" w:type="dxa"/>
          </w:tcPr>
          <w:p w:rsidR="002063E2" w:rsidRPr="004D3DC6" w:rsidRDefault="002063E2" w:rsidP="006C5791">
            <w:pPr>
              <w:spacing w:line="276" w:lineRule="auto"/>
              <w:rPr>
                <w:rFonts w:ascii="Verdana" w:hAnsi="Verdana"/>
                <w:sz w:val="18"/>
                <w:szCs w:val="18"/>
              </w:rPr>
            </w:pPr>
            <w:r w:rsidRPr="004D3DC6">
              <w:rPr>
                <w:rFonts w:ascii="Verdana" w:hAnsi="Verdana"/>
                <w:sz w:val="18"/>
                <w:szCs w:val="18"/>
              </w:rPr>
              <w:t>€90/hour</w:t>
            </w:r>
          </w:p>
        </w:tc>
      </w:tr>
      <w:tr w:rsidR="002063E2" w:rsidRPr="004D3DC6" w:rsidTr="00DF1A27">
        <w:trPr>
          <w:jc w:val="center"/>
        </w:trPr>
        <w:tc>
          <w:tcPr>
            <w:tcW w:w="3089" w:type="dxa"/>
          </w:tcPr>
          <w:p w:rsidR="002063E2" w:rsidRPr="004D3DC6" w:rsidRDefault="002063E2" w:rsidP="006C5791">
            <w:pPr>
              <w:spacing w:line="276" w:lineRule="auto"/>
              <w:ind w:left="171"/>
              <w:rPr>
                <w:rFonts w:ascii="Verdana" w:hAnsi="Verdana"/>
                <w:i/>
                <w:sz w:val="18"/>
                <w:szCs w:val="18"/>
              </w:rPr>
            </w:pPr>
            <w:r w:rsidRPr="004D3DC6">
              <w:rPr>
                <w:rFonts w:ascii="Verdana" w:hAnsi="Verdana"/>
                <w:i/>
                <w:sz w:val="18"/>
                <w:szCs w:val="18"/>
              </w:rPr>
              <w:t xml:space="preserve">Negotiator </w:t>
            </w:r>
          </w:p>
        </w:tc>
        <w:tc>
          <w:tcPr>
            <w:tcW w:w="1281" w:type="dxa"/>
          </w:tcPr>
          <w:p w:rsidR="002063E2" w:rsidRPr="004D3DC6" w:rsidRDefault="002063E2" w:rsidP="006C5791">
            <w:pPr>
              <w:spacing w:line="276" w:lineRule="auto"/>
              <w:rPr>
                <w:rFonts w:ascii="Verdana" w:hAnsi="Verdana"/>
                <w:sz w:val="18"/>
                <w:szCs w:val="18"/>
              </w:rPr>
            </w:pPr>
            <w:r w:rsidRPr="004D3DC6">
              <w:rPr>
                <w:rFonts w:ascii="Verdana" w:hAnsi="Verdana"/>
                <w:sz w:val="18"/>
                <w:szCs w:val="18"/>
              </w:rPr>
              <w:t>€60/hour</w:t>
            </w:r>
          </w:p>
        </w:tc>
      </w:tr>
      <w:tr w:rsidR="00D84DC9" w:rsidRPr="004D3DC6" w:rsidTr="00D84DC9">
        <w:trPr>
          <w:jc w:val="center"/>
        </w:trPr>
        <w:tc>
          <w:tcPr>
            <w:tcW w:w="4370" w:type="dxa"/>
            <w:gridSpan w:val="2"/>
            <w:shd w:val="clear" w:color="auto" w:fill="D9D9D9" w:themeFill="background1" w:themeFillShade="D9"/>
          </w:tcPr>
          <w:p w:rsidR="00D84DC9" w:rsidRPr="004D3DC6" w:rsidRDefault="00D84DC9" w:rsidP="006C5791">
            <w:pPr>
              <w:spacing w:line="276" w:lineRule="auto"/>
              <w:rPr>
                <w:rFonts w:ascii="Verdana" w:hAnsi="Verdana"/>
                <w:sz w:val="18"/>
                <w:szCs w:val="18"/>
              </w:rPr>
            </w:pPr>
            <w:r w:rsidRPr="004D3DC6">
              <w:rPr>
                <w:rFonts w:ascii="Verdana" w:hAnsi="Verdana"/>
                <w:b/>
                <w:sz w:val="18"/>
                <w:szCs w:val="18"/>
              </w:rPr>
              <w:t>Institution</w:t>
            </w:r>
          </w:p>
        </w:tc>
      </w:tr>
      <w:tr w:rsidR="002063E2" w:rsidRPr="004D3DC6" w:rsidTr="00DF1A27">
        <w:trPr>
          <w:jc w:val="center"/>
        </w:trPr>
        <w:tc>
          <w:tcPr>
            <w:tcW w:w="3089" w:type="dxa"/>
          </w:tcPr>
          <w:p w:rsidR="002063E2" w:rsidRPr="004D3DC6" w:rsidRDefault="002063E2" w:rsidP="006C5791">
            <w:pPr>
              <w:spacing w:line="276" w:lineRule="auto"/>
              <w:ind w:left="171"/>
              <w:rPr>
                <w:rFonts w:ascii="Verdana" w:hAnsi="Verdana"/>
                <w:sz w:val="18"/>
                <w:szCs w:val="18"/>
              </w:rPr>
            </w:pPr>
            <w:r w:rsidRPr="004D3DC6">
              <w:rPr>
                <w:rFonts w:ascii="Verdana" w:hAnsi="Verdana"/>
                <w:i/>
                <w:sz w:val="18"/>
                <w:szCs w:val="18"/>
              </w:rPr>
              <w:t>Web design and developer</w:t>
            </w:r>
          </w:p>
        </w:tc>
        <w:tc>
          <w:tcPr>
            <w:tcW w:w="1281" w:type="dxa"/>
          </w:tcPr>
          <w:p w:rsidR="002063E2" w:rsidRPr="004D3DC6" w:rsidRDefault="002063E2" w:rsidP="006C5791">
            <w:pPr>
              <w:spacing w:line="276" w:lineRule="auto"/>
              <w:rPr>
                <w:rFonts w:ascii="Verdana" w:hAnsi="Verdana"/>
                <w:sz w:val="18"/>
                <w:szCs w:val="18"/>
              </w:rPr>
            </w:pPr>
            <w:r w:rsidRPr="004D3DC6">
              <w:rPr>
                <w:rFonts w:ascii="Verdana" w:hAnsi="Verdana"/>
                <w:sz w:val="18"/>
                <w:szCs w:val="18"/>
              </w:rPr>
              <w:t>€45/hour</w:t>
            </w:r>
          </w:p>
        </w:tc>
      </w:tr>
      <w:tr w:rsidR="002063E2" w:rsidRPr="004D3DC6" w:rsidTr="00CE7255">
        <w:trPr>
          <w:jc w:val="center"/>
        </w:trPr>
        <w:tc>
          <w:tcPr>
            <w:tcW w:w="3089" w:type="dxa"/>
            <w:tcBorders>
              <w:bottom w:val="single" w:sz="4" w:space="0" w:color="auto"/>
            </w:tcBorders>
          </w:tcPr>
          <w:p w:rsidR="002063E2" w:rsidRPr="004D3DC6" w:rsidRDefault="002063E2" w:rsidP="006C5791">
            <w:pPr>
              <w:spacing w:line="276" w:lineRule="auto"/>
              <w:ind w:left="171"/>
              <w:rPr>
                <w:rFonts w:ascii="Verdana" w:hAnsi="Verdana"/>
                <w:i/>
                <w:sz w:val="18"/>
                <w:szCs w:val="18"/>
              </w:rPr>
            </w:pPr>
            <w:r w:rsidRPr="004D3DC6">
              <w:rPr>
                <w:rFonts w:ascii="Verdana" w:hAnsi="Verdana"/>
                <w:i/>
                <w:sz w:val="18"/>
                <w:szCs w:val="18"/>
              </w:rPr>
              <w:t>Administrative employees</w:t>
            </w:r>
          </w:p>
        </w:tc>
        <w:tc>
          <w:tcPr>
            <w:tcW w:w="1281" w:type="dxa"/>
          </w:tcPr>
          <w:p w:rsidR="002063E2" w:rsidRPr="00CE7255" w:rsidRDefault="002063E2" w:rsidP="006C5791">
            <w:pPr>
              <w:spacing w:line="276" w:lineRule="auto"/>
              <w:rPr>
                <w:rFonts w:ascii="Verdana" w:hAnsi="Verdana"/>
                <w:i/>
                <w:sz w:val="18"/>
                <w:szCs w:val="18"/>
              </w:rPr>
            </w:pPr>
            <w:r w:rsidRPr="00CE7255">
              <w:rPr>
                <w:rFonts w:ascii="Verdana" w:hAnsi="Verdana"/>
                <w:i/>
                <w:sz w:val="18"/>
                <w:szCs w:val="18"/>
              </w:rPr>
              <w:t>€40/hour</w:t>
            </w:r>
          </w:p>
        </w:tc>
      </w:tr>
    </w:tbl>
    <w:p w:rsidR="002063E2" w:rsidRPr="004D3DC6" w:rsidRDefault="002063E2" w:rsidP="006C5791">
      <w:pPr>
        <w:spacing w:after="0" w:line="276" w:lineRule="auto"/>
        <w:ind w:left="720"/>
        <w:rPr>
          <w:rFonts w:ascii="Verdana" w:hAnsi="Verdana"/>
          <w:b/>
          <w:sz w:val="18"/>
          <w:szCs w:val="18"/>
        </w:rPr>
      </w:pPr>
    </w:p>
    <w:p w:rsidR="002063E2" w:rsidRPr="004D3DC6" w:rsidRDefault="002063E2" w:rsidP="006C5791">
      <w:pPr>
        <w:spacing w:after="0" w:line="276" w:lineRule="auto"/>
        <w:ind w:left="720"/>
        <w:rPr>
          <w:rFonts w:ascii="Verdana" w:hAnsi="Verdana"/>
          <w:b/>
          <w:sz w:val="18"/>
          <w:szCs w:val="18"/>
        </w:rPr>
      </w:pPr>
    </w:p>
    <w:p w:rsidR="002063E2" w:rsidRPr="004D3DC6" w:rsidRDefault="00836A1E" w:rsidP="006C5791">
      <w:pPr>
        <w:spacing w:after="0" w:line="276" w:lineRule="auto"/>
        <w:ind w:left="720"/>
        <w:jc w:val="both"/>
        <w:rPr>
          <w:rFonts w:ascii="Verdana" w:hAnsi="Verdana"/>
          <w:sz w:val="18"/>
          <w:szCs w:val="18"/>
        </w:rPr>
      </w:pPr>
      <w:r w:rsidRPr="004D3DC6">
        <w:rPr>
          <w:rFonts w:ascii="Verdana" w:hAnsi="Verdana"/>
          <w:sz w:val="18"/>
          <w:szCs w:val="18"/>
        </w:rPr>
        <w:t>A survey of 1,000 Polish companies showed that these 6 Polish measurements</w:t>
      </w:r>
      <w:r w:rsidR="002063E2" w:rsidRPr="004D3DC6">
        <w:rPr>
          <w:rFonts w:ascii="Verdana" w:hAnsi="Verdana"/>
          <w:sz w:val="18"/>
          <w:szCs w:val="18"/>
        </w:rPr>
        <w:t xml:space="preserve"> </w:t>
      </w:r>
      <w:r w:rsidRPr="004D3DC6">
        <w:rPr>
          <w:rFonts w:ascii="Verdana" w:hAnsi="Verdana"/>
          <w:sz w:val="18"/>
          <w:szCs w:val="18"/>
        </w:rPr>
        <w:t>increased trust</w:t>
      </w:r>
      <w:r w:rsidR="002063E2" w:rsidRPr="004D3DC6">
        <w:rPr>
          <w:rFonts w:ascii="Verdana" w:hAnsi="Verdana"/>
          <w:sz w:val="18"/>
          <w:szCs w:val="18"/>
        </w:rPr>
        <w:t xml:space="preserve"> with 30%-points compared </w:t>
      </w:r>
      <w:r w:rsidRPr="004D3DC6">
        <w:rPr>
          <w:rFonts w:ascii="Verdana" w:hAnsi="Verdana"/>
          <w:sz w:val="18"/>
          <w:szCs w:val="18"/>
        </w:rPr>
        <w:t>to</w:t>
      </w:r>
      <w:r w:rsidR="002063E2" w:rsidRPr="004D3DC6">
        <w:rPr>
          <w:rFonts w:ascii="Verdana" w:hAnsi="Verdana"/>
          <w:sz w:val="18"/>
          <w:szCs w:val="18"/>
        </w:rPr>
        <w:t xml:space="preserve"> the status quo option. Due to the measurements, the liquidity positions of the companies increased and led to more investments. In total the policy measures </w:t>
      </w:r>
      <w:r w:rsidRPr="004D3DC6">
        <w:rPr>
          <w:rFonts w:ascii="Verdana" w:hAnsi="Verdana"/>
          <w:sz w:val="18"/>
          <w:szCs w:val="18"/>
        </w:rPr>
        <w:t>will lead</w:t>
      </w:r>
      <w:r w:rsidR="002063E2" w:rsidRPr="004D3DC6">
        <w:rPr>
          <w:rFonts w:ascii="Verdana" w:hAnsi="Verdana"/>
          <w:sz w:val="18"/>
          <w:szCs w:val="18"/>
        </w:rPr>
        <w:t xml:space="preserve"> to an increase of 20,000 employers. On average, the payment delay decreased with 15 days due to the various policy measures. This also led to less costs in loans and credits for companies, for a total of EUR 5</w:t>
      </w:r>
      <w:r w:rsidR="00385B66" w:rsidRPr="004D3DC6">
        <w:rPr>
          <w:rFonts w:ascii="Verdana" w:hAnsi="Verdana"/>
          <w:sz w:val="18"/>
          <w:szCs w:val="18"/>
        </w:rPr>
        <w:t>0</w:t>
      </w:r>
      <w:r w:rsidR="002063E2" w:rsidRPr="004D3DC6">
        <w:rPr>
          <w:rFonts w:ascii="Verdana" w:hAnsi="Verdana"/>
          <w:sz w:val="18"/>
          <w:szCs w:val="18"/>
        </w:rPr>
        <w:t xml:space="preserve"> million per year.</w:t>
      </w:r>
    </w:p>
    <w:p w:rsidR="00385B66" w:rsidRPr="004D3DC6" w:rsidRDefault="00385B66" w:rsidP="006C5791">
      <w:pPr>
        <w:spacing w:after="0" w:line="276" w:lineRule="auto"/>
        <w:ind w:left="720"/>
        <w:jc w:val="both"/>
        <w:rPr>
          <w:rFonts w:ascii="Verdana" w:hAnsi="Verdana"/>
          <w:sz w:val="18"/>
          <w:szCs w:val="18"/>
        </w:rPr>
      </w:pPr>
    </w:p>
    <w:p w:rsidR="00385B66" w:rsidRDefault="00385B66" w:rsidP="006C5791">
      <w:pPr>
        <w:spacing w:after="0" w:line="276" w:lineRule="auto"/>
        <w:ind w:left="720"/>
        <w:jc w:val="both"/>
        <w:rPr>
          <w:rFonts w:ascii="Verdana" w:hAnsi="Verdana"/>
          <w:sz w:val="18"/>
          <w:szCs w:val="18"/>
        </w:rPr>
      </w:pPr>
      <w:r w:rsidRPr="004D3DC6">
        <w:rPr>
          <w:rFonts w:ascii="Verdana" w:hAnsi="Verdana"/>
          <w:sz w:val="18"/>
          <w:szCs w:val="18"/>
        </w:rPr>
        <w:lastRenderedPageBreak/>
        <w:t xml:space="preserve">Besides lawyer cost savings due to the organisation of an alternative dispute resolution system, other measures also reduce late payments. On average, it saves each 5,000 SME 4 hours of lawyer costs each year. </w:t>
      </w:r>
    </w:p>
    <w:p w:rsidR="00CE7255" w:rsidRPr="004D3DC6" w:rsidRDefault="00CE7255" w:rsidP="006C5791">
      <w:pPr>
        <w:spacing w:after="0" w:line="276" w:lineRule="auto"/>
        <w:ind w:left="720"/>
        <w:jc w:val="both"/>
        <w:rPr>
          <w:rFonts w:ascii="Verdana" w:hAnsi="Verdana"/>
          <w:sz w:val="18"/>
          <w:szCs w:val="18"/>
        </w:rPr>
      </w:pPr>
    </w:p>
    <w:p w:rsidR="002063E2" w:rsidRPr="004D3DC6" w:rsidRDefault="00CE7255" w:rsidP="006C5791">
      <w:pPr>
        <w:spacing w:after="0" w:line="276" w:lineRule="auto"/>
        <w:jc w:val="center"/>
        <w:rPr>
          <w:rFonts w:ascii="Verdana" w:hAnsi="Verdana"/>
          <w:b/>
          <w:sz w:val="18"/>
          <w:szCs w:val="18"/>
        </w:rPr>
      </w:pPr>
      <w:r>
        <w:rPr>
          <w:noProof/>
        </w:rPr>
        <w:drawing>
          <wp:inline distT="0" distB="0" distL="0" distR="0" wp14:anchorId="6F2AFB87" wp14:editId="5F005AF5">
            <wp:extent cx="2933700" cy="1943100"/>
            <wp:effectExtent l="0" t="0" r="0" b="0"/>
            <wp:docPr id="16" name="Afbeelding 16" descr="Afbeeldingsresultaat voor late payment dire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ate payment directiv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3700" cy="1943100"/>
                    </a:xfrm>
                    <a:prstGeom prst="rect">
                      <a:avLst/>
                    </a:prstGeom>
                    <a:noFill/>
                    <a:ln>
                      <a:noFill/>
                    </a:ln>
                  </pic:spPr>
                </pic:pic>
              </a:graphicData>
            </a:graphic>
          </wp:inline>
        </w:drawing>
      </w:r>
    </w:p>
    <w:p w:rsidR="00D24B3E" w:rsidRPr="004D3DC6" w:rsidRDefault="00D24B3E" w:rsidP="006C5791">
      <w:pPr>
        <w:spacing w:after="0" w:line="276" w:lineRule="auto"/>
        <w:rPr>
          <w:rFonts w:ascii="Verdana" w:hAnsi="Verdana"/>
          <w:b/>
          <w:sz w:val="18"/>
          <w:szCs w:val="18"/>
        </w:rPr>
      </w:pPr>
    </w:p>
    <w:p w:rsidR="002063E2" w:rsidRPr="004D3DC6" w:rsidRDefault="002063E2" w:rsidP="006C5791">
      <w:pPr>
        <w:numPr>
          <w:ilvl w:val="0"/>
          <w:numId w:val="4"/>
        </w:numPr>
        <w:spacing w:after="0" w:line="276" w:lineRule="auto"/>
        <w:rPr>
          <w:rFonts w:ascii="Verdana" w:hAnsi="Verdana"/>
          <w:b/>
          <w:sz w:val="18"/>
          <w:szCs w:val="18"/>
        </w:rPr>
      </w:pPr>
      <w:r w:rsidRPr="004D3DC6">
        <w:rPr>
          <w:rFonts w:ascii="Verdana" w:hAnsi="Verdana"/>
          <w:b/>
          <w:sz w:val="18"/>
          <w:szCs w:val="18"/>
        </w:rPr>
        <w:t>Option 2: Extended Polish version</w:t>
      </w:r>
    </w:p>
    <w:p w:rsidR="00836A1E" w:rsidRPr="004D3DC6" w:rsidRDefault="002063E2" w:rsidP="006C5791">
      <w:pPr>
        <w:spacing w:after="0" w:line="276" w:lineRule="auto"/>
        <w:ind w:left="720"/>
        <w:jc w:val="both"/>
        <w:rPr>
          <w:rFonts w:ascii="Verdana" w:hAnsi="Verdana"/>
          <w:sz w:val="18"/>
          <w:szCs w:val="18"/>
        </w:rPr>
      </w:pPr>
      <w:r w:rsidRPr="004D3DC6">
        <w:rPr>
          <w:rFonts w:ascii="Verdana" w:hAnsi="Verdana"/>
          <w:sz w:val="18"/>
          <w:szCs w:val="18"/>
        </w:rPr>
        <w:t>Option 2 is an extension</w:t>
      </w:r>
      <w:r w:rsidR="00836A1E" w:rsidRPr="004D3DC6">
        <w:rPr>
          <w:rFonts w:ascii="Verdana" w:hAnsi="Verdana"/>
          <w:sz w:val="18"/>
          <w:szCs w:val="18"/>
        </w:rPr>
        <w:t>/modification</w:t>
      </w:r>
      <w:r w:rsidRPr="004D3DC6">
        <w:rPr>
          <w:rFonts w:ascii="Verdana" w:hAnsi="Verdana"/>
          <w:sz w:val="18"/>
          <w:szCs w:val="18"/>
        </w:rPr>
        <w:t xml:space="preserve"> of the current Polish policy concerning the Late Payment Directive. </w:t>
      </w:r>
      <w:r w:rsidR="00F53B84" w:rsidRPr="004D3DC6">
        <w:rPr>
          <w:rFonts w:ascii="Verdana" w:hAnsi="Verdana"/>
          <w:sz w:val="18"/>
          <w:szCs w:val="18"/>
        </w:rPr>
        <w:t>The impacts of this</w:t>
      </w:r>
      <w:r w:rsidRPr="004D3DC6">
        <w:rPr>
          <w:rFonts w:ascii="Verdana" w:hAnsi="Verdana"/>
          <w:sz w:val="18"/>
          <w:szCs w:val="18"/>
        </w:rPr>
        <w:t xml:space="preserve"> option </w:t>
      </w:r>
      <w:r w:rsidR="00F53B84" w:rsidRPr="004D3DC6">
        <w:rPr>
          <w:rFonts w:ascii="Verdana" w:hAnsi="Verdana"/>
          <w:sz w:val="18"/>
          <w:szCs w:val="18"/>
        </w:rPr>
        <w:t>are</w:t>
      </w:r>
      <w:r w:rsidRPr="004D3DC6">
        <w:rPr>
          <w:rFonts w:ascii="Verdana" w:hAnsi="Verdana"/>
          <w:sz w:val="18"/>
          <w:szCs w:val="18"/>
        </w:rPr>
        <w:t xml:space="preserve"> already calculated</w:t>
      </w:r>
      <w:r w:rsidR="00F53B84" w:rsidRPr="004D3DC6">
        <w:rPr>
          <w:rFonts w:ascii="Verdana" w:hAnsi="Verdana"/>
          <w:sz w:val="18"/>
          <w:szCs w:val="18"/>
        </w:rPr>
        <w:t>, which can be found in</w:t>
      </w:r>
      <w:r w:rsidRPr="004D3DC6">
        <w:rPr>
          <w:rFonts w:ascii="Verdana" w:hAnsi="Verdana"/>
          <w:sz w:val="18"/>
          <w:szCs w:val="18"/>
        </w:rPr>
        <w:t xml:space="preserve"> the multi-criteria analysis.</w:t>
      </w:r>
      <w:r w:rsidR="00836A1E" w:rsidRPr="004D3DC6">
        <w:rPr>
          <w:rFonts w:ascii="Verdana" w:hAnsi="Verdana"/>
          <w:sz w:val="18"/>
          <w:szCs w:val="18"/>
        </w:rPr>
        <w:t xml:space="preserve"> Some examples of measurements are:</w:t>
      </w:r>
    </w:p>
    <w:p w:rsidR="00836A1E" w:rsidRPr="004D3DC6" w:rsidRDefault="00836A1E" w:rsidP="006C5791">
      <w:pPr>
        <w:numPr>
          <w:ilvl w:val="1"/>
          <w:numId w:val="4"/>
        </w:numPr>
        <w:spacing w:after="0" w:line="276" w:lineRule="auto"/>
        <w:ind w:left="1434" w:hanging="357"/>
        <w:jc w:val="both"/>
        <w:rPr>
          <w:rFonts w:ascii="Verdana" w:hAnsi="Verdana"/>
          <w:sz w:val="18"/>
          <w:szCs w:val="18"/>
        </w:rPr>
      </w:pPr>
      <w:r w:rsidRPr="004D3DC6">
        <w:rPr>
          <w:rFonts w:ascii="Verdana" w:hAnsi="Verdana"/>
          <w:sz w:val="18"/>
          <w:szCs w:val="18"/>
        </w:rPr>
        <w:t xml:space="preserve">Apply stricter payment terms of option 1 only to SMEs with </w:t>
      </w:r>
      <w:r w:rsidR="00442FE4" w:rsidRPr="004D3DC6">
        <w:rPr>
          <w:rFonts w:ascii="Verdana" w:hAnsi="Verdana"/>
          <w:sz w:val="18"/>
          <w:szCs w:val="18"/>
        </w:rPr>
        <w:t xml:space="preserve">a certain turnovers (e.g. 500,000 euro). This would reduce the administrative burden with 75%, since it would be only applicable to 500,000 firms instead of 2 million. </w:t>
      </w:r>
    </w:p>
    <w:p w:rsidR="00442FE4" w:rsidRPr="004D3DC6" w:rsidRDefault="00442FE4" w:rsidP="006C5791">
      <w:pPr>
        <w:numPr>
          <w:ilvl w:val="1"/>
          <w:numId w:val="4"/>
        </w:numPr>
        <w:spacing w:after="0" w:line="276" w:lineRule="auto"/>
        <w:ind w:left="1434" w:hanging="357"/>
        <w:jc w:val="both"/>
        <w:rPr>
          <w:rFonts w:ascii="Verdana" w:hAnsi="Verdana"/>
          <w:sz w:val="18"/>
          <w:szCs w:val="18"/>
        </w:rPr>
      </w:pPr>
      <w:r w:rsidRPr="004D3DC6">
        <w:rPr>
          <w:rFonts w:ascii="Verdana" w:hAnsi="Verdana"/>
          <w:sz w:val="18"/>
          <w:szCs w:val="18"/>
        </w:rPr>
        <w:t>We could also reduce the quarterly reporting obligation to a half-yearly obligations, which would also reduce the administrative burden significantly.</w:t>
      </w:r>
    </w:p>
    <w:p w:rsidR="00442FE4" w:rsidRPr="004D3DC6" w:rsidRDefault="00442FE4" w:rsidP="006C5791">
      <w:pPr>
        <w:numPr>
          <w:ilvl w:val="1"/>
          <w:numId w:val="4"/>
        </w:numPr>
        <w:spacing w:after="0" w:line="276" w:lineRule="auto"/>
        <w:ind w:left="1434" w:hanging="357"/>
        <w:jc w:val="both"/>
        <w:rPr>
          <w:rFonts w:ascii="Verdana" w:hAnsi="Verdana"/>
          <w:sz w:val="18"/>
          <w:szCs w:val="18"/>
        </w:rPr>
      </w:pPr>
      <w:r w:rsidRPr="004D3DC6">
        <w:rPr>
          <w:rFonts w:ascii="Verdana" w:hAnsi="Verdana"/>
          <w:sz w:val="18"/>
          <w:szCs w:val="18"/>
        </w:rPr>
        <w:t>Free advice for companies on late payments organised by the Polish government.</w:t>
      </w:r>
    </w:p>
    <w:p w:rsidR="00442FE4" w:rsidRPr="004D3DC6" w:rsidRDefault="00442FE4" w:rsidP="006C5791">
      <w:pPr>
        <w:numPr>
          <w:ilvl w:val="1"/>
          <w:numId w:val="4"/>
        </w:numPr>
        <w:spacing w:after="0" w:line="276" w:lineRule="auto"/>
        <w:ind w:left="1434" w:hanging="357"/>
        <w:jc w:val="both"/>
        <w:rPr>
          <w:rFonts w:ascii="Verdana" w:hAnsi="Verdana"/>
          <w:sz w:val="18"/>
          <w:szCs w:val="18"/>
        </w:rPr>
      </w:pPr>
      <w:r w:rsidRPr="004D3DC6">
        <w:rPr>
          <w:rFonts w:ascii="Verdana" w:hAnsi="Verdana"/>
          <w:sz w:val="18"/>
          <w:szCs w:val="18"/>
        </w:rPr>
        <w:t>An obligation to use an e-invoicing system would increase the operational costs.</w:t>
      </w:r>
    </w:p>
    <w:p w:rsidR="00D24B3E" w:rsidRPr="004D3DC6" w:rsidRDefault="00D24B3E" w:rsidP="006C5791">
      <w:pPr>
        <w:spacing w:after="0" w:line="276" w:lineRule="auto"/>
        <w:ind w:left="720"/>
        <w:jc w:val="both"/>
        <w:rPr>
          <w:rFonts w:ascii="Verdana" w:hAnsi="Verdana"/>
          <w:sz w:val="18"/>
          <w:szCs w:val="18"/>
        </w:rPr>
      </w:pPr>
    </w:p>
    <w:p w:rsidR="004D3DC6" w:rsidRDefault="004D3DC6" w:rsidP="006C5791">
      <w:pPr>
        <w:spacing w:after="0" w:line="276" w:lineRule="auto"/>
        <w:jc w:val="center"/>
        <w:rPr>
          <w:rFonts w:ascii="Verdana" w:hAnsi="Verdana"/>
          <w:sz w:val="18"/>
          <w:szCs w:val="18"/>
        </w:rPr>
      </w:pPr>
      <w:r>
        <w:rPr>
          <w:rFonts w:ascii="Verdana" w:hAnsi="Verdana"/>
          <w:i/>
          <w:iCs/>
        </w:rPr>
        <w:br w:type="page"/>
      </w:r>
    </w:p>
    <w:p w:rsidR="00CE7255" w:rsidRDefault="002063E2" w:rsidP="006C5791">
      <w:pPr>
        <w:pStyle w:val="Bijschrift"/>
        <w:keepNext/>
        <w:spacing w:after="0" w:line="276" w:lineRule="auto"/>
        <w:rPr>
          <w:rFonts w:ascii="Verdana" w:hAnsi="Verdana"/>
          <w:i w:val="0"/>
          <w:iCs w:val="0"/>
          <w:color w:val="auto"/>
        </w:rPr>
      </w:pPr>
      <w:r w:rsidRPr="004D3DC6">
        <w:rPr>
          <w:rFonts w:ascii="Verdana" w:hAnsi="Verdana"/>
          <w:i w:val="0"/>
          <w:iCs w:val="0"/>
          <w:color w:val="auto"/>
        </w:rPr>
        <w:lastRenderedPageBreak/>
        <w:t>4 steps in MCA</w:t>
      </w:r>
    </w:p>
    <w:p w:rsidR="00CE7255" w:rsidRDefault="00CE7255" w:rsidP="006C5791">
      <w:pPr>
        <w:pStyle w:val="Bijschrift"/>
        <w:keepNext/>
        <w:spacing w:after="0" w:line="276" w:lineRule="auto"/>
        <w:ind w:left="720"/>
        <w:rPr>
          <w:rFonts w:ascii="Verdana" w:hAnsi="Verdana"/>
          <w:i w:val="0"/>
          <w:iCs w:val="0"/>
          <w:color w:val="auto"/>
        </w:rPr>
      </w:pPr>
    </w:p>
    <w:p w:rsidR="002063E2" w:rsidRPr="004D3DC6" w:rsidRDefault="002063E2" w:rsidP="006C5791">
      <w:pPr>
        <w:pStyle w:val="Bijschrift"/>
        <w:keepNext/>
        <w:numPr>
          <w:ilvl w:val="0"/>
          <w:numId w:val="4"/>
        </w:numPr>
        <w:spacing w:after="0" w:line="276" w:lineRule="auto"/>
        <w:rPr>
          <w:rFonts w:ascii="Verdana" w:hAnsi="Verdana"/>
          <w:i w:val="0"/>
          <w:iCs w:val="0"/>
          <w:color w:val="auto"/>
        </w:rPr>
      </w:pPr>
      <w:r w:rsidRPr="004D3DC6">
        <w:rPr>
          <w:rFonts w:ascii="Verdana" w:hAnsi="Verdana"/>
          <w:i w:val="0"/>
          <w:iCs w:val="0"/>
          <w:color w:val="auto"/>
        </w:rPr>
        <w:t xml:space="preserve">Step 1: determine costs and benefits </w:t>
      </w:r>
    </w:p>
    <w:p w:rsidR="002063E2" w:rsidRPr="004D3DC6" w:rsidRDefault="002063E2" w:rsidP="006C5791">
      <w:pPr>
        <w:pStyle w:val="Bijschrift"/>
        <w:keepNext/>
        <w:numPr>
          <w:ilvl w:val="0"/>
          <w:numId w:val="4"/>
        </w:numPr>
        <w:spacing w:after="0" w:line="276" w:lineRule="auto"/>
        <w:rPr>
          <w:rFonts w:ascii="Verdana" w:hAnsi="Verdana"/>
          <w:i w:val="0"/>
          <w:iCs w:val="0"/>
          <w:color w:val="auto"/>
        </w:rPr>
      </w:pPr>
      <w:r w:rsidRPr="004D3DC6">
        <w:rPr>
          <w:rFonts w:ascii="Verdana" w:hAnsi="Verdana"/>
          <w:i w:val="0"/>
          <w:iCs w:val="0"/>
          <w:color w:val="auto"/>
        </w:rPr>
        <w:t>Step 2: standardization row maximum</w:t>
      </w:r>
    </w:p>
    <w:p w:rsidR="002063E2" w:rsidRPr="004D3DC6" w:rsidRDefault="002063E2" w:rsidP="006C5791">
      <w:pPr>
        <w:pStyle w:val="Bijschrift"/>
        <w:keepNext/>
        <w:numPr>
          <w:ilvl w:val="0"/>
          <w:numId w:val="4"/>
        </w:numPr>
        <w:spacing w:after="0" w:line="276" w:lineRule="auto"/>
        <w:rPr>
          <w:rFonts w:ascii="Verdana" w:hAnsi="Verdana"/>
          <w:i w:val="0"/>
          <w:iCs w:val="0"/>
          <w:color w:val="auto"/>
        </w:rPr>
      </w:pPr>
      <w:r w:rsidRPr="004D3DC6">
        <w:rPr>
          <w:rFonts w:ascii="Verdana" w:hAnsi="Verdana"/>
          <w:i w:val="0"/>
          <w:iCs w:val="0"/>
          <w:color w:val="auto"/>
        </w:rPr>
        <w:t>Step 3: multiply and sum up</w:t>
      </w:r>
    </w:p>
    <w:p w:rsidR="002063E2" w:rsidRPr="004D3DC6" w:rsidRDefault="002063E2" w:rsidP="006C5791">
      <w:pPr>
        <w:pStyle w:val="Bijschrift"/>
        <w:keepNext/>
        <w:numPr>
          <w:ilvl w:val="0"/>
          <w:numId w:val="4"/>
        </w:numPr>
        <w:spacing w:after="0" w:line="276" w:lineRule="auto"/>
        <w:rPr>
          <w:rFonts w:ascii="Verdana" w:hAnsi="Verdana"/>
          <w:i w:val="0"/>
          <w:iCs w:val="0"/>
          <w:color w:val="auto"/>
        </w:rPr>
      </w:pPr>
      <w:r w:rsidRPr="004D3DC6">
        <w:rPr>
          <w:rFonts w:ascii="Verdana" w:hAnsi="Verdana"/>
          <w:i w:val="0"/>
          <w:iCs w:val="0"/>
          <w:color w:val="auto"/>
        </w:rPr>
        <w:t>Step 4: determine preference rule</w:t>
      </w:r>
    </w:p>
    <w:p w:rsidR="002063E2" w:rsidRPr="004D3DC6" w:rsidRDefault="002063E2" w:rsidP="006C5791">
      <w:pPr>
        <w:pStyle w:val="Bijschrift"/>
        <w:keepNext/>
        <w:spacing w:after="0" w:line="276" w:lineRule="auto"/>
        <w:jc w:val="center"/>
        <w:rPr>
          <w:rFonts w:ascii="Verdana" w:hAnsi="Verdana"/>
          <w:b/>
          <w:i w:val="0"/>
          <w:color w:val="auto"/>
          <w:lang w:val="nl-BE"/>
        </w:rPr>
      </w:pPr>
    </w:p>
    <w:p w:rsidR="002063E2" w:rsidRPr="004D3DC6" w:rsidRDefault="002063E2" w:rsidP="006C5791">
      <w:pPr>
        <w:pStyle w:val="Bijschrift"/>
        <w:keepNext/>
        <w:spacing w:after="0" w:line="276" w:lineRule="auto"/>
        <w:jc w:val="center"/>
        <w:rPr>
          <w:rFonts w:ascii="Verdana" w:hAnsi="Verdana"/>
          <w:b/>
          <w:i w:val="0"/>
          <w:color w:val="auto"/>
          <w:lang w:val="nl-BE"/>
        </w:rPr>
      </w:pPr>
    </w:p>
    <w:p w:rsidR="004F1146" w:rsidRPr="004D3DC6" w:rsidRDefault="002063E2" w:rsidP="006C5791">
      <w:pPr>
        <w:pStyle w:val="Bijschrift"/>
        <w:keepNext/>
        <w:spacing w:after="0" w:line="276" w:lineRule="auto"/>
        <w:rPr>
          <w:rFonts w:ascii="Verdana" w:hAnsi="Verdana"/>
          <w:b/>
          <w:i w:val="0"/>
          <w:iCs w:val="0"/>
          <w:color w:val="auto"/>
        </w:rPr>
      </w:pPr>
      <w:r w:rsidRPr="004D3DC6">
        <w:rPr>
          <w:rFonts w:ascii="Verdana" w:hAnsi="Verdana"/>
          <w:b/>
          <w:i w:val="0"/>
          <w:iCs w:val="0"/>
          <w:color w:val="auto"/>
        </w:rPr>
        <w:t xml:space="preserve">Step 1: determine costs and benefits </w:t>
      </w:r>
    </w:p>
    <w:p w:rsidR="004F1146" w:rsidRPr="004D3DC6" w:rsidRDefault="004F1146" w:rsidP="006C5791">
      <w:pPr>
        <w:spacing w:after="0" w:line="276" w:lineRule="auto"/>
        <w:rPr>
          <w:rFonts w:ascii="Verdana" w:hAnsi="Verdana"/>
          <w:sz w:val="18"/>
          <w:szCs w:val="18"/>
        </w:rPr>
      </w:pPr>
    </w:p>
    <w:tbl>
      <w:tblPr>
        <w:tblW w:w="6894" w:type="dxa"/>
        <w:jc w:val="center"/>
        <w:tblLook w:val="04A0" w:firstRow="1" w:lastRow="0" w:firstColumn="1" w:lastColumn="0" w:noHBand="0" w:noVBand="1"/>
      </w:tblPr>
      <w:tblGrid>
        <w:gridCol w:w="2967"/>
        <w:gridCol w:w="1173"/>
        <w:gridCol w:w="1377"/>
        <w:gridCol w:w="1377"/>
      </w:tblGrid>
      <w:tr w:rsidR="004F1146" w:rsidRPr="004D3DC6" w:rsidTr="00D84DC9">
        <w:trPr>
          <w:trHeight w:val="315"/>
          <w:jc w:val="center"/>
        </w:trPr>
        <w:tc>
          <w:tcPr>
            <w:tcW w:w="2967"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7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377"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377"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315"/>
          <w:jc w:val="center"/>
        </w:trPr>
        <w:tc>
          <w:tcPr>
            <w:tcW w:w="6894"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894"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5</w:t>
            </w:r>
          </w:p>
        </w:tc>
      </w:tr>
      <w:tr w:rsidR="004F1146" w:rsidRPr="004D3DC6" w:rsidTr="00D84DC9">
        <w:trPr>
          <w:trHeight w:val="300"/>
          <w:jc w:val="center"/>
        </w:trPr>
        <w:tc>
          <w:tcPr>
            <w:tcW w:w="6894"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15,000</w:t>
            </w:r>
          </w:p>
        </w:tc>
      </w:tr>
      <w:tr w:rsidR="004F1146" w:rsidRPr="004D3DC6" w:rsidTr="00D84DC9">
        <w:trPr>
          <w:trHeight w:val="300"/>
          <w:jc w:val="center"/>
        </w:trPr>
        <w:tc>
          <w:tcPr>
            <w:tcW w:w="6894"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20</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75,000,000</w:t>
            </w:r>
          </w:p>
        </w:tc>
      </w:tr>
      <w:tr w:rsidR="004F1146" w:rsidRPr="004D3DC6" w:rsidTr="00CE7255">
        <w:trPr>
          <w:trHeight w:val="315"/>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50,000,000</w:t>
            </w:r>
          </w:p>
        </w:tc>
      </w:tr>
      <w:tr w:rsidR="004F1146" w:rsidRPr="004D3DC6" w:rsidTr="00D84DC9">
        <w:trPr>
          <w:trHeight w:val="315"/>
          <w:jc w:val="center"/>
        </w:trPr>
        <w:tc>
          <w:tcPr>
            <w:tcW w:w="6894"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894"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150,000,000</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100,000,000</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75,000,000</w:t>
            </w:r>
          </w:p>
        </w:tc>
      </w:tr>
      <w:tr w:rsidR="004F1146" w:rsidRPr="004D3DC6" w:rsidTr="00D84DC9">
        <w:trPr>
          <w:trHeight w:val="300"/>
          <w:jc w:val="center"/>
        </w:trPr>
        <w:tc>
          <w:tcPr>
            <w:tcW w:w="6894"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r>
      <w:tr w:rsidR="004F1146" w:rsidRPr="004D3DC6" w:rsidTr="00CE7255">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5,000,000</w:t>
            </w:r>
          </w:p>
        </w:tc>
      </w:tr>
      <w:tr w:rsidR="004F1146" w:rsidRPr="004D3DC6" w:rsidTr="00CE7255">
        <w:trPr>
          <w:trHeight w:val="315"/>
          <w:jc w:val="center"/>
        </w:trPr>
        <w:tc>
          <w:tcPr>
            <w:tcW w:w="2967" w:type="dxa"/>
            <w:tcBorders>
              <w:top w:val="nil"/>
              <w:left w:val="single" w:sz="8" w:space="0" w:color="auto"/>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8"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377" w:type="dxa"/>
            <w:tcBorders>
              <w:top w:val="nil"/>
              <w:left w:val="nil"/>
              <w:bottom w:val="single" w:sz="8"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10,000,000</w:t>
            </w:r>
          </w:p>
        </w:tc>
      </w:tr>
    </w:tbl>
    <w:p w:rsidR="002063E2" w:rsidRPr="004D3DC6" w:rsidRDefault="002063E2" w:rsidP="006C5791">
      <w:pPr>
        <w:pStyle w:val="Bijschrift"/>
        <w:keepNext/>
        <w:spacing w:after="0" w:line="276" w:lineRule="auto"/>
        <w:rPr>
          <w:rFonts w:ascii="Verdana" w:hAnsi="Verdana"/>
          <w:b/>
        </w:rPr>
      </w:pPr>
    </w:p>
    <w:p w:rsidR="00FA49CE" w:rsidRPr="004D3DC6" w:rsidRDefault="00FA49CE" w:rsidP="006C5791">
      <w:pPr>
        <w:spacing w:after="0" w:line="276" w:lineRule="auto"/>
        <w:rPr>
          <w:rFonts w:ascii="Verdana" w:hAnsi="Verdana"/>
          <w:b/>
          <w:sz w:val="18"/>
          <w:szCs w:val="18"/>
        </w:rPr>
      </w:pPr>
      <w:r w:rsidRPr="004D3DC6">
        <w:rPr>
          <w:rFonts w:ascii="Verdana" w:hAnsi="Verdana"/>
          <w:b/>
          <w:i/>
          <w:iCs/>
          <w:sz w:val="18"/>
          <w:szCs w:val="18"/>
        </w:rPr>
        <w:br w:type="page"/>
      </w:r>
    </w:p>
    <w:p w:rsidR="002063E2" w:rsidRPr="004D3DC6" w:rsidRDefault="002063E2" w:rsidP="006C5791">
      <w:pPr>
        <w:pStyle w:val="Bijschrift"/>
        <w:keepNext/>
        <w:spacing w:after="0" w:line="276" w:lineRule="auto"/>
        <w:rPr>
          <w:rFonts w:ascii="Verdana" w:hAnsi="Verdana"/>
          <w:b/>
          <w:i w:val="0"/>
          <w:iCs w:val="0"/>
          <w:color w:val="auto"/>
        </w:rPr>
      </w:pPr>
      <w:r w:rsidRPr="004D3DC6">
        <w:rPr>
          <w:rFonts w:ascii="Verdana" w:hAnsi="Verdana"/>
          <w:b/>
          <w:i w:val="0"/>
          <w:iCs w:val="0"/>
          <w:color w:val="auto"/>
        </w:rPr>
        <w:lastRenderedPageBreak/>
        <w:t>Step 2: standardization row maximum</w:t>
      </w:r>
    </w:p>
    <w:p w:rsidR="004F1146" w:rsidRPr="004D3DC6" w:rsidRDefault="004F1146" w:rsidP="006C5791">
      <w:pPr>
        <w:spacing w:after="0" w:line="276" w:lineRule="auto"/>
        <w:rPr>
          <w:rFonts w:ascii="Verdana" w:hAnsi="Verdana"/>
          <w:sz w:val="18"/>
          <w:szCs w:val="18"/>
        </w:rPr>
      </w:pPr>
    </w:p>
    <w:tbl>
      <w:tblPr>
        <w:tblW w:w="6565" w:type="dxa"/>
        <w:jc w:val="center"/>
        <w:tblLook w:val="04A0" w:firstRow="1" w:lastRow="0" w:firstColumn="1" w:lastColumn="0" w:noHBand="0" w:noVBand="1"/>
      </w:tblPr>
      <w:tblGrid>
        <w:gridCol w:w="3119"/>
        <w:gridCol w:w="1146"/>
        <w:gridCol w:w="1120"/>
        <w:gridCol w:w="1180"/>
      </w:tblGrid>
      <w:tr w:rsidR="004F1146" w:rsidRPr="004D3DC6" w:rsidTr="00D84DC9">
        <w:trPr>
          <w:trHeight w:val="315"/>
          <w:jc w:val="center"/>
        </w:trPr>
        <w:tc>
          <w:tcPr>
            <w:tcW w:w="3119"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46"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315"/>
          <w:jc w:val="center"/>
        </w:trPr>
        <w:tc>
          <w:tcPr>
            <w:tcW w:w="6565"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565"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65"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65"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15"/>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15"/>
          <w:jc w:val="center"/>
        </w:trPr>
        <w:tc>
          <w:tcPr>
            <w:tcW w:w="6565"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565"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65"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15"/>
          <w:jc w:val="center"/>
        </w:trPr>
        <w:tc>
          <w:tcPr>
            <w:tcW w:w="3119" w:type="dxa"/>
            <w:tcBorders>
              <w:top w:val="nil"/>
              <w:left w:val="single" w:sz="8" w:space="0" w:color="auto"/>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8"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80" w:type="dxa"/>
            <w:tcBorders>
              <w:top w:val="nil"/>
              <w:left w:val="nil"/>
              <w:bottom w:val="single" w:sz="8"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bl>
    <w:p w:rsidR="002063E2" w:rsidRPr="004D3DC6" w:rsidRDefault="002063E2" w:rsidP="006C5791">
      <w:pPr>
        <w:pStyle w:val="Bijschrift"/>
        <w:keepNext/>
        <w:spacing w:after="0" w:line="276" w:lineRule="auto"/>
        <w:rPr>
          <w:rFonts w:ascii="Verdana" w:hAnsi="Verdana"/>
          <w:b/>
          <w:i w:val="0"/>
          <w:iCs w:val="0"/>
          <w:color w:val="auto"/>
        </w:rPr>
      </w:pPr>
    </w:p>
    <w:p w:rsidR="002063E2" w:rsidRPr="004D3DC6" w:rsidRDefault="002063E2" w:rsidP="006C5791">
      <w:pPr>
        <w:pStyle w:val="Bijschrift"/>
        <w:keepNext/>
        <w:spacing w:after="0" w:line="276" w:lineRule="auto"/>
        <w:rPr>
          <w:rFonts w:ascii="Verdana" w:hAnsi="Verdana"/>
          <w:b/>
          <w:i w:val="0"/>
          <w:iCs w:val="0"/>
          <w:color w:val="auto"/>
        </w:rPr>
      </w:pPr>
    </w:p>
    <w:p w:rsidR="004F1146" w:rsidRPr="004D3DC6" w:rsidRDefault="004F1146" w:rsidP="006C5791">
      <w:pPr>
        <w:spacing w:after="0" w:line="276" w:lineRule="auto"/>
        <w:rPr>
          <w:rFonts w:ascii="Verdana" w:hAnsi="Verdana"/>
          <w:b/>
          <w:sz w:val="18"/>
          <w:szCs w:val="18"/>
        </w:rPr>
      </w:pPr>
      <w:r w:rsidRPr="004D3DC6">
        <w:rPr>
          <w:rFonts w:ascii="Verdana" w:hAnsi="Verdana"/>
          <w:b/>
          <w:i/>
          <w:iCs/>
          <w:sz w:val="18"/>
          <w:szCs w:val="18"/>
        </w:rPr>
        <w:br w:type="page"/>
      </w:r>
    </w:p>
    <w:p w:rsidR="002063E2" w:rsidRPr="004D3DC6" w:rsidRDefault="002063E2" w:rsidP="006C5791">
      <w:pPr>
        <w:pStyle w:val="Bijschrift"/>
        <w:keepNext/>
        <w:spacing w:after="0" w:line="276" w:lineRule="auto"/>
        <w:rPr>
          <w:rFonts w:ascii="Verdana" w:hAnsi="Verdana"/>
          <w:b/>
          <w:i w:val="0"/>
          <w:iCs w:val="0"/>
          <w:color w:val="auto"/>
        </w:rPr>
      </w:pPr>
      <w:r w:rsidRPr="004D3DC6">
        <w:rPr>
          <w:rFonts w:ascii="Verdana" w:hAnsi="Verdana"/>
          <w:b/>
          <w:i w:val="0"/>
          <w:iCs w:val="0"/>
          <w:color w:val="auto"/>
        </w:rPr>
        <w:lastRenderedPageBreak/>
        <w:t>Step 3: multiply and sum up</w:t>
      </w:r>
    </w:p>
    <w:p w:rsidR="008F09BD" w:rsidRPr="004D3DC6" w:rsidRDefault="008F09BD" w:rsidP="006C5791">
      <w:pPr>
        <w:spacing w:after="0" w:line="276" w:lineRule="auto"/>
        <w:jc w:val="both"/>
        <w:rPr>
          <w:rFonts w:ascii="Verdana" w:hAnsi="Verdana"/>
          <w:sz w:val="18"/>
          <w:szCs w:val="18"/>
        </w:rPr>
      </w:pPr>
      <w:r w:rsidRPr="004D3DC6">
        <w:rPr>
          <w:rFonts w:ascii="Verdana" w:hAnsi="Verdana"/>
          <w:sz w:val="18"/>
          <w:szCs w:val="18"/>
        </w:rPr>
        <w:t>The next steps include the assignment of criteria weights. These weights, that show the relative importance of criteria in the multi-criteria problem under consideration, can be determined by techniques such as literature review of comparable studies in the past, interviewing experts in the field, the Analytical Hierarchy Process</w:t>
      </w:r>
      <w:r w:rsidRPr="004D3DC6">
        <w:rPr>
          <w:rStyle w:val="Voetnootmarkering"/>
          <w:rFonts w:ascii="Verdana" w:hAnsi="Verdana"/>
          <w:sz w:val="18"/>
          <w:szCs w:val="18"/>
        </w:rPr>
        <w:footnoteReference w:id="1"/>
      </w:r>
      <w:r w:rsidR="005B3201" w:rsidRPr="004D3DC6">
        <w:rPr>
          <w:rFonts w:ascii="Verdana" w:hAnsi="Verdana"/>
          <w:sz w:val="18"/>
          <w:szCs w:val="18"/>
        </w:rPr>
        <w:t>, etc</w:t>
      </w:r>
      <w:r w:rsidRPr="004D3DC6">
        <w:rPr>
          <w:rFonts w:ascii="Verdana" w:hAnsi="Verdana"/>
          <w:sz w:val="18"/>
          <w:szCs w:val="18"/>
        </w:rPr>
        <w:t>.</w:t>
      </w:r>
    </w:p>
    <w:p w:rsidR="002063E2" w:rsidRPr="004D3DC6" w:rsidRDefault="002063E2" w:rsidP="006C5791">
      <w:pPr>
        <w:pStyle w:val="Bijschrift"/>
        <w:keepNext/>
        <w:spacing w:after="0" w:line="276" w:lineRule="auto"/>
        <w:jc w:val="center"/>
        <w:rPr>
          <w:rFonts w:ascii="Verdana" w:hAnsi="Verdana"/>
          <w:b/>
          <w:i w:val="0"/>
          <w:color w:val="auto"/>
          <w:sz w:val="16"/>
          <w:lang w:val="nl-BE"/>
        </w:rPr>
      </w:pPr>
      <w:r w:rsidRPr="004D3DC6">
        <w:rPr>
          <w:rFonts w:ascii="Verdana" w:hAnsi="Verdana"/>
          <w:b/>
          <w:i w:val="0"/>
          <w:color w:val="auto"/>
          <w:sz w:val="16"/>
          <w:lang w:val="nl-BE"/>
        </w:rPr>
        <w:t xml:space="preserve">Table </w:t>
      </w:r>
      <w:r w:rsidR="00385B66" w:rsidRPr="004D3DC6">
        <w:rPr>
          <w:rFonts w:ascii="Verdana" w:hAnsi="Verdana"/>
          <w:b/>
          <w:i w:val="0"/>
          <w:color w:val="auto"/>
          <w:sz w:val="16"/>
        </w:rPr>
        <w:t>3</w:t>
      </w:r>
      <w:r w:rsidRPr="004D3DC6">
        <w:rPr>
          <w:rFonts w:ascii="Verdana" w:hAnsi="Verdana"/>
          <w:b/>
          <w:i w:val="0"/>
          <w:color w:val="auto"/>
          <w:sz w:val="16"/>
          <w:lang w:val="nl-BE"/>
        </w:rPr>
        <w:t>: Weights for MCA</w:t>
      </w:r>
    </w:p>
    <w:tbl>
      <w:tblPr>
        <w:tblW w:w="4560" w:type="dxa"/>
        <w:jc w:val="center"/>
        <w:tblLook w:val="04A0" w:firstRow="1" w:lastRow="0" w:firstColumn="1" w:lastColumn="0" w:noHBand="0" w:noVBand="1"/>
      </w:tblPr>
      <w:tblGrid>
        <w:gridCol w:w="3780"/>
        <w:gridCol w:w="780"/>
      </w:tblGrid>
      <w:tr w:rsidR="004F1146" w:rsidRPr="004D3DC6" w:rsidTr="004F1146">
        <w:trPr>
          <w:trHeight w:val="300"/>
          <w:jc w:val="center"/>
        </w:trPr>
        <w:tc>
          <w:tcPr>
            <w:tcW w:w="3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15"/>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20%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 </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 </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bl>
    <w:p w:rsidR="00332567" w:rsidRPr="004D3DC6" w:rsidRDefault="00332567" w:rsidP="006C5791">
      <w:pPr>
        <w:pStyle w:val="Bijschrift"/>
        <w:keepNext/>
        <w:spacing w:after="0" w:line="276" w:lineRule="auto"/>
        <w:rPr>
          <w:rFonts w:ascii="Verdana" w:hAnsi="Verdana"/>
          <w:b/>
          <w:i w:val="0"/>
          <w:iCs w:val="0"/>
          <w:color w:val="auto"/>
        </w:rPr>
      </w:pPr>
    </w:p>
    <w:tbl>
      <w:tblPr>
        <w:tblW w:w="6511" w:type="dxa"/>
        <w:jc w:val="center"/>
        <w:tblLook w:val="04A0" w:firstRow="1" w:lastRow="0" w:firstColumn="1" w:lastColumn="0" w:noHBand="0" w:noVBand="1"/>
      </w:tblPr>
      <w:tblGrid>
        <w:gridCol w:w="3118"/>
        <w:gridCol w:w="1125"/>
        <w:gridCol w:w="1134"/>
        <w:gridCol w:w="1134"/>
      </w:tblGrid>
      <w:tr w:rsidR="004F1146" w:rsidRPr="004D3DC6" w:rsidTr="00D84DC9">
        <w:trPr>
          <w:trHeight w:val="315"/>
          <w:jc w:val="center"/>
        </w:trPr>
        <w:tc>
          <w:tcPr>
            <w:tcW w:w="3118"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2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188"/>
          <w:jc w:val="center"/>
        </w:trPr>
        <w:tc>
          <w:tcPr>
            <w:tcW w:w="6511"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15"/>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229"/>
          <w:jc w:val="center"/>
        </w:trPr>
        <w:tc>
          <w:tcPr>
            <w:tcW w:w="6511"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15"/>
          <w:jc w:val="center"/>
        </w:trPr>
        <w:tc>
          <w:tcPr>
            <w:tcW w:w="3118" w:type="dxa"/>
            <w:tcBorders>
              <w:top w:val="nil"/>
              <w:left w:val="single" w:sz="8" w:space="0" w:color="auto"/>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8"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34" w:type="dxa"/>
            <w:tcBorders>
              <w:top w:val="nil"/>
              <w:left w:val="nil"/>
              <w:bottom w:val="single" w:sz="8"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bl>
    <w:p w:rsidR="006C5791" w:rsidRDefault="006C5791" w:rsidP="006C5791">
      <w:pPr>
        <w:pStyle w:val="Bijschrift"/>
        <w:keepNext/>
        <w:spacing w:after="0" w:line="276" w:lineRule="auto"/>
        <w:rPr>
          <w:rFonts w:ascii="Verdana" w:hAnsi="Verdana"/>
          <w:b/>
          <w:i w:val="0"/>
          <w:iCs w:val="0"/>
          <w:color w:val="auto"/>
        </w:rPr>
      </w:pPr>
    </w:p>
    <w:p w:rsidR="002063E2" w:rsidRPr="004D3DC6" w:rsidRDefault="002063E2" w:rsidP="006C5791">
      <w:pPr>
        <w:pStyle w:val="Bijschrift"/>
        <w:keepNext/>
        <w:spacing w:after="0" w:line="276" w:lineRule="auto"/>
        <w:rPr>
          <w:rFonts w:ascii="Verdana" w:hAnsi="Verdana"/>
          <w:b/>
          <w:i w:val="0"/>
          <w:iCs w:val="0"/>
          <w:color w:val="auto"/>
        </w:rPr>
      </w:pPr>
      <w:r w:rsidRPr="004D3DC6">
        <w:rPr>
          <w:rFonts w:ascii="Verdana" w:hAnsi="Verdana"/>
          <w:b/>
          <w:i w:val="0"/>
          <w:iCs w:val="0"/>
          <w:color w:val="auto"/>
        </w:rPr>
        <w:t>Step 4: determine preference rule</w:t>
      </w:r>
    </w:p>
    <w:p w:rsidR="002063E2" w:rsidRPr="004D3DC6" w:rsidRDefault="002063E2" w:rsidP="006C5791">
      <w:pPr>
        <w:spacing w:after="0" w:line="276" w:lineRule="auto"/>
        <w:ind w:left="720"/>
        <w:rPr>
          <w:rFonts w:ascii="Verdana" w:hAnsi="Verdana"/>
          <w:b/>
          <w:sz w:val="18"/>
          <w:szCs w:val="18"/>
        </w:rPr>
      </w:pPr>
    </w:p>
    <w:tbl>
      <w:tblPr>
        <w:tblW w:w="6511" w:type="dxa"/>
        <w:jc w:val="center"/>
        <w:tblLook w:val="04A0" w:firstRow="1" w:lastRow="0" w:firstColumn="1" w:lastColumn="0" w:noHBand="0" w:noVBand="1"/>
      </w:tblPr>
      <w:tblGrid>
        <w:gridCol w:w="3118"/>
        <w:gridCol w:w="1134"/>
        <w:gridCol w:w="1134"/>
        <w:gridCol w:w="1125"/>
      </w:tblGrid>
      <w:tr w:rsidR="004F1146" w:rsidRPr="004D3DC6" w:rsidTr="00D84DC9">
        <w:trPr>
          <w:trHeight w:val="315"/>
          <w:jc w:val="center"/>
        </w:trPr>
        <w:tc>
          <w:tcPr>
            <w:tcW w:w="3118"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3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125"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315"/>
          <w:jc w:val="center"/>
        </w:trPr>
        <w:tc>
          <w:tcPr>
            <w:tcW w:w="6511"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15"/>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15"/>
          <w:jc w:val="center"/>
        </w:trPr>
        <w:tc>
          <w:tcPr>
            <w:tcW w:w="6511"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6C5791">
            <w:pPr>
              <w:spacing w:after="0" w:line="276" w:lineRule="auto"/>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4"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15"/>
          <w:jc w:val="center"/>
        </w:trPr>
        <w:tc>
          <w:tcPr>
            <w:tcW w:w="3118" w:type="dxa"/>
            <w:tcBorders>
              <w:top w:val="nil"/>
              <w:left w:val="single" w:sz="8" w:space="0" w:color="auto"/>
              <w:bottom w:val="single" w:sz="18"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0"/>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18" w:space="0" w:color="auto"/>
              <w:right w:val="single" w:sz="4" w:space="0" w:color="auto"/>
            </w:tcBorders>
            <w:shd w:val="clear" w:color="auto" w:fill="auto"/>
            <w:vAlign w:val="center"/>
            <w:hideMark/>
          </w:tcPr>
          <w:p w:rsidR="004F1146" w:rsidRPr="004D3DC6" w:rsidRDefault="004F1146" w:rsidP="006C5791">
            <w:pPr>
              <w:spacing w:after="0" w:line="276" w:lineRule="auto"/>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18" w:space="0" w:color="auto"/>
              <w:right w:val="single" w:sz="4"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c>
          <w:tcPr>
            <w:tcW w:w="1125" w:type="dxa"/>
            <w:tcBorders>
              <w:top w:val="nil"/>
              <w:left w:val="nil"/>
              <w:bottom w:val="single" w:sz="18" w:space="0" w:color="auto"/>
              <w:right w:val="single" w:sz="8" w:space="0" w:color="auto"/>
            </w:tcBorders>
            <w:shd w:val="clear" w:color="auto" w:fill="auto"/>
            <w:vAlign w:val="center"/>
          </w:tcPr>
          <w:p w:rsidR="004F1146" w:rsidRPr="004D3DC6" w:rsidRDefault="004F1146" w:rsidP="006C5791">
            <w:pPr>
              <w:spacing w:after="0" w:line="276" w:lineRule="auto"/>
              <w:jc w:val="center"/>
              <w:rPr>
                <w:rFonts w:ascii="Verdana" w:eastAsia="Times New Roman" w:hAnsi="Verdana" w:cs="Times New Roman"/>
                <w:color w:val="000000"/>
                <w:sz w:val="18"/>
                <w:szCs w:val="18"/>
              </w:rPr>
            </w:pPr>
          </w:p>
        </w:tc>
      </w:tr>
      <w:tr w:rsidR="004F1146" w:rsidRPr="004D3DC6" w:rsidTr="00CE7255">
        <w:trPr>
          <w:trHeight w:val="315"/>
          <w:jc w:val="center"/>
        </w:trPr>
        <w:tc>
          <w:tcPr>
            <w:tcW w:w="3118" w:type="dxa"/>
            <w:tcBorders>
              <w:top w:val="single" w:sz="18" w:space="0" w:color="auto"/>
              <w:left w:val="single" w:sz="18" w:space="0" w:color="auto"/>
              <w:bottom w:val="single" w:sz="18" w:space="0" w:color="auto"/>
              <w:right w:val="single" w:sz="4" w:space="0" w:color="auto"/>
            </w:tcBorders>
            <w:shd w:val="clear" w:color="auto" w:fill="auto"/>
            <w:vAlign w:val="center"/>
            <w:hideMark/>
          </w:tcPr>
          <w:p w:rsidR="004F1146" w:rsidRPr="004D3DC6" w:rsidRDefault="004F1146" w:rsidP="006C5791">
            <w:pPr>
              <w:spacing w:after="0" w:line="276" w:lineRule="auto"/>
              <w:ind w:firstLineChars="100" w:firstLine="181"/>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Total</w:t>
            </w:r>
          </w:p>
        </w:tc>
        <w:tc>
          <w:tcPr>
            <w:tcW w:w="1134" w:type="dxa"/>
            <w:tcBorders>
              <w:top w:val="single" w:sz="18" w:space="0" w:color="auto"/>
              <w:left w:val="nil"/>
              <w:bottom w:val="single" w:sz="18" w:space="0" w:color="auto"/>
              <w:right w:val="single" w:sz="4" w:space="0" w:color="auto"/>
            </w:tcBorders>
            <w:shd w:val="clear" w:color="auto" w:fill="auto"/>
            <w:noWrap/>
            <w:vAlign w:val="center"/>
            <w:hideMark/>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0.00</w:t>
            </w:r>
          </w:p>
        </w:tc>
        <w:tc>
          <w:tcPr>
            <w:tcW w:w="1134" w:type="dxa"/>
            <w:tcBorders>
              <w:top w:val="single" w:sz="18" w:space="0" w:color="auto"/>
              <w:left w:val="nil"/>
              <w:bottom w:val="single" w:sz="18" w:space="0" w:color="auto"/>
              <w:right w:val="single" w:sz="4" w:space="0" w:color="auto"/>
            </w:tcBorders>
            <w:shd w:val="clear" w:color="auto" w:fill="auto"/>
            <w:noWrap/>
            <w:vAlign w:val="center"/>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p>
        </w:tc>
        <w:tc>
          <w:tcPr>
            <w:tcW w:w="1125" w:type="dxa"/>
            <w:tcBorders>
              <w:top w:val="single" w:sz="18" w:space="0" w:color="auto"/>
              <w:left w:val="nil"/>
              <w:bottom w:val="single" w:sz="18" w:space="0" w:color="auto"/>
              <w:right w:val="single" w:sz="18" w:space="0" w:color="auto"/>
            </w:tcBorders>
            <w:shd w:val="clear" w:color="auto" w:fill="auto"/>
            <w:noWrap/>
            <w:vAlign w:val="center"/>
          </w:tcPr>
          <w:p w:rsidR="004F1146" w:rsidRPr="004D3DC6" w:rsidRDefault="004F1146" w:rsidP="006C5791">
            <w:pPr>
              <w:spacing w:after="0" w:line="276" w:lineRule="auto"/>
              <w:jc w:val="center"/>
              <w:rPr>
                <w:rFonts w:ascii="Verdana" w:eastAsia="Times New Roman" w:hAnsi="Verdana" w:cs="Times New Roman"/>
                <w:b/>
                <w:bCs/>
                <w:color w:val="000000"/>
                <w:sz w:val="18"/>
                <w:szCs w:val="18"/>
              </w:rPr>
            </w:pPr>
          </w:p>
        </w:tc>
      </w:tr>
    </w:tbl>
    <w:p w:rsidR="002063E2" w:rsidRPr="004D3DC6" w:rsidRDefault="002063E2" w:rsidP="006C5791">
      <w:pPr>
        <w:spacing w:after="0" w:line="276" w:lineRule="auto"/>
        <w:rPr>
          <w:rFonts w:ascii="Verdana" w:hAnsi="Verdana"/>
          <w:b/>
          <w:sz w:val="18"/>
          <w:szCs w:val="18"/>
        </w:rPr>
      </w:pPr>
    </w:p>
    <w:p w:rsidR="007568D5" w:rsidRPr="004D3DC6" w:rsidRDefault="007568D5" w:rsidP="006C5791">
      <w:pPr>
        <w:pStyle w:val="Geenafstand"/>
        <w:spacing w:line="276" w:lineRule="auto"/>
        <w:rPr>
          <w:rFonts w:ascii="Verdana" w:hAnsi="Verdana"/>
          <w:sz w:val="18"/>
          <w:szCs w:val="18"/>
        </w:rPr>
      </w:pPr>
    </w:p>
    <w:sectPr w:rsidR="007568D5" w:rsidRPr="004D3DC6" w:rsidSect="00E011B7">
      <w:headerReference w:type="default" r:id="rId11"/>
      <w:footerReference w:type="default" r:id="rId12"/>
      <w:headerReference w:type="first" r:id="rId13"/>
      <w:pgSz w:w="12240" w:h="15840"/>
      <w:pgMar w:top="1418" w:right="1418" w:bottom="1418" w:left="1418"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C8C" w:rsidRDefault="00E66C8C" w:rsidP="00385B66">
      <w:pPr>
        <w:spacing w:after="0" w:line="240" w:lineRule="auto"/>
      </w:pPr>
      <w:r>
        <w:separator/>
      </w:r>
    </w:p>
  </w:endnote>
  <w:endnote w:type="continuationSeparator" w:id="0">
    <w:p w:rsidR="00E66C8C" w:rsidRDefault="00E66C8C" w:rsidP="00385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636675"/>
      <w:docPartObj>
        <w:docPartGallery w:val="Page Numbers (Bottom of Page)"/>
        <w:docPartUnique/>
      </w:docPartObj>
    </w:sdtPr>
    <w:sdtEndPr/>
    <w:sdtContent>
      <w:p w:rsidR="005104AE" w:rsidRDefault="005104AE">
        <w:pPr>
          <w:pStyle w:val="Voettekst"/>
          <w:jc w:val="right"/>
        </w:pPr>
        <w:r>
          <w:fldChar w:fldCharType="begin"/>
        </w:r>
        <w:r>
          <w:instrText>PAGE   \* MERGEFORMAT</w:instrText>
        </w:r>
        <w:r>
          <w:fldChar w:fldCharType="separate"/>
        </w:r>
        <w:r w:rsidR="008803F0" w:rsidRPr="008803F0">
          <w:rPr>
            <w:noProof/>
            <w:lang w:val="nl-NL"/>
          </w:rPr>
          <w:t>13</w:t>
        </w:r>
        <w:r>
          <w:fldChar w:fldCharType="end"/>
        </w:r>
      </w:p>
    </w:sdtContent>
  </w:sdt>
  <w:p w:rsidR="005104AE" w:rsidRDefault="005104A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C8C" w:rsidRDefault="00E66C8C" w:rsidP="00385B66">
      <w:pPr>
        <w:spacing w:after="0" w:line="240" w:lineRule="auto"/>
      </w:pPr>
      <w:r>
        <w:separator/>
      </w:r>
    </w:p>
  </w:footnote>
  <w:footnote w:type="continuationSeparator" w:id="0">
    <w:p w:rsidR="00E66C8C" w:rsidRDefault="00E66C8C" w:rsidP="00385B66">
      <w:pPr>
        <w:spacing w:after="0" w:line="240" w:lineRule="auto"/>
      </w:pPr>
      <w:r>
        <w:continuationSeparator/>
      </w:r>
    </w:p>
  </w:footnote>
  <w:footnote w:id="1">
    <w:p w:rsidR="005104AE" w:rsidRPr="008F09BD" w:rsidRDefault="005104AE" w:rsidP="008F09BD">
      <w:pPr>
        <w:pStyle w:val="Voetnoottekst"/>
        <w:jc w:val="both"/>
      </w:pPr>
      <w:r w:rsidRPr="004F1146">
        <w:rPr>
          <w:rStyle w:val="Voetnootmarkering"/>
          <w:sz w:val="18"/>
        </w:rPr>
        <w:footnoteRef/>
      </w:r>
      <w:r w:rsidRPr="004F1146">
        <w:rPr>
          <w:sz w:val="18"/>
        </w:rPr>
        <w:t xml:space="preserve"> The Analytic Hierarchy Process (AHP), introduced by Thomas Saaty (1980), is an effective tool for dealing with complex decision making, and may aid the decision maker to set priorities and make the best decision. By reducing complex decisions to a series of pairwise comparisons, and then synthesizing the results, the AHP helps to capture both subjective and objective aspects of a decision. In addition, the AHP incorporates a useful technique for checking the consistency of the decision maker’s evaluations, thus reducing the bias in the decision making process. (</w:t>
      </w:r>
      <w:hyperlink r:id="rId1" w:history="1">
        <w:r w:rsidRPr="004F1146">
          <w:rPr>
            <w:rStyle w:val="Hyperlink"/>
            <w:sz w:val="18"/>
          </w:rPr>
          <w:t>http://www.dii.unisi.it/~mocenni/Note_AHP.pdf</w:t>
        </w:r>
      </w:hyperlink>
      <w:r w:rsidRPr="004F1146">
        <w:rPr>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91" w:rsidRPr="00B12091" w:rsidRDefault="00B12091" w:rsidP="00B12091">
    <w:pPr>
      <w:pStyle w:val="Geenafstand"/>
      <w:spacing w:line="360" w:lineRule="auto"/>
      <w:rPr>
        <w:rFonts w:ascii="Verdana" w:hAnsi="Verdana"/>
        <w:b/>
        <w:sz w:val="18"/>
        <w:szCs w:val="18"/>
        <w:u w:val="single"/>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A89" w:rsidRPr="00B12091" w:rsidRDefault="00BD1A89" w:rsidP="00BD1A89">
    <w:pPr>
      <w:pStyle w:val="Geenafstand"/>
      <w:spacing w:line="360" w:lineRule="auto"/>
      <w:rPr>
        <w:rFonts w:ascii="Verdana" w:hAnsi="Verdana"/>
        <w:b/>
        <w:sz w:val="18"/>
        <w:szCs w:val="18"/>
        <w:u w:val="single"/>
        <w:lang w:val="en-GB"/>
      </w:rPr>
    </w:pPr>
    <w:r w:rsidRPr="004D3DC6">
      <w:rPr>
        <w:rFonts w:ascii="Verdana" w:hAnsi="Verdana"/>
        <w:b/>
        <w:color w:val="4472C4" w:themeColor="accent5"/>
        <w:szCs w:val="18"/>
        <w:lang w:val="en-GB"/>
      </w:rPr>
      <w:t>Case study – Exercise: Multi-criteria analysis</w:t>
    </w:r>
    <w:r>
      <w:rPr>
        <w:rFonts w:ascii="Verdana" w:hAnsi="Verdana"/>
        <w:b/>
        <w:color w:val="4472C4" w:themeColor="accent5"/>
        <w:szCs w:val="18"/>
        <w:lang w:val="en-GB"/>
      </w:rPr>
      <w:t xml:space="preserve"> – the Late Payment Directive</w:t>
    </w:r>
  </w:p>
  <w:p w:rsidR="00BD1A89" w:rsidRPr="00BD1A89" w:rsidRDefault="00BD1A89">
    <w:pPr>
      <w:pStyle w:val="Kopteks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131C5"/>
    <w:multiLevelType w:val="hybridMultilevel"/>
    <w:tmpl w:val="FDF66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0E7A80"/>
    <w:multiLevelType w:val="hybridMultilevel"/>
    <w:tmpl w:val="CCE4F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336BE"/>
    <w:multiLevelType w:val="hybridMultilevel"/>
    <w:tmpl w:val="E8A8F4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9E6935"/>
    <w:multiLevelType w:val="hybridMultilevel"/>
    <w:tmpl w:val="E63E6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AF38FE"/>
    <w:multiLevelType w:val="hybridMultilevel"/>
    <w:tmpl w:val="68ACE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C438C9"/>
    <w:multiLevelType w:val="hybridMultilevel"/>
    <w:tmpl w:val="D534ABCA"/>
    <w:lvl w:ilvl="0" w:tplc="7B2E1076">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0DB0C70"/>
    <w:multiLevelType w:val="hybridMultilevel"/>
    <w:tmpl w:val="3E9E9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FB5937"/>
    <w:multiLevelType w:val="hybridMultilevel"/>
    <w:tmpl w:val="004004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643CEF"/>
    <w:multiLevelType w:val="hybridMultilevel"/>
    <w:tmpl w:val="E8A8F4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EC1F24"/>
    <w:multiLevelType w:val="hybridMultilevel"/>
    <w:tmpl w:val="E4AC3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7C2BDC"/>
    <w:multiLevelType w:val="hybridMultilevel"/>
    <w:tmpl w:val="253A8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10"/>
  </w:num>
  <w:num w:numId="5">
    <w:abstractNumId w:val="9"/>
  </w:num>
  <w:num w:numId="6">
    <w:abstractNumId w:val="6"/>
  </w:num>
  <w:num w:numId="7">
    <w:abstractNumId w:val="2"/>
  </w:num>
  <w:num w:numId="8">
    <w:abstractNumId w:val="8"/>
  </w:num>
  <w:num w:numId="9">
    <w:abstractNumId w:val="4"/>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3E2"/>
    <w:rsid w:val="000E0237"/>
    <w:rsid w:val="001E2C24"/>
    <w:rsid w:val="001F3C28"/>
    <w:rsid w:val="001F4AE4"/>
    <w:rsid w:val="00200864"/>
    <w:rsid w:val="002063E2"/>
    <w:rsid w:val="0023731A"/>
    <w:rsid w:val="00256407"/>
    <w:rsid w:val="00292D45"/>
    <w:rsid w:val="002A59B1"/>
    <w:rsid w:val="002C3477"/>
    <w:rsid w:val="002C7BA4"/>
    <w:rsid w:val="002E52EC"/>
    <w:rsid w:val="002F1F3D"/>
    <w:rsid w:val="00320EF1"/>
    <w:rsid w:val="00321EB1"/>
    <w:rsid w:val="00332567"/>
    <w:rsid w:val="00350830"/>
    <w:rsid w:val="00365038"/>
    <w:rsid w:val="00385B66"/>
    <w:rsid w:val="003B0D40"/>
    <w:rsid w:val="003F2283"/>
    <w:rsid w:val="004115C6"/>
    <w:rsid w:val="00412807"/>
    <w:rsid w:val="00442FE4"/>
    <w:rsid w:val="004468BD"/>
    <w:rsid w:val="004D3DC6"/>
    <w:rsid w:val="004F1146"/>
    <w:rsid w:val="005104AE"/>
    <w:rsid w:val="005272D8"/>
    <w:rsid w:val="00564672"/>
    <w:rsid w:val="005A7802"/>
    <w:rsid w:val="005B3201"/>
    <w:rsid w:val="00625542"/>
    <w:rsid w:val="006342A6"/>
    <w:rsid w:val="0068154D"/>
    <w:rsid w:val="006C3AAB"/>
    <w:rsid w:val="006C4B63"/>
    <w:rsid w:val="006C5791"/>
    <w:rsid w:val="006D6EED"/>
    <w:rsid w:val="007568D5"/>
    <w:rsid w:val="00836A1E"/>
    <w:rsid w:val="008803F0"/>
    <w:rsid w:val="008C75B8"/>
    <w:rsid w:val="008D7E22"/>
    <w:rsid w:val="008F09BD"/>
    <w:rsid w:val="009421A8"/>
    <w:rsid w:val="00955B7B"/>
    <w:rsid w:val="00981A96"/>
    <w:rsid w:val="009A5314"/>
    <w:rsid w:val="009A5FAE"/>
    <w:rsid w:val="009B34D7"/>
    <w:rsid w:val="009D2EC4"/>
    <w:rsid w:val="009E1B86"/>
    <w:rsid w:val="009E3313"/>
    <w:rsid w:val="00A24B98"/>
    <w:rsid w:val="00A36BEF"/>
    <w:rsid w:val="00A94F54"/>
    <w:rsid w:val="00AA3BE3"/>
    <w:rsid w:val="00AD0772"/>
    <w:rsid w:val="00AF3AD2"/>
    <w:rsid w:val="00B12091"/>
    <w:rsid w:val="00BA5F13"/>
    <w:rsid w:val="00BD1A89"/>
    <w:rsid w:val="00C6367A"/>
    <w:rsid w:val="00C948EB"/>
    <w:rsid w:val="00CE7255"/>
    <w:rsid w:val="00D24B3E"/>
    <w:rsid w:val="00D279BB"/>
    <w:rsid w:val="00D362F3"/>
    <w:rsid w:val="00D41FBE"/>
    <w:rsid w:val="00D616F9"/>
    <w:rsid w:val="00D81A27"/>
    <w:rsid w:val="00D84DC9"/>
    <w:rsid w:val="00DF1A27"/>
    <w:rsid w:val="00E011B7"/>
    <w:rsid w:val="00E2468F"/>
    <w:rsid w:val="00E37E8E"/>
    <w:rsid w:val="00E66C8C"/>
    <w:rsid w:val="00F53B84"/>
    <w:rsid w:val="00F63773"/>
    <w:rsid w:val="00F64156"/>
    <w:rsid w:val="00F65CD0"/>
    <w:rsid w:val="00FA49CE"/>
    <w:rsid w:val="00FC7363"/>
    <w:rsid w:val="00FE4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224E94-D9E1-42A8-9521-8DCD8CD1B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63E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06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63E2"/>
    <w:pPr>
      <w:ind w:left="720"/>
      <w:contextualSpacing/>
    </w:pPr>
  </w:style>
  <w:style w:type="paragraph" w:styleId="Bijschrift">
    <w:name w:val="caption"/>
    <w:basedOn w:val="Standaard"/>
    <w:next w:val="Standaard"/>
    <w:uiPriority w:val="35"/>
    <w:unhideWhenUsed/>
    <w:qFormat/>
    <w:rsid w:val="002063E2"/>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385B66"/>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385B66"/>
  </w:style>
  <w:style w:type="paragraph" w:styleId="Voettekst">
    <w:name w:val="footer"/>
    <w:basedOn w:val="Standaard"/>
    <w:link w:val="VoettekstChar"/>
    <w:uiPriority w:val="99"/>
    <w:unhideWhenUsed/>
    <w:rsid w:val="00385B66"/>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385B66"/>
  </w:style>
  <w:style w:type="paragraph" w:styleId="Ballontekst">
    <w:name w:val="Balloon Text"/>
    <w:basedOn w:val="Standaard"/>
    <w:link w:val="BallontekstChar"/>
    <w:uiPriority w:val="99"/>
    <w:semiHidden/>
    <w:unhideWhenUsed/>
    <w:rsid w:val="00981A9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81A96"/>
    <w:rPr>
      <w:rFonts w:ascii="Segoe UI" w:hAnsi="Segoe UI" w:cs="Segoe UI"/>
      <w:sz w:val="18"/>
      <w:szCs w:val="18"/>
    </w:rPr>
  </w:style>
  <w:style w:type="paragraph" w:styleId="Voetnoottekst">
    <w:name w:val="footnote text"/>
    <w:basedOn w:val="Standaard"/>
    <w:link w:val="VoetnoottekstChar"/>
    <w:uiPriority w:val="99"/>
    <w:semiHidden/>
    <w:unhideWhenUsed/>
    <w:rsid w:val="008F09B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F09BD"/>
    <w:rPr>
      <w:sz w:val="20"/>
      <w:szCs w:val="20"/>
    </w:rPr>
  </w:style>
  <w:style w:type="character" w:styleId="Voetnootmarkering">
    <w:name w:val="footnote reference"/>
    <w:basedOn w:val="Standaardalinea-lettertype"/>
    <w:uiPriority w:val="99"/>
    <w:semiHidden/>
    <w:unhideWhenUsed/>
    <w:rsid w:val="008F09BD"/>
    <w:rPr>
      <w:vertAlign w:val="superscript"/>
    </w:rPr>
  </w:style>
  <w:style w:type="character" w:styleId="Hyperlink">
    <w:name w:val="Hyperlink"/>
    <w:basedOn w:val="Standaardalinea-lettertype"/>
    <w:uiPriority w:val="99"/>
    <w:unhideWhenUsed/>
    <w:rsid w:val="008F09BD"/>
    <w:rPr>
      <w:color w:val="0563C1" w:themeColor="hyperlink"/>
      <w:u w:val="single"/>
    </w:rPr>
  </w:style>
  <w:style w:type="paragraph" w:styleId="Normaalweb">
    <w:name w:val="Normal (Web)"/>
    <w:basedOn w:val="Standaard"/>
    <w:uiPriority w:val="99"/>
    <w:semiHidden/>
    <w:unhideWhenUsed/>
    <w:rsid w:val="00C6367A"/>
    <w:pPr>
      <w:spacing w:before="100" w:beforeAutospacing="1" w:after="100" w:afterAutospacing="1" w:line="240" w:lineRule="auto"/>
    </w:pPr>
    <w:rPr>
      <w:rFonts w:ascii="Times New Roman" w:eastAsia="Times New Roman" w:hAnsi="Times New Roman" w:cs="Times New Roman"/>
      <w:sz w:val="24"/>
      <w:szCs w:val="24"/>
    </w:rPr>
  </w:style>
  <w:style w:type="paragraph" w:styleId="Geenafstand">
    <w:name w:val="No Spacing"/>
    <w:uiPriority w:val="1"/>
    <w:qFormat/>
    <w:rsid w:val="004D3DC6"/>
    <w:pPr>
      <w:spacing w:after="0" w:line="240" w:lineRule="auto"/>
    </w:pPr>
    <w:rPr>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29418">
      <w:bodyDiv w:val="1"/>
      <w:marLeft w:val="0"/>
      <w:marRight w:val="0"/>
      <w:marTop w:val="0"/>
      <w:marBottom w:val="0"/>
      <w:divBdr>
        <w:top w:val="none" w:sz="0" w:space="0" w:color="auto"/>
        <w:left w:val="none" w:sz="0" w:space="0" w:color="auto"/>
        <w:bottom w:val="none" w:sz="0" w:space="0" w:color="auto"/>
        <w:right w:val="none" w:sz="0" w:space="0" w:color="auto"/>
      </w:divBdr>
    </w:div>
    <w:div w:id="954868976">
      <w:bodyDiv w:val="1"/>
      <w:marLeft w:val="0"/>
      <w:marRight w:val="0"/>
      <w:marTop w:val="0"/>
      <w:marBottom w:val="0"/>
      <w:divBdr>
        <w:top w:val="none" w:sz="0" w:space="0" w:color="auto"/>
        <w:left w:val="none" w:sz="0" w:space="0" w:color="auto"/>
        <w:bottom w:val="none" w:sz="0" w:space="0" w:color="auto"/>
        <w:right w:val="none" w:sz="0" w:space="0" w:color="auto"/>
      </w:divBdr>
    </w:div>
    <w:div w:id="1005132818">
      <w:bodyDiv w:val="1"/>
      <w:marLeft w:val="0"/>
      <w:marRight w:val="0"/>
      <w:marTop w:val="0"/>
      <w:marBottom w:val="0"/>
      <w:divBdr>
        <w:top w:val="none" w:sz="0" w:space="0" w:color="auto"/>
        <w:left w:val="none" w:sz="0" w:space="0" w:color="auto"/>
        <w:bottom w:val="none" w:sz="0" w:space="0" w:color="auto"/>
        <w:right w:val="none" w:sz="0" w:space="0" w:color="auto"/>
      </w:divBdr>
    </w:div>
    <w:div w:id="1131631893">
      <w:bodyDiv w:val="1"/>
      <w:marLeft w:val="0"/>
      <w:marRight w:val="0"/>
      <w:marTop w:val="0"/>
      <w:marBottom w:val="0"/>
      <w:divBdr>
        <w:top w:val="none" w:sz="0" w:space="0" w:color="auto"/>
        <w:left w:val="none" w:sz="0" w:space="0" w:color="auto"/>
        <w:bottom w:val="none" w:sz="0" w:space="0" w:color="auto"/>
        <w:right w:val="none" w:sz="0" w:space="0" w:color="auto"/>
      </w:divBdr>
    </w:div>
    <w:div w:id="1219631207">
      <w:bodyDiv w:val="1"/>
      <w:marLeft w:val="0"/>
      <w:marRight w:val="0"/>
      <w:marTop w:val="0"/>
      <w:marBottom w:val="0"/>
      <w:divBdr>
        <w:top w:val="none" w:sz="0" w:space="0" w:color="auto"/>
        <w:left w:val="none" w:sz="0" w:space="0" w:color="auto"/>
        <w:bottom w:val="none" w:sz="0" w:space="0" w:color="auto"/>
        <w:right w:val="none" w:sz="0" w:space="0" w:color="auto"/>
      </w:divBdr>
    </w:div>
    <w:div w:id="1344474113">
      <w:bodyDiv w:val="1"/>
      <w:marLeft w:val="0"/>
      <w:marRight w:val="0"/>
      <w:marTop w:val="0"/>
      <w:marBottom w:val="0"/>
      <w:divBdr>
        <w:top w:val="none" w:sz="0" w:space="0" w:color="auto"/>
        <w:left w:val="none" w:sz="0" w:space="0" w:color="auto"/>
        <w:bottom w:val="none" w:sz="0" w:space="0" w:color="auto"/>
        <w:right w:val="none" w:sz="0" w:space="0" w:color="auto"/>
      </w:divBdr>
    </w:div>
    <w:div w:id="1480221922">
      <w:bodyDiv w:val="1"/>
      <w:marLeft w:val="0"/>
      <w:marRight w:val="0"/>
      <w:marTop w:val="0"/>
      <w:marBottom w:val="0"/>
      <w:divBdr>
        <w:top w:val="none" w:sz="0" w:space="0" w:color="auto"/>
        <w:left w:val="none" w:sz="0" w:space="0" w:color="auto"/>
        <w:bottom w:val="none" w:sz="0" w:space="0" w:color="auto"/>
        <w:right w:val="none" w:sz="0" w:space="0" w:color="auto"/>
      </w:divBdr>
    </w:div>
    <w:div w:id="1769695531">
      <w:bodyDiv w:val="1"/>
      <w:marLeft w:val="0"/>
      <w:marRight w:val="0"/>
      <w:marTop w:val="0"/>
      <w:marBottom w:val="0"/>
      <w:divBdr>
        <w:top w:val="none" w:sz="0" w:space="0" w:color="auto"/>
        <w:left w:val="none" w:sz="0" w:space="0" w:color="auto"/>
        <w:bottom w:val="none" w:sz="0" w:space="0" w:color="auto"/>
        <w:right w:val="none" w:sz="0" w:space="0" w:color="auto"/>
      </w:divBdr>
    </w:div>
    <w:div w:id="1975718017">
      <w:bodyDiv w:val="1"/>
      <w:marLeft w:val="0"/>
      <w:marRight w:val="0"/>
      <w:marTop w:val="0"/>
      <w:marBottom w:val="0"/>
      <w:divBdr>
        <w:top w:val="none" w:sz="0" w:space="0" w:color="auto"/>
        <w:left w:val="none" w:sz="0" w:space="0" w:color="auto"/>
        <w:bottom w:val="none" w:sz="0" w:space="0" w:color="auto"/>
        <w:right w:val="none" w:sz="0" w:space="0" w:color="auto"/>
      </w:divBdr>
    </w:div>
    <w:div w:id="208648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ii.unisi.it/~mocenni/Note_AHP.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614FF-6129-4CF0-AD17-73EF16FF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1307</Words>
  <Characters>7451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ROOSEN Jorg</dc:creator>
  <cp:keywords/>
  <dc:description/>
  <cp:lastModifiedBy>ROOSEN Jorg</cp:lastModifiedBy>
  <cp:revision>6</cp:revision>
  <cp:lastPrinted>2019-02-13T12:30:00Z</cp:lastPrinted>
  <dcterms:created xsi:type="dcterms:W3CDTF">2019-02-18T12:03:00Z</dcterms:created>
  <dcterms:modified xsi:type="dcterms:W3CDTF">2019-02-19T15:04:00Z</dcterms:modified>
</cp:coreProperties>
</file>