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06180" w14:textId="77777777" w:rsidR="000579E8" w:rsidRDefault="00AA36E9" w:rsidP="000579E8">
      <w:pPr>
        <w:spacing w:after="0" w:line="276" w:lineRule="auto"/>
        <w:jc w:val="center"/>
        <w:rPr>
          <w:b/>
          <w:bCs/>
          <w:color w:val="auto"/>
          <w:szCs w:val="24"/>
          <w:u w:val="none"/>
        </w:rPr>
      </w:pPr>
      <w:r>
        <w:rPr>
          <w:b/>
          <w:bCs/>
          <w:color w:val="auto"/>
          <w:szCs w:val="24"/>
          <w:u w:val="none"/>
        </w:rPr>
        <w:t>Z</w:t>
      </w:r>
      <w:r w:rsidR="00EF0A1F" w:rsidRPr="00E64051">
        <w:rPr>
          <w:b/>
          <w:bCs/>
          <w:color w:val="auto"/>
          <w:szCs w:val="24"/>
          <w:u w:val="none"/>
        </w:rPr>
        <w:t>estawienie nieuwzględnionych uwag</w:t>
      </w:r>
      <w:r w:rsidR="00C13468" w:rsidRPr="00E64051">
        <w:rPr>
          <w:b/>
          <w:bCs/>
          <w:color w:val="auto"/>
          <w:szCs w:val="24"/>
          <w:u w:val="none"/>
        </w:rPr>
        <w:t xml:space="preserve"> </w:t>
      </w:r>
      <w:r w:rsidR="00EF0A1F" w:rsidRPr="00E64051">
        <w:rPr>
          <w:b/>
          <w:bCs/>
          <w:color w:val="auto"/>
          <w:szCs w:val="24"/>
          <w:u w:val="none"/>
        </w:rPr>
        <w:t>zgłoszonych w ram</w:t>
      </w:r>
      <w:r w:rsidR="006C3293" w:rsidRPr="00E64051">
        <w:rPr>
          <w:b/>
          <w:bCs/>
          <w:color w:val="auto"/>
          <w:szCs w:val="24"/>
          <w:u w:val="none"/>
        </w:rPr>
        <w:t>a</w:t>
      </w:r>
      <w:r w:rsidR="00EF0A1F" w:rsidRPr="00E64051">
        <w:rPr>
          <w:b/>
          <w:bCs/>
          <w:color w:val="auto"/>
          <w:szCs w:val="24"/>
          <w:u w:val="none"/>
        </w:rPr>
        <w:t>ch konsultacji publicznych oraz opiniowania</w:t>
      </w:r>
      <w:r w:rsidR="00C13468" w:rsidRPr="00E64051">
        <w:rPr>
          <w:b/>
          <w:bCs/>
          <w:color w:val="auto"/>
          <w:szCs w:val="24"/>
          <w:u w:val="none"/>
        </w:rPr>
        <w:t xml:space="preserve"> </w:t>
      </w:r>
    </w:p>
    <w:p w14:paraId="25C5563F" w14:textId="78827555" w:rsidR="00EF0A1F" w:rsidRPr="00E64051" w:rsidRDefault="00CD3144" w:rsidP="00E64051">
      <w:pPr>
        <w:spacing w:after="0" w:line="276" w:lineRule="auto"/>
        <w:rPr>
          <w:color w:val="auto"/>
          <w:sz w:val="20"/>
          <w:szCs w:val="20"/>
        </w:rPr>
      </w:pPr>
      <w:r>
        <w:rPr>
          <w:b/>
          <w:bCs/>
          <w:i/>
          <w:iCs/>
          <w:szCs w:val="24"/>
          <w:u w:val="none"/>
        </w:rPr>
        <w:t>p</w:t>
      </w:r>
      <w:r w:rsidRPr="00CD3144">
        <w:rPr>
          <w:b/>
          <w:bCs/>
          <w:i/>
          <w:iCs/>
          <w:szCs w:val="24"/>
          <w:u w:val="none"/>
        </w:rPr>
        <w:t>rojekt</w:t>
      </w:r>
      <w:r>
        <w:rPr>
          <w:b/>
          <w:bCs/>
          <w:i/>
          <w:iCs/>
          <w:szCs w:val="24"/>
          <w:u w:val="none"/>
        </w:rPr>
        <w:t>u</w:t>
      </w:r>
      <w:r w:rsidRPr="00CD3144">
        <w:rPr>
          <w:b/>
          <w:bCs/>
          <w:i/>
          <w:iCs/>
          <w:szCs w:val="24"/>
          <w:u w:val="none"/>
        </w:rPr>
        <w:t xml:space="preserve"> rozporządzenia w sprawie trybu zakładania i udostępniania konta w systemie teleinformatycznym obsługującym postępowanie egzekucyjne i zabezpieczające (nr w Wykazie A 429).</w:t>
      </w:r>
    </w:p>
    <w:p w14:paraId="1E8A794B" w14:textId="77777777" w:rsidR="00EF0A1F" w:rsidRPr="00E64051" w:rsidRDefault="00EF0A1F" w:rsidP="00E64051">
      <w:pPr>
        <w:spacing w:after="0" w:line="276" w:lineRule="auto"/>
        <w:rPr>
          <w:color w:val="auto"/>
          <w:sz w:val="20"/>
          <w:szCs w:val="20"/>
        </w:rPr>
      </w:pPr>
      <w:r w:rsidRPr="00E64051">
        <w:rPr>
          <w:color w:val="auto"/>
          <w:sz w:val="20"/>
          <w:szCs w:val="20"/>
          <w:u w:val="none"/>
        </w:rPr>
        <w:t xml:space="preserve"> </w:t>
      </w:r>
    </w:p>
    <w:p w14:paraId="415BF3E2" w14:textId="77777777" w:rsidR="00EF0A1F" w:rsidRPr="00E64051" w:rsidRDefault="00EF0A1F" w:rsidP="00E64051">
      <w:pPr>
        <w:spacing w:after="0" w:line="276" w:lineRule="auto"/>
        <w:rPr>
          <w:color w:val="auto"/>
          <w:sz w:val="20"/>
          <w:szCs w:val="20"/>
        </w:rPr>
      </w:pPr>
      <w:r w:rsidRPr="00E64051">
        <w:rPr>
          <w:color w:val="auto"/>
          <w:sz w:val="20"/>
          <w:szCs w:val="20"/>
          <w:u w:val="none"/>
        </w:rPr>
        <w:t xml:space="preserve"> </w:t>
      </w:r>
    </w:p>
    <w:tbl>
      <w:tblPr>
        <w:tblStyle w:val="TableGrid"/>
        <w:tblW w:w="10490" w:type="dxa"/>
        <w:tblInd w:w="-714" w:type="dxa"/>
        <w:tblCellMar>
          <w:top w:w="54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1418"/>
        <w:gridCol w:w="4736"/>
        <w:gridCol w:w="4336"/>
      </w:tblGrid>
      <w:tr w:rsidR="006C3293" w:rsidRPr="00E64051" w14:paraId="50C0AECD" w14:textId="77777777" w:rsidTr="007A0549">
        <w:trPr>
          <w:trHeight w:val="84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8036F" w14:textId="77777777" w:rsidR="00C51AE2" w:rsidRPr="00E64051" w:rsidRDefault="00C51AE2" w:rsidP="00E64051">
            <w:pPr>
              <w:spacing w:after="0" w:line="276" w:lineRule="auto"/>
              <w:ind w:left="22"/>
              <w:rPr>
                <w:color w:val="auto"/>
                <w:sz w:val="20"/>
                <w:szCs w:val="20"/>
              </w:rPr>
            </w:pPr>
            <w:r w:rsidRPr="00E64051">
              <w:rPr>
                <w:b/>
                <w:color w:val="auto"/>
                <w:sz w:val="20"/>
                <w:szCs w:val="20"/>
                <w:u w:val="none"/>
              </w:rPr>
              <w:t>Organ zgłaszający</w:t>
            </w:r>
            <w:r w:rsidRPr="00E64051">
              <w:rPr>
                <w:color w:val="auto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4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4376AF" w14:textId="77777777" w:rsidR="00C51AE2" w:rsidRPr="00E64051" w:rsidRDefault="00C51AE2" w:rsidP="00E64051">
            <w:pPr>
              <w:spacing w:after="0" w:line="276" w:lineRule="auto"/>
              <w:ind w:left="463"/>
              <w:rPr>
                <w:color w:val="auto"/>
                <w:sz w:val="20"/>
                <w:szCs w:val="20"/>
              </w:rPr>
            </w:pPr>
            <w:r w:rsidRPr="00E64051">
              <w:rPr>
                <w:b/>
                <w:color w:val="auto"/>
                <w:sz w:val="20"/>
                <w:szCs w:val="20"/>
                <w:u w:val="none"/>
              </w:rPr>
              <w:t xml:space="preserve">Treść uwagi 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0A4A" w14:textId="77777777" w:rsidR="00C51AE2" w:rsidRPr="00E64051" w:rsidRDefault="00C51AE2" w:rsidP="00E64051">
            <w:pPr>
              <w:spacing w:after="0" w:line="276" w:lineRule="auto"/>
              <w:ind w:right="61"/>
              <w:jc w:val="left"/>
              <w:rPr>
                <w:color w:val="auto"/>
                <w:sz w:val="20"/>
                <w:szCs w:val="20"/>
              </w:rPr>
            </w:pPr>
            <w:r w:rsidRPr="00E64051">
              <w:rPr>
                <w:b/>
                <w:color w:val="auto"/>
                <w:sz w:val="20"/>
                <w:szCs w:val="20"/>
                <w:u w:val="none"/>
              </w:rPr>
              <w:t xml:space="preserve">Informacja </w:t>
            </w:r>
          </w:p>
          <w:p w14:paraId="48F0963E" w14:textId="55EB65AF" w:rsidR="00C51AE2" w:rsidRPr="00E64051" w:rsidRDefault="00E64051" w:rsidP="00E64051">
            <w:pPr>
              <w:spacing w:after="0" w:line="276" w:lineRule="auto"/>
              <w:jc w:val="left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  <w:u w:val="none"/>
              </w:rPr>
              <w:t xml:space="preserve">o </w:t>
            </w:r>
            <w:r w:rsidR="00C51AE2" w:rsidRPr="00E64051">
              <w:rPr>
                <w:b/>
                <w:color w:val="auto"/>
                <w:sz w:val="20"/>
                <w:szCs w:val="20"/>
                <w:u w:val="none"/>
              </w:rPr>
              <w:t xml:space="preserve">uwzględnieniu/nieuwzględnieniu </w:t>
            </w:r>
            <w:r>
              <w:rPr>
                <w:b/>
                <w:color w:val="auto"/>
                <w:sz w:val="20"/>
                <w:szCs w:val="20"/>
                <w:u w:val="none"/>
              </w:rPr>
              <w:br/>
            </w:r>
            <w:r w:rsidR="00C51AE2" w:rsidRPr="00E64051">
              <w:rPr>
                <w:b/>
                <w:color w:val="auto"/>
                <w:sz w:val="20"/>
                <w:szCs w:val="20"/>
                <w:u w:val="none"/>
              </w:rPr>
              <w:t xml:space="preserve">wraz z uzasadnieniem </w:t>
            </w:r>
          </w:p>
        </w:tc>
      </w:tr>
      <w:tr w:rsidR="005975D8" w:rsidRPr="00E64051" w14:paraId="58580178" w14:textId="77777777" w:rsidTr="007A0549">
        <w:trPr>
          <w:trHeight w:val="30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87F19" w14:textId="435FB820" w:rsidR="00CD3144" w:rsidRPr="00CD3144" w:rsidRDefault="00CD3144" w:rsidP="00E64051">
            <w:pPr>
              <w:spacing w:after="0" w:line="276" w:lineRule="auto"/>
              <w:rPr>
                <w:rFonts w:eastAsiaTheme="minorHAnsi"/>
                <w:b/>
                <w:bCs/>
                <w:color w:val="auto"/>
                <w:sz w:val="20"/>
                <w:szCs w:val="20"/>
                <w:u w:val="none"/>
                <w:lang w:eastAsia="en-US"/>
              </w:rPr>
            </w:pPr>
            <w:r w:rsidRPr="00CD3144">
              <w:rPr>
                <w:b/>
                <w:bCs/>
                <w:sz w:val="20"/>
                <w:szCs w:val="20"/>
                <w:u w:val="none"/>
              </w:rPr>
              <w:t>Ministerstwo Finansów, Funduszy i Polityki Regionalnej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86F90" w14:textId="3DED143F" w:rsidR="00CD3144" w:rsidRPr="00CD3144" w:rsidRDefault="00CD3144" w:rsidP="00CD3144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color w:val="auto"/>
                <w:sz w:val="20"/>
                <w:szCs w:val="20"/>
                <w:u w:val="none"/>
                <w:lang w:eastAsia="en-US"/>
              </w:rPr>
            </w:pPr>
            <w:r>
              <w:rPr>
                <w:rFonts w:eastAsiaTheme="minorHAnsi"/>
                <w:b/>
                <w:bCs/>
                <w:color w:val="auto"/>
                <w:sz w:val="20"/>
                <w:szCs w:val="20"/>
                <w:u w:val="none"/>
                <w:lang w:eastAsia="en-US"/>
              </w:rPr>
              <w:t xml:space="preserve">OSR - </w:t>
            </w:r>
            <w:r w:rsidRPr="00CD3144">
              <w:rPr>
                <w:rFonts w:eastAsiaTheme="minorHAnsi"/>
                <w:color w:val="auto"/>
                <w:sz w:val="20"/>
                <w:szCs w:val="20"/>
                <w:u w:val="none"/>
                <w:lang w:eastAsia="en-US"/>
              </w:rPr>
              <w:t>Punkt 6 Oceny Skutków Regulacji należy uzupełnić o jednoznaczne i kompletne informacje na temat przewidywanych skutków finansowych projektowanych regulacji, w szczególności zaś uzupełnienia wymaga wiersz „Źródła finansowania”, w którym powinny zostać wskazane konkretne źródła finansowania wydatków wynikających z proponowanych rozwiązań w ramach budżetu państwa (właściwa część budżetowa) wraz ze stwierdzeniem, że ww.</w:t>
            </w:r>
          </w:p>
          <w:p w14:paraId="55F0A30B" w14:textId="52B937AA" w:rsidR="005975D8" w:rsidRPr="00E64051" w:rsidRDefault="00CD3144" w:rsidP="00CD3144">
            <w:pPr>
              <w:autoSpaceDE w:val="0"/>
              <w:autoSpaceDN w:val="0"/>
              <w:adjustRightInd w:val="0"/>
              <w:spacing w:after="0" w:line="276" w:lineRule="auto"/>
              <w:rPr>
                <w:color w:val="auto"/>
                <w:sz w:val="20"/>
                <w:szCs w:val="20"/>
                <w:u w:val="none"/>
              </w:rPr>
            </w:pPr>
            <w:r w:rsidRPr="00CD3144">
              <w:rPr>
                <w:rFonts w:eastAsiaTheme="minorHAnsi"/>
                <w:color w:val="auto"/>
                <w:sz w:val="20"/>
                <w:szCs w:val="20"/>
                <w:u w:val="none"/>
                <w:lang w:eastAsia="en-US"/>
              </w:rPr>
              <w:t>wydatki budżetu państwa zostaną sfinansowane w ramach limitu wydatków określonego w ustawie budżetowej na rok 2021 r. oraz na kolejne lata, we właściwej części budżetowej, bez konieczności pozyskania dodatkowych środków na ten cel.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C3483" w14:textId="77777777" w:rsidR="005975D8" w:rsidRDefault="002164B3" w:rsidP="00E64051">
            <w:pPr>
              <w:spacing w:after="0" w:line="276" w:lineRule="auto"/>
              <w:rPr>
                <w:b/>
                <w:bCs/>
                <w:color w:val="auto"/>
                <w:sz w:val="20"/>
                <w:szCs w:val="20"/>
                <w:u w:val="none"/>
              </w:rPr>
            </w:pPr>
            <w:r>
              <w:rPr>
                <w:b/>
                <w:bCs/>
                <w:color w:val="auto"/>
                <w:sz w:val="20"/>
                <w:szCs w:val="20"/>
                <w:u w:val="none"/>
              </w:rPr>
              <w:t xml:space="preserve">Uwaga nieuwzględniona </w:t>
            </w:r>
          </w:p>
          <w:p w14:paraId="3C9DA1B7" w14:textId="77777777" w:rsidR="00CD3144" w:rsidRPr="00CD3144" w:rsidRDefault="00CD3144" w:rsidP="00CD3144">
            <w:pPr>
              <w:spacing w:after="0" w:line="276" w:lineRule="auto"/>
              <w:rPr>
                <w:color w:val="auto"/>
                <w:sz w:val="20"/>
                <w:szCs w:val="20"/>
                <w:u w:val="none"/>
              </w:rPr>
            </w:pPr>
            <w:r w:rsidRPr="00CD3144">
              <w:rPr>
                <w:color w:val="auto"/>
                <w:sz w:val="20"/>
                <w:szCs w:val="20"/>
                <w:u w:val="none"/>
              </w:rPr>
              <w:t xml:space="preserve">Należy podkreślić, iż procedowany projekt rozporządzenia reguluje jedynie kwestie trybu zakładania i udostępniania konta w systemie teleinformatycznym obsługującym postępowania egzekucyjne i zabezpieczające prowadzone przez komorników. </w:t>
            </w:r>
          </w:p>
          <w:p w14:paraId="0651CE7D" w14:textId="77777777" w:rsidR="00CD3144" w:rsidRPr="00CD3144" w:rsidRDefault="00CD3144" w:rsidP="00CD3144">
            <w:pPr>
              <w:spacing w:after="0" w:line="276" w:lineRule="auto"/>
              <w:rPr>
                <w:color w:val="auto"/>
                <w:sz w:val="20"/>
                <w:szCs w:val="20"/>
                <w:u w:val="none"/>
              </w:rPr>
            </w:pPr>
            <w:r w:rsidRPr="00CD3144">
              <w:rPr>
                <w:color w:val="auto"/>
                <w:sz w:val="20"/>
                <w:szCs w:val="20"/>
                <w:u w:val="none"/>
              </w:rPr>
              <w:t xml:space="preserve">Przepis art. 158 a </w:t>
            </w:r>
            <w:proofErr w:type="spellStart"/>
            <w:r w:rsidRPr="00CD3144">
              <w:rPr>
                <w:color w:val="auto"/>
                <w:sz w:val="20"/>
                <w:szCs w:val="20"/>
                <w:u w:val="none"/>
              </w:rPr>
              <w:t>u.k.s</w:t>
            </w:r>
            <w:proofErr w:type="spellEnd"/>
            <w:r w:rsidRPr="00CD3144">
              <w:rPr>
                <w:color w:val="auto"/>
                <w:sz w:val="20"/>
                <w:szCs w:val="20"/>
                <w:u w:val="none"/>
              </w:rPr>
              <w:t xml:space="preserve">. oraz obecna treść art. 158 ust. 1 </w:t>
            </w:r>
            <w:proofErr w:type="spellStart"/>
            <w:r w:rsidRPr="00CD3144">
              <w:rPr>
                <w:color w:val="auto"/>
                <w:sz w:val="20"/>
                <w:szCs w:val="20"/>
                <w:u w:val="none"/>
              </w:rPr>
              <w:t>u.k.s</w:t>
            </w:r>
            <w:proofErr w:type="spellEnd"/>
            <w:r w:rsidRPr="00CD3144">
              <w:rPr>
                <w:color w:val="auto"/>
                <w:sz w:val="20"/>
                <w:szCs w:val="20"/>
                <w:u w:val="none"/>
              </w:rPr>
              <w:t xml:space="preserve">. zostały wprowadzone ustawą z dnia 6 grudnia 2018 r. o Krajowym Rejestrze Zadłużonych. Zgodnie z treścią art. 158 </w:t>
            </w:r>
            <w:proofErr w:type="spellStart"/>
            <w:r w:rsidRPr="00CD3144">
              <w:rPr>
                <w:color w:val="auto"/>
                <w:sz w:val="20"/>
                <w:szCs w:val="20"/>
                <w:u w:val="none"/>
              </w:rPr>
              <w:t>u.k.s</w:t>
            </w:r>
            <w:proofErr w:type="spellEnd"/>
            <w:r w:rsidRPr="00CD3144">
              <w:rPr>
                <w:color w:val="auto"/>
                <w:sz w:val="20"/>
                <w:szCs w:val="20"/>
                <w:u w:val="none"/>
              </w:rPr>
              <w:t xml:space="preserve">., wprowadzonego tą ustawą, Minister Sprawiedliwości tworzy system teleinformatyczny obsługujący postępowania egzekucyjne i zabezpieczające prowadzone przez komorników, w którym jest prowadzona i przechowywana dokumentacja, o której mowa w art. 155 ust. 1 i art. 156, oraz są prowadzone konta, za pomocą których można wnosić pisma, jak również wykonuje zadania polegające na projektowaniu, wdrażaniu, eksploatacji, integracji, rozwoju i udostępnianiu tego systemu, zabezpieczaniu danych osobowych przetwarzanych w tym systemie oraz zapewnieniu możliwości wymiany danych między użytkownikami systemu (…)”. </w:t>
            </w:r>
          </w:p>
          <w:p w14:paraId="0B6B3F32" w14:textId="77777777" w:rsidR="00CD3144" w:rsidRPr="00CD3144" w:rsidRDefault="00CD3144" w:rsidP="00CD3144">
            <w:pPr>
              <w:spacing w:after="0" w:line="276" w:lineRule="auto"/>
              <w:rPr>
                <w:color w:val="auto"/>
                <w:sz w:val="20"/>
                <w:szCs w:val="20"/>
                <w:u w:val="none"/>
              </w:rPr>
            </w:pPr>
          </w:p>
          <w:p w14:paraId="0BABC959" w14:textId="2C6413F8" w:rsidR="002164B3" w:rsidRPr="00F70047" w:rsidRDefault="00CD3144" w:rsidP="00CD3144">
            <w:pPr>
              <w:spacing w:after="0" w:line="276" w:lineRule="auto"/>
              <w:rPr>
                <w:color w:val="auto"/>
                <w:sz w:val="20"/>
                <w:szCs w:val="20"/>
                <w:u w:val="none"/>
              </w:rPr>
            </w:pPr>
            <w:r w:rsidRPr="00CD3144">
              <w:rPr>
                <w:color w:val="auto"/>
                <w:sz w:val="20"/>
                <w:szCs w:val="20"/>
                <w:u w:val="none"/>
              </w:rPr>
              <w:t xml:space="preserve">Wobec powyższego, koszty wytworzenia systemu teleinformatycznego, o którym mowa w art. 158 ust. 1 </w:t>
            </w:r>
            <w:proofErr w:type="spellStart"/>
            <w:r w:rsidRPr="00CD3144">
              <w:rPr>
                <w:color w:val="auto"/>
                <w:sz w:val="20"/>
                <w:szCs w:val="20"/>
                <w:u w:val="none"/>
              </w:rPr>
              <w:t>u.k.s</w:t>
            </w:r>
            <w:proofErr w:type="spellEnd"/>
            <w:r w:rsidRPr="00CD3144">
              <w:rPr>
                <w:color w:val="auto"/>
                <w:sz w:val="20"/>
                <w:szCs w:val="20"/>
                <w:u w:val="none"/>
              </w:rPr>
              <w:t xml:space="preserve">. i art. 158a </w:t>
            </w:r>
            <w:proofErr w:type="spellStart"/>
            <w:r w:rsidRPr="00CD3144">
              <w:rPr>
                <w:color w:val="auto"/>
                <w:sz w:val="20"/>
                <w:szCs w:val="20"/>
                <w:u w:val="none"/>
              </w:rPr>
              <w:t>u.k.s</w:t>
            </w:r>
            <w:proofErr w:type="spellEnd"/>
            <w:r w:rsidRPr="00CD3144">
              <w:rPr>
                <w:color w:val="auto"/>
                <w:sz w:val="20"/>
                <w:szCs w:val="20"/>
                <w:u w:val="none"/>
              </w:rPr>
              <w:t>. powinny zostać określone w OSR dotyczącym ustawy o KRZ. Natomiast, procedowane obecnie rozporządzenie żadnych dodatkowych kosztów nie wygeneruje.</w:t>
            </w:r>
          </w:p>
        </w:tc>
      </w:tr>
      <w:tr w:rsidR="006C3293" w:rsidRPr="00E64051" w14:paraId="75E4D963" w14:textId="77777777" w:rsidTr="007A0549">
        <w:trPr>
          <w:trHeight w:val="30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5B837" w14:textId="21C3CF46" w:rsidR="005D61E2" w:rsidRPr="00E64051" w:rsidRDefault="00CD3144" w:rsidP="00E64051">
            <w:pPr>
              <w:spacing w:after="0" w:line="276" w:lineRule="auto"/>
              <w:rPr>
                <w:color w:val="auto"/>
                <w:sz w:val="20"/>
                <w:szCs w:val="20"/>
                <w:u w:val="none"/>
              </w:rPr>
            </w:pPr>
            <w:r>
              <w:rPr>
                <w:rFonts w:eastAsiaTheme="minorHAnsi"/>
                <w:b/>
                <w:bCs/>
                <w:color w:val="auto"/>
                <w:sz w:val="20"/>
                <w:szCs w:val="20"/>
                <w:u w:val="none"/>
                <w:lang w:eastAsia="en-US"/>
              </w:rPr>
              <w:lastRenderedPageBreak/>
              <w:t>Rządowe Centrum Legislacji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B6984" w14:textId="66098B7B" w:rsidR="00CD3144" w:rsidRPr="00CD3144" w:rsidRDefault="002866A0" w:rsidP="00CD3144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color w:val="auto"/>
                <w:sz w:val="20"/>
                <w:szCs w:val="20"/>
                <w:u w:val="none"/>
                <w:lang w:eastAsia="en-US"/>
              </w:rPr>
            </w:pPr>
            <w:r w:rsidRPr="00E64051">
              <w:rPr>
                <w:color w:val="auto"/>
                <w:sz w:val="20"/>
                <w:szCs w:val="20"/>
                <w:u w:val="none"/>
              </w:rPr>
              <w:t xml:space="preserve"> </w:t>
            </w:r>
            <w:bookmarkStart w:id="0" w:name="_Hlk71710240"/>
            <w:r w:rsidR="00CD3144">
              <w:rPr>
                <w:rFonts w:eastAsiaTheme="minorHAnsi"/>
                <w:b/>
                <w:bCs/>
                <w:color w:val="auto"/>
                <w:sz w:val="20"/>
                <w:szCs w:val="20"/>
                <w:u w:val="none"/>
                <w:lang w:eastAsia="en-US"/>
              </w:rPr>
              <w:t>Tytuł projektu</w:t>
            </w:r>
            <w:r w:rsidR="00A7159C" w:rsidRPr="00E64051">
              <w:rPr>
                <w:rFonts w:eastAsiaTheme="minorHAnsi"/>
                <w:color w:val="auto"/>
                <w:sz w:val="20"/>
                <w:szCs w:val="20"/>
                <w:u w:val="none"/>
                <w:lang w:eastAsia="en-US"/>
              </w:rPr>
              <w:t xml:space="preserve"> - </w:t>
            </w:r>
            <w:r w:rsidR="00CD3144" w:rsidRPr="00CD3144">
              <w:rPr>
                <w:rFonts w:eastAsiaTheme="minorHAnsi"/>
                <w:color w:val="auto"/>
                <w:sz w:val="20"/>
                <w:szCs w:val="20"/>
                <w:u w:val="none"/>
                <w:lang w:eastAsia="en-US"/>
              </w:rPr>
              <w:t>Zgodnie z § 120 ust. 5 załącznika do rozporządzenia Prezesa Rady Ministrów z dnia 20 czerwca 2002 r. w sprawie „Zasad techniki prawodawczej” (Dz. U. z 2016 r. poz. 283), dalej „ZTP”, określenie przedmiotu rozporządzenia powinno zostać sformułowane możliwie najzwięźlej i nie powinno powtarzać się w nim dosłownie wskazanego w upoważnieniu</w:t>
            </w:r>
          </w:p>
          <w:p w14:paraId="04890135" w14:textId="0D5936D2" w:rsidR="005D61E2" w:rsidRPr="003F2AA6" w:rsidRDefault="00CD3144" w:rsidP="00CD3144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color w:val="auto"/>
                <w:sz w:val="20"/>
                <w:szCs w:val="20"/>
                <w:u w:val="none"/>
                <w:lang w:eastAsia="en-US"/>
              </w:rPr>
            </w:pPr>
            <w:r w:rsidRPr="00CD3144">
              <w:rPr>
                <w:rFonts w:eastAsiaTheme="minorHAnsi"/>
                <w:color w:val="auto"/>
                <w:sz w:val="20"/>
                <w:szCs w:val="20"/>
                <w:u w:val="none"/>
                <w:lang w:eastAsia="en-US"/>
              </w:rPr>
              <w:t>ustawowym zakresu spraw przekazanych do uregulowania. Mając na uwadze cytowany przepis konieczna jest zmiana tytułu w sposób, który będzie wypełniał wymóg zwięzłości zaś w pierwszej jednostce redakcyjnej projektu rozporządzenia należy określić jego zakres przedmiotowy</w:t>
            </w:r>
            <w:bookmarkEnd w:id="0"/>
            <w:r>
              <w:rPr>
                <w:rFonts w:eastAsiaTheme="minorHAnsi"/>
                <w:color w:val="auto"/>
                <w:sz w:val="20"/>
                <w:szCs w:val="20"/>
                <w:u w:val="none"/>
                <w:lang w:eastAsia="en-US"/>
              </w:rPr>
              <w:t>.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469BF" w14:textId="1AAD01F3" w:rsidR="00B229FF" w:rsidRPr="00E64051" w:rsidRDefault="00956394" w:rsidP="00E64051">
            <w:pPr>
              <w:spacing w:after="0" w:line="276" w:lineRule="auto"/>
              <w:rPr>
                <w:b/>
                <w:bCs/>
                <w:color w:val="auto"/>
                <w:sz w:val="20"/>
                <w:szCs w:val="20"/>
                <w:u w:val="none"/>
              </w:rPr>
            </w:pPr>
            <w:r w:rsidRPr="00E64051">
              <w:rPr>
                <w:b/>
                <w:bCs/>
                <w:color w:val="auto"/>
                <w:sz w:val="20"/>
                <w:szCs w:val="20"/>
                <w:u w:val="none"/>
              </w:rPr>
              <w:t>Uwaga nieuwzględniona</w:t>
            </w:r>
            <w:r w:rsidR="005D61E2" w:rsidRPr="00E64051">
              <w:rPr>
                <w:b/>
                <w:bCs/>
                <w:color w:val="auto"/>
                <w:sz w:val="20"/>
                <w:szCs w:val="20"/>
                <w:u w:val="none"/>
              </w:rPr>
              <w:t xml:space="preserve"> </w:t>
            </w:r>
          </w:p>
          <w:p w14:paraId="7DBDD1A5" w14:textId="77777777" w:rsidR="00CD3144" w:rsidRPr="00CD3144" w:rsidRDefault="00CD3144" w:rsidP="00CD3144">
            <w:pPr>
              <w:spacing w:after="0" w:line="276" w:lineRule="auto"/>
              <w:rPr>
                <w:sz w:val="20"/>
                <w:szCs w:val="20"/>
                <w:u w:val="none"/>
              </w:rPr>
            </w:pPr>
            <w:r w:rsidRPr="00CD3144">
              <w:rPr>
                <w:sz w:val="20"/>
                <w:szCs w:val="20"/>
                <w:u w:val="none"/>
              </w:rPr>
              <w:t xml:space="preserve">Zgodnie z art. 158 ust. 1 </w:t>
            </w:r>
            <w:proofErr w:type="spellStart"/>
            <w:r w:rsidRPr="00CD3144">
              <w:rPr>
                <w:sz w:val="20"/>
                <w:szCs w:val="20"/>
                <w:u w:val="none"/>
              </w:rPr>
              <w:t>u.k.s</w:t>
            </w:r>
            <w:proofErr w:type="spellEnd"/>
            <w:r w:rsidRPr="00CD3144">
              <w:rPr>
                <w:sz w:val="20"/>
                <w:szCs w:val="20"/>
                <w:u w:val="none"/>
              </w:rPr>
              <w:t xml:space="preserve">.: </w:t>
            </w:r>
          </w:p>
          <w:p w14:paraId="76209A07" w14:textId="77777777" w:rsidR="00CD3144" w:rsidRPr="00CD3144" w:rsidRDefault="00CD3144" w:rsidP="00CD3144">
            <w:pPr>
              <w:spacing w:after="0" w:line="276" w:lineRule="auto"/>
              <w:rPr>
                <w:sz w:val="20"/>
                <w:szCs w:val="20"/>
                <w:u w:val="none"/>
              </w:rPr>
            </w:pPr>
            <w:r w:rsidRPr="00CD3144">
              <w:rPr>
                <w:sz w:val="20"/>
                <w:szCs w:val="20"/>
                <w:u w:val="none"/>
              </w:rPr>
              <w:t xml:space="preserve">Minister Sprawiedliwości tworzy system teleinformatyczny, obsługujący postępowania egzekucyjne i zabezpieczające prowadzone przez komorników, w którym jest prowadzona i przechowywana dokumentacja, o której mowa w art. 155 ust. 1 i art. 156, oraz są prowadzone konta, za pomocą których można wnosić pisma, (…). </w:t>
            </w:r>
          </w:p>
          <w:p w14:paraId="5BC1FEBE" w14:textId="77777777" w:rsidR="00CD3144" w:rsidRPr="00CD3144" w:rsidRDefault="00CD3144" w:rsidP="00CD3144">
            <w:pPr>
              <w:spacing w:after="0" w:line="276" w:lineRule="auto"/>
              <w:rPr>
                <w:sz w:val="20"/>
                <w:szCs w:val="20"/>
                <w:u w:val="none"/>
              </w:rPr>
            </w:pPr>
            <w:r w:rsidRPr="00CD3144">
              <w:rPr>
                <w:sz w:val="20"/>
                <w:szCs w:val="20"/>
                <w:u w:val="none"/>
              </w:rPr>
              <w:t xml:space="preserve">Jak natomiast wynika z art. 158a </w:t>
            </w:r>
            <w:proofErr w:type="spellStart"/>
            <w:r w:rsidRPr="00CD3144">
              <w:rPr>
                <w:sz w:val="20"/>
                <w:szCs w:val="20"/>
                <w:u w:val="none"/>
              </w:rPr>
              <w:t>u.k.s</w:t>
            </w:r>
            <w:proofErr w:type="spellEnd"/>
            <w:r w:rsidRPr="00CD3144">
              <w:rPr>
                <w:sz w:val="20"/>
                <w:szCs w:val="20"/>
                <w:u w:val="none"/>
              </w:rPr>
              <w:t xml:space="preserve">.: </w:t>
            </w:r>
          </w:p>
          <w:p w14:paraId="3C56B722" w14:textId="77777777" w:rsidR="00CD3144" w:rsidRPr="00CD3144" w:rsidRDefault="00CD3144" w:rsidP="00CD3144">
            <w:pPr>
              <w:spacing w:after="0" w:line="276" w:lineRule="auto"/>
              <w:rPr>
                <w:sz w:val="20"/>
                <w:szCs w:val="20"/>
                <w:u w:val="none"/>
              </w:rPr>
            </w:pPr>
            <w:r w:rsidRPr="00CD3144">
              <w:rPr>
                <w:sz w:val="20"/>
                <w:szCs w:val="20"/>
                <w:u w:val="none"/>
              </w:rPr>
              <w:t>Minister Sprawiedliwości w porozumieniu z ministrem właściwym do spraw informatyzacji określi, w drodze rozporządzenia, tryb zakładania i udostępniania konta w systemie teleinformatycznym, o którym mowa w art. 158 ust. 1, za pomocą którego można wnosić pisma, z uwzględnieniem sprawności postępowania, ochrony praw stron postępowania oraz możliwości składania jednorazowo wielu pism.</w:t>
            </w:r>
          </w:p>
          <w:p w14:paraId="65BC73B5" w14:textId="77777777" w:rsidR="00CD3144" w:rsidRPr="00CD3144" w:rsidRDefault="00CD3144" w:rsidP="00CD3144">
            <w:pPr>
              <w:spacing w:after="0" w:line="276" w:lineRule="auto"/>
              <w:rPr>
                <w:sz w:val="20"/>
                <w:szCs w:val="20"/>
                <w:u w:val="none"/>
              </w:rPr>
            </w:pPr>
            <w:r w:rsidRPr="00CD3144">
              <w:rPr>
                <w:sz w:val="20"/>
                <w:szCs w:val="20"/>
                <w:u w:val="none"/>
              </w:rPr>
              <w:t xml:space="preserve">Jak wynika z powyższego, tytuł rozporządzenia nie stanowi dokładnego odwzorowania treści delegacji ustawowej. Pominięcie któregokolwiek ze sformułowań zawartych w tytule procedowanego aktu prawnego, mogłoby wprowadzać w błąd co do istoty regulowanej nim materii. </w:t>
            </w:r>
          </w:p>
          <w:p w14:paraId="09AFD73A" w14:textId="77777777" w:rsidR="00CD3144" w:rsidRPr="00CD3144" w:rsidRDefault="00CD3144" w:rsidP="00CD3144">
            <w:pPr>
              <w:spacing w:after="0" w:line="276" w:lineRule="auto"/>
              <w:rPr>
                <w:sz w:val="20"/>
                <w:szCs w:val="20"/>
                <w:u w:val="none"/>
              </w:rPr>
            </w:pPr>
            <w:r w:rsidRPr="00CD3144">
              <w:rPr>
                <w:sz w:val="20"/>
                <w:szCs w:val="20"/>
                <w:u w:val="none"/>
              </w:rPr>
              <w:t xml:space="preserve">Niezależnie od powyższego, wypada również podkreślić, że treść art. 120 ust. 5 załącznika do ZTP dopuszcza możliwość nawet dosłownego powtórzenia w tytule aktu prawnego treści przepisu zawierającego delegację ustawową, o ile zakres ujętych w nim sprawy został sformułowany w sposób zwięzły: </w:t>
            </w:r>
          </w:p>
          <w:p w14:paraId="16FFFEF6" w14:textId="39E071D6" w:rsidR="00B229FF" w:rsidRPr="000579E8" w:rsidRDefault="00CD3144" w:rsidP="00CD3144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color w:val="auto"/>
                <w:sz w:val="20"/>
                <w:szCs w:val="20"/>
                <w:u w:val="none"/>
                <w:lang w:eastAsia="en-US"/>
              </w:rPr>
            </w:pPr>
            <w:r w:rsidRPr="00CD3144">
              <w:rPr>
                <w:sz w:val="20"/>
                <w:szCs w:val="20"/>
                <w:u w:val="none"/>
              </w:rPr>
              <w:t>„Określenie przedmiotu rozporządzenia powinno być sformułowane możliwie najzwięźlej; nie powtarza się w nim dosłownie wskazanego w upoważnieniu ustawowym zakresu spraw przekazanych do uregulowania w rozporządzeniu ani wytycznych dotyczących jego treści, chyba że zakres spraw został zwięźle wskazany w upoważnieniu ustawowym”.</w:t>
            </w:r>
          </w:p>
        </w:tc>
      </w:tr>
    </w:tbl>
    <w:p w14:paraId="690827FA" w14:textId="77777777" w:rsidR="005473D6" w:rsidRPr="00E64051" w:rsidRDefault="005473D6" w:rsidP="00E64051">
      <w:pPr>
        <w:spacing w:after="0" w:line="276" w:lineRule="auto"/>
        <w:rPr>
          <w:color w:val="auto"/>
          <w:sz w:val="20"/>
          <w:szCs w:val="20"/>
        </w:rPr>
      </w:pPr>
    </w:p>
    <w:sectPr w:rsidR="005473D6" w:rsidRPr="00E64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3A3AB" w14:textId="77777777" w:rsidR="00A870E2" w:rsidRDefault="00A870E2" w:rsidP="004213D1">
      <w:pPr>
        <w:spacing w:after="0" w:line="240" w:lineRule="auto"/>
      </w:pPr>
      <w:r>
        <w:separator/>
      </w:r>
    </w:p>
  </w:endnote>
  <w:endnote w:type="continuationSeparator" w:id="0">
    <w:p w14:paraId="381973A9" w14:textId="77777777" w:rsidR="00A870E2" w:rsidRDefault="00A870E2" w:rsidP="0042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19B96" w14:textId="77777777" w:rsidR="00A870E2" w:rsidRDefault="00A870E2" w:rsidP="004213D1">
      <w:pPr>
        <w:spacing w:after="0" w:line="240" w:lineRule="auto"/>
      </w:pPr>
      <w:r>
        <w:separator/>
      </w:r>
    </w:p>
  </w:footnote>
  <w:footnote w:type="continuationSeparator" w:id="0">
    <w:p w14:paraId="44D33BB9" w14:textId="77777777" w:rsidR="00A870E2" w:rsidRDefault="00A870E2" w:rsidP="00421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621"/>
    <w:multiLevelType w:val="hybridMultilevel"/>
    <w:tmpl w:val="D50E05A0"/>
    <w:lvl w:ilvl="0" w:tplc="4EEE793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217362E9"/>
    <w:multiLevelType w:val="hybridMultilevel"/>
    <w:tmpl w:val="46186ECA"/>
    <w:lvl w:ilvl="0" w:tplc="41E421DC">
      <w:start w:val="2"/>
      <w:numFmt w:val="decimal"/>
      <w:lvlText w:val="%1."/>
      <w:lvlJc w:val="left"/>
      <w:pPr>
        <w:ind w:left="218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51487134"/>
    <w:multiLevelType w:val="hybridMultilevel"/>
    <w:tmpl w:val="FABCB42E"/>
    <w:lvl w:ilvl="0" w:tplc="E82EC1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83FBD"/>
    <w:multiLevelType w:val="hybridMultilevel"/>
    <w:tmpl w:val="DCE4B700"/>
    <w:lvl w:ilvl="0" w:tplc="B42A5CF0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D0F"/>
    <w:rsid w:val="00030AE8"/>
    <w:rsid w:val="00053D97"/>
    <w:rsid w:val="000579E8"/>
    <w:rsid w:val="00093CB5"/>
    <w:rsid w:val="00097E0F"/>
    <w:rsid w:val="000D79D5"/>
    <w:rsid w:val="000F25FD"/>
    <w:rsid w:val="00101753"/>
    <w:rsid w:val="00131997"/>
    <w:rsid w:val="001A2C2D"/>
    <w:rsid w:val="001D3A3B"/>
    <w:rsid w:val="001F2152"/>
    <w:rsid w:val="002164B3"/>
    <w:rsid w:val="00235336"/>
    <w:rsid w:val="00264BDA"/>
    <w:rsid w:val="002659F0"/>
    <w:rsid w:val="002722F7"/>
    <w:rsid w:val="00274FF7"/>
    <w:rsid w:val="002866A0"/>
    <w:rsid w:val="002C22A9"/>
    <w:rsid w:val="002C47D3"/>
    <w:rsid w:val="00313C68"/>
    <w:rsid w:val="0032790F"/>
    <w:rsid w:val="00371ACD"/>
    <w:rsid w:val="003A0F37"/>
    <w:rsid w:val="003A5CE1"/>
    <w:rsid w:val="003E1B0F"/>
    <w:rsid w:val="003F2AA6"/>
    <w:rsid w:val="004112C2"/>
    <w:rsid w:val="00415377"/>
    <w:rsid w:val="00416CC8"/>
    <w:rsid w:val="004213D1"/>
    <w:rsid w:val="004658B8"/>
    <w:rsid w:val="004B4624"/>
    <w:rsid w:val="004D2A85"/>
    <w:rsid w:val="004E4346"/>
    <w:rsid w:val="00506259"/>
    <w:rsid w:val="00514A8A"/>
    <w:rsid w:val="0053603A"/>
    <w:rsid w:val="005430F8"/>
    <w:rsid w:val="005473D6"/>
    <w:rsid w:val="005703E2"/>
    <w:rsid w:val="005753D7"/>
    <w:rsid w:val="005975D8"/>
    <w:rsid w:val="005D61E2"/>
    <w:rsid w:val="005E1B02"/>
    <w:rsid w:val="005F33F4"/>
    <w:rsid w:val="00616056"/>
    <w:rsid w:val="006841B7"/>
    <w:rsid w:val="006C3293"/>
    <w:rsid w:val="006E1DA4"/>
    <w:rsid w:val="0075159C"/>
    <w:rsid w:val="007928B2"/>
    <w:rsid w:val="007A0549"/>
    <w:rsid w:val="007D4944"/>
    <w:rsid w:val="007E34B8"/>
    <w:rsid w:val="00807FF9"/>
    <w:rsid w:val="0081637A"/>
    <w:rsid w:val="00874888"/>
    <w:rsid w:val="008764D5"/>
    <w:rsid w:val="008A170B"/>
    <w:rsid w:val="008D3F0C"/>
    <w:rsid w:val="008E7407"/>
    <w:rsid w:val="008F0472"/>
    <w:rsid w:val="00912CA6"/>
    <w:rsid w:val="00935397"/>
    <w:rsid w:val="00956394"/>
    <w:rsid w:val="0097050E"/>
    <w:rsid w:val="00993789"/>
    <w:rsid w:val="009C152A"/>
    <w:rsid w:val="009C73F9"/>
    <w:rsid w:val="00A01E83"/>
    <w:rsid w:val="00A11F6E"/>
    <w:rsid w:val="00A16A39"/>
    <w:rsid w:val="00A468E1"/>
    <w:rsid w:val="00A5535A"/>
    <w:rsid w:val="00A7159C"/>
    <w:rsid w:val="00A870E2"/>
    <w:rsid w:val="00AA36E9"/>
    <w:rsid w:val="00AC73B3"/>
    <w:rsid w:val="00AE3371"/>
    <w:rsid w:val="00AE39B8"/>
    <w:rsid w:val="00B17005"/>
    <w:rsid w:val="00B229FF"/>
    <w:rsid w:val="00B76A27"/>
    <w:rsid w:val="00B80FC5"/>
    <w:rsid w:val="00B86E0E"/>
    <w:rsid w:val="00BA0196"/>
    <w:rsid w:val="00BB4A24"/>
    <w:rsid w:val="00BB7C67"/>
    <w:rsid w:val="00BC1121"/>
    <w:rsid w:val="00BC516E"/>
    <w:rsid w:val="00BD4669"/>
    <w:rsid w:val="00C05B94"/>
    <w:rsid w:val="00C13468"/>
    <w:rsid w:val="00C507E0"/>
    <w:rsid w:val="00C51AE2"/>
    <w:rsid w:val="00C661F4"/>
    <w:rsid w:val="00C91D9F"/>
    <w:rsid w:val="00CA04C1"/>
    <w:rsid w:val="00CA2308"/>
    <w:rsid w:val="00CA7BD4"/>
    <w:rsid w:val="00CB3319"/>
    <w:rsid w:val="00CB51AE"/>
    <w:rsid w:val="00CD3144"/>
    <w:rsid w:val="00CE2BE9"/>
    <w:rsid w:val="00D74249"/>
    <w:rsid w:val="00D850E4"/>
    <w:rsid w:val="00E64051"/>
    <w:rsid w:val="00E7167C"/>
    <w:rsid w:val="00E97882"/>
    <w:rsid w:val="00EF0A1F"/>
    <w:rsid w:val="00F04650"/>
    <w:rsid w:val="00F10D0F"/>
    <w:rsid w:val="00F70047"/>
    <w:rsid w:val="00F76FF9"/>
    <w:rsid w:val="00F858BC"/>
    <w:rsid w:val="00F9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E5F62"/>
  <w15:chartTrackingRefBased/>
  <w15:docId w15:val="{4A09E843-6611-4850-AF48-2B1C34F28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A1F"/>
    <w:pPr>
      <w:spacing w:after="201" w:line="274" w:lineRule="auto"/>
      <w:jc w:val="both"/>
    </w:pPr>
    <w:rPr>
      <w:rFonts w:ascii="Times New Roman" w:eastAsia="Times New Roman" w:hAnsi="Times New Roman" w:cs="Times New Roman"/>
      <w:color w:val="000000"/>
      <w:sz w:val="24"/>
      <w:u w:val="single" w:color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49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F0A1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43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3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30F8"/>
    <w:rPr>
      <w:rFonts w:ascii="Times New Roman" w:eastAsia="Times New Roman" w:hAnsi="Times New Roman" w:cs="Times New Roman"/>
      <w:color w:val="000000"/>
      <w:sz w:val="20"/>
      <w:szCs w:val="20"/>
      <w:u w:val="single" w:color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3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30F8"/>
    <w:rPr>
      <w:rFonts w:ascii="Times New Roman" w:eastAsia="Times New Roman" w:hAnsi="Times New Roman" w:cs="Times New Roman"/>
      <w:b/>
      <w:bCs/>
      <w:color w:val="000000"/>
      <w:sz w:val="20"/>
      <w:szCs w:val="20"/>
      <w:u w:val="single"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0F8"/>
    <w:rPr>
      <w:rFonts w:ascii="Segoe UI" w:eastAsia="Times New Roman" w:hAnsi="Segoe UI" w:cs="Segoe UI"/>
      <w:color w:val="000000"/>
      <w:sz w:val="18"/>
      <w:szCs w:val="18"/>
      <w:u w:val="single" w:color="000000"/>
      <w:lang w:eastAsia="pl-PL"/>
    </w:rPr>
  </w:style>
  <w:style w:type="paragraph" w:styleId="Tekstpodstawowy">
    <w:name w:val="Body Text"/>
    <w:basedOn w:val="Normalny"/>
    <w:link w:val="TekstpodstawowyZnak"/>
    <w:rsid w:val="005430F8"/>
    <w:pPr>
      <w:spacing w:after="120" w:line="240" w:lineRule="auto"/>
      <w:jc w:val="left"/>
    </w:pPr>
    <w:rPr>
      <w:color w:val="auto"/>
      <w:szCs w:val="20"/>
      <w:u w:val="none"/>
    </w:rPr>
  </w:style>
  <w:style w:type="character" w:customStyle="1" w:styleId="TekstpodstawowyZnak">
    <w:name w:val="Tekst podstawowy Znak"/>
    <w:basedOn w:val="Domylnaczcionkaakapitu"/>
    <w:link w:val="Tekstpodstawowy"/>
    <w:rsid w:val="005430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30F8"/>
    <w:pPr>
      <w:spacing w:after="160" w:line="259" w:lineRule="auto"/>
      <w:ind w:left="720"/>
      <w:contextualSpacing/>
      <w:jc w:val="left"/>
    </w:pPr>
    <w:rPr>
      <w:rFonts w:ascii="Calibri" w:eastAsia="Calibri" w:hAnsi="Calibri" w:cs="Calibri"/>
      <w:sz w:val="22"/>
      <w:u w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13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13D1"/>
    <w:rPr>
      <w:rFonts w:ascii="Times New Roman" w:eastAsia="Times New Roman" w:hAnsi="Times New Roman" w:cs="Times New Roman"/>
      <w:color w:val="000000"/>
      <w:sz w:val="20"/>
      <w:szCs w:val="20"/>
      <w:u w:val="single" w:color="00000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13D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D4944"/>
    <w:rPr>
      <w:rFonts w:asciiTheme="majorHAnsi" w:eastAsiaTheme="majorEastAsia" w:hAnsiTheme="majorHAnsi" w:cstheme="majorBidi"/>
      <w:color w:val="2F5496" w:themeColor="accent1" w:themeShade="BF"/>
      <w:sz w:val="32"/>
      <w:szCs w:val="32"/>
      <w:u w:val="single" w:color="000000"/>
      <w:lang w:eastAsia="pl-PL"/>
    </w:rPr>
  </w:style>
  <w:style w:type="paragraph" w:customStyle="1" w:styleId="Default">
    <w:name w:val="Default"/>
    <w:rsid w:val="00514A8A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IGindeksgrny">
    <w:name w:val="_IG_ – indeks górny"/>
    <w:basedOn w:val="Domylnaczcionkaakapitu"/>
    <w:uiPriority w:val="2"/>
    <w:qFormat/>
    <w:rsid w:val="001A2C2D"/>
    <w:rPr>
      <w:b w:val="0"/>
      <w:i w:val="0"/>
      <w:vanish w:val="0"/>
      <w:spacing w:val="0"/>
      <w:vertAlign w:val="superscript"/>
    </w:rPr>
  </w:style>
  <w:style w:type="character" w:customStyle="1" w:styleId="articletitle">
    <w:name w:val="articletitle"/>
    <w:basedOn w:val="Domylnaczcionkaakapitu"/>
    <w:rsid w:val="001A2C2D"/>
  </w:style>
  <w:style w:type="character" w:styleId="Hipercze">
    <w:name w:val="Hyperlink"/>
    <w:basedOn w:val="Domylnaczcionkaakapitu"/>
    <w:uiPriority w:val="99"/>
    <w:semiHidden/>
    <w:unhideWhenUsed/>
    <w:rsid w:val="001A2C2D"/>
    <w:rPr>
      <w:color w:val="0000FF"/>
      <w:u w:val="single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01753"/>
    <w:pPr>
      <w:suppressAutoHyphens/>
      <w:autoSpaceDE w:val="0"/>
      <w:autoSpaceDN w:val="0"/>
      <w:adjustRightInd w:val="0"/>
      <w:spacing w:after="0" w:line="360" w:lineRule="auto"/>
      <w:ind w:left="510" w:firstLine="510"/>
    </w:pPr>
    <w:rPr>
      <w:rFonts w:ascii="Times" w:eastAsiaTheme="minorEastAsia" w:hAnsi="Times" w:cs="Arial"/>
      <w:color w:val="auto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4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9907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3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5978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7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4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02835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0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1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516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Olkowicz Agnieszka  (DLPC)</dc:creator>
  <cp:keywords/>
  <dc:description/>
  <cp:lastModifiedBy>Kledyńska Anna  (DLPC)</cp:lastModifiedBy>
  <cp:revision>2</cp:revision>
  <dcterms:created xsi:type="dcterms:W3CDTF">2021-11-05T13:57:00Z</dcterms:created>
  <dcterms:modified xsi:type="dcterms:W3CDTF">2021-11-05T13:57:00Z</dcterms:modified>
</cp:coreProperties>
</file>