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3A6FBE" w:rsidRDefault="00065658" w:rsidP="003A6FB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6FBE">
        <w:rPr>
          <w:rFonts w:asciiTheme="minorHAnsi" w:hAnsiTheme="minorHAnsi" w:cstheme="minorHAnsi"/>
          <w:b/>
          <w:sz w:val="22"/>
          <w:szCs w:val="22"/>
        </w:rPr>
        <w:t xml:space="preserve">KOMUNIKAT NR </w:t>
      </w:r>
      <w:r w:rsidR="0032453B" w:rsidRPr="003A6FBE">
        <w:rPr>
          <w:rFonts w:asciiTheme="minorHAnsi" w:hAnsiTheme="minorHAnsi" w:cstheme="minorHAnsi"/>
          <w:b/>
          <w:sz w:val="22"/>
          <w:szCs w:val="22"/>
        </w:rPr>
        <w:t>1</w:t>
      </w:r>
      <w:r w:rsidR="00286A32" w:rsidRPr="003A6FBE">
        <w:rPr>
          <w:rFonts w:asciiTheme="minorHAnsi" w:hAnsiTheme="minorHAnsi" w:cstheme="minorHAnsi"/>
          <w:b/>
          <w:sz w:val="22"/>
          <w:szCs w:val="22"/>
        </w:rPr>
        <w:t>2</w:t>
      </w:r>
      <w:r w:rsidRPr="003A6FBE">
        <w:rPr>
          <w:rFonts w:asciiTheme="minorHAnsi" w:hAnsiTheme="minorHAnsi" w:cstheme="minorHAnsi"/>
          <w:b/>
          <w:sz w:val="22"/>
          <w:szCs w:val="22"/>
        </w:rPr>
        <w:t>/2023</w:t>
      </w:r>
    </w:p>
    <w:p w:rsidR="00025037" w:rsidRPr="003A6FBE" w:rsidRDefault="00025037" w:rsidP="003A6FB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6FBE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3A6FBE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3A6FBE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3A6FBE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3A6FBE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E5607E" w:rsidRPr="003A6FBE" w:rsidRDefault="004057C8" w:rsidP="003A6FB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6FBE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286A32" w:rsidRPr="003A6FBE">
        <w:rPr>
          <w:rFonts w:asciiTheme="minorHAnsi" w:hAnsiTheme="minorHAnsi" w:cstheme="minorHAnsi"/>
          <w:b/>
          <w:sz w:val="22"/>
          <w:szCs w:val="22"/>
        </w:rPr>
        <w:t>1</w:t>
      </w:r>
      <w:r w:rsidR="005862C3" w:rsidRPr="003A6FBE">
        <w:rPr>
          <w:rFonts w:asciiTheme="minorHAnsi" w:hAnsiTheme="minorHAnsi" w:cstheme="minorHAnsi"/>
          <w:b/>
          <w:sz w:val="22"/>
          <w:szCs w:val="22"/>
        </w:rPr>
        <w:t>-</w:t>
      </w:r>
      <w:r w:rsidR="00286A32" w:rsidRPr="003A6FBE">
        <w:rPr>
          <w:rFonts w:asciiTheme="minorHAnsi" w:hAnsiTheme="minorHAnsi" w:cstheme="minorHAnsi"/>
          <w:b/>
          <w:sz w:val="22"/>
          <w:szCs w:val="22"/>
        </w:rPr>
        <w:t>29</w:t>
      </w:r>
      <w:r w:rsidR="00065658" w:rsidRPr="003A6FBE">
        <w:rPr>
          <w:rFonts w:asciiTheme="minorHAnsi" w:hAnsiTheme="minorHAnsi" w:cstheme="minorHAnsi"/>
          <w:b/>
          <w:sz w:val="22"/>
          <w:szCs w:val="22"/>
        </w:rPr>
        <w:t>.</w:t>
      </w:r>
      <w:r w:rsidR="00286A32" w:rsidRPr="003A6FBE">
        <w:rPr>
          <w:rFonts w:asciiTheme="minorHAnsi" w:hAnsiTheme="minorHAnsi" w:cstheme="minorHAnsi"/>
          <w:b/>
          <w:sz w:val="22"/>
          <w:szCs w:val="22"/>
        </w:rPr>
        <w:t>12</w:t>
      </w:r>
      <w:r w:rsidR="00065658" w:rsidRPr="003A6FBE">
        <w:rPr>
          <w:rFonts w:asciiTheme="minorHAnsi" w:hAnsiTheme="minorHAnsi" w:cstheme="minorHAnsi"/>
          <w:b/>
          <w:sz w:val="22"/>
          <w:szCs w:val="22"/>
        </w:rPr>
        <w:t>.2023</w:t>
      </w:r>
      <w:r w:rsidR="005F609B" w:rsidRPr="003A6FB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A74FB" w:rsidRPr="003A6FBE" w:rsidRDefault="000A74FB" w:rsidP="003A6FBE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="002543B3" w:rsidRPr="003A6FBE" w:rsidRDefault="002543B3" w:rsidP="003A6FBE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A6FBE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odbyło się jedno posiedzenie Komitetu do Spraw Europejskich, </w:t>
      </w:r>
      <w:r w:rsidR="00286A32" w:rsidRPr="003A6FBE">
        <w:rPr>
          <w:rFonts w:asciiTheme="minorHAnsi" w:hAnsiTheme="minorHAnsi" w:cstheme="minorHAnsi"/>
          <w:sz w:val="22"/>
          <w:szCs w:val="22"/>
          <w:u w:val="single"/>
        </w:rPr>
        <w:t>28 grudnia</w:t>
      </w:r>
      <w:r w:rsidRPr="003A6FBE">
        <w:rPr>
          <w:rFonts w:asciiTheme="minorHAnsi" w:hAnsiTheme="minorHAnsi" w:cstheme="minorHAnsi"/>
          <w:sz w:val="22"/>
          <w:szCs w:val="22"/>
          <w:u w:val="single"/>
        </w:rPr>
        <w:t xml:space="preserve"> 2023 r., podczas którego: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2543B3" w:rsidRPr="003A6FBE" w:rsidTr="00E5631C">
        <w:trPr>
          <w:jc w:val="center"/>
        </w:trPr>
        <w:tc>
          <w:tcPr>
            <w:tcW w:w="9195" w:type="dxa"/>
          </w:tcPr>
          <w:p w:rsidR="002543B3" w:rsidRPr="003A6FBE" w:rsidRDefault="002543B3" w:rsidP="003A6FBE">
            <w:pPr>
              <w:pStyle w:val="Akapitzlist"/>
              <w:numPr>
                <w:ilvl w:val="0"/>
                <w:numId w:val="47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/>
                <w:sz w:val="22"/>
                <w:szCs w:val="22"/>
              </w:rPr>
              <w:t>Omówiono następujące tematy:</w:t>
            </w:r>
          </w:p>
          <w:p w:rsidR="00286A32" w:rsidRPr="003A6FBE" w:rsidRDefault="00286A32" w:rsidP="003A6FBE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o przebiegu i wynikach posiedzenia Rady Europejskiej w dniach 14-15 grudnia 2023;</w:t>
            </w:r>
          </w:p>
          <w:p w:rsidR="00286A32" w:rsidRPr="003A6FBE" w:rsidRDefault="00286A32" w:rsidP="003A6FBE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Koordynacja polityki europejskiej – kluczowe wyzwania;</w:t>
            </w:r>
          </w:p>
          <w:p w:rsidR="00286A32" w:rsidRPr="003A6FBE" w:rsidRDefault="00286A32" w:rsidP="003A6FBE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Przegląd stanowisk Rządu pod kątem realizacji zobowiązań programowych RM w zakresie prac na forum UE – bilans otwarcia;</w:t>
            </w:r>
          </w:p>
          <w:p w:rsidR="00286A32" w:rsidRPr="003A6FBE" w:rsidRDefault="00286A32" w:rsidP="003A6FBE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o stanie przygotowań do sprawowania przez Polskę prezydencji w Radzie Unii Europejskiej w I. połowie 2025 r. – aktualny stan spraw;</w:t>
            </w:r>
          </w:p>
          <w:p w:rsidR="00286A32" w:rsidRPr="003A6FBE" w:rsidRDefault="00286A32" w:rsidP="003A6FBE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na temat stanu wdrażania dyrektyw unijnych - bilans otwarcia;</w:t>
            </w:r>
          </w:p>
          <w:p w:rsidR="00286A32" w:rsidRPr="003A6FBE" w:rsidRDefault="00286A32" w:rsidP="003A6FBE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eastAsia="Calibri" w:hAnsiTheme="minorHAnsi" w:cstheme="minorHAnsi"/>
                <w:sz w:val="22"/>
                <w:szCs w:val="22"/>
              </w:rPr>
              <w:t>Przygotowania do wizyty E. Letty w Polsce w ramach konsultacji w związku z pracami nad raportem o jednolitym rynku;</w:t>
            </w:r>
          </w:p>
          <w:p w:rsidR="00286A32" w:rsidRPr="003A6FBE" w:rsidRDefault="00286A32" w:rsidP="003A6FBE">
            <w:pPr>
              <w:numPr>
                <w:ilvl w:val="0"/>
                <w:numId w:val="8"/>
              </w:numPr>
              <w:spacing w:before="120" w:after="120"/>
              <w:ind w:left="714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Realizacja ustawy o współpracy Rady Ministrów z Prezydentem RP oraz Sejmem i Senatem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br/>
              <w:t>w sprawach związanych z członkostwem RP w UE.</w:t>
            </w:r>
          </w:p>
        </w:tc>
      </w:tr>
    </w:tbl>
    <w:p w:rsidR="001135AF" w:rsidRPr="003A6FBE" w:rsidRDefault="000A74FB" w:rsidP="002D3992">
      <w:pPr>
        <w:spacing w:before="24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3A6FBE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3A6FBE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3A6FBE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3A6FBE" w:rsidRDefault="00A73FE5" w:rsidP="003A6FBE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3A6FBE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do Spraw Zagraniczn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ych w dniu 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13 listopada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stanowiska RP w sprawie przedłużenia kadencji Dyrektora Generalnego Europejskiej Agencji Kosmicznej (ESA).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Wymiaru Sprawiedliwości i Spraw Wewnętrznych w dniach 4-5 grudnia 2023 r. (sesja dot. wymiaru sprawiedliwości).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Rady ds. Transportu, Telekomunik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acji i Energii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4 grudnia 2023 r. (sesja dot. transportu).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Rady ds. Wymiaru Sprawiedliwości i Spraw Wewnętrznych w dniach 4-5 grudnia 2023 r. (sesja dot. spraw wewnętrznych).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Rady ds. Transportu, Telekomunik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acji i Energii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5 grudnia 2023 r. (sesja dot. telekomunikacji).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Nowy tekst „Instrukcji na posiedzenie Rady ds. Transportu, Telekomunikacji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br/>
              <w:t>i Energii w dniu 5 grudnia 2023 r. (sesja dot. telekomunikacji)” uwzględniający aktualizację zapisów w pkt. Sprawy różne pkt. a) Bieżące wnioski ustawodawcze „Rozporządzenie zmieniające akt o cyb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erbezpieczeństwie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odniesieniudo usług zarządzanych w zakresie bezpieczeństwa.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o stanie realizacji zadań nakładanych na ministerstwa i urzędy centralne.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ds. Edukacji, Młodzieży, Kultury i Sportu w dniu 24 listopada 2023 r. (sesja dot. kultury i spraw audiowizualnych).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C-517/23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Apothekerkammer Nordrhein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29 listopada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ds. Edukacji, Młodzieży, Kultury i Sportu w dniu 23 listopada 2023 r. (sesja dot. edukacji i młodzieży).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as posiedzenia Rady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ds. Konkurencyjności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8 grudnia 2023 r. (sesja dot. badań naukowych).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rzenia podczas posiedzenia Rady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ds. Konkurencyjności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dniach 7-8 grudnia 2023 r. (sesje dot. rynku wewnętrznego i przemysłu oraz przestrzeni kosmicznej).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 Rybołówstwa w dniach 10-11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ds. Edukacji, Młodzieży, Kultury i Sportu w dniu 24 listopada 2023 r. (sesja dot. sportu).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Parlamentu Europejskiego i Rady rozszerzającej dyrektywę [XXXX] na obywateli państw trzecich przebywających legalnie w państwie członkowskim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698).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delegacji Polski nt. przygotowania europejskiego rolnictwa do akcesji Ukrainy 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UE, która zostanie omówiona podczas posiedzenia Rady UE ds. Rolnictwa i Rybołówstwa w dniach 10-11 grudnia 2023 r. w ramach punktu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Sprawy różne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prac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Zespołu roboczego do spraw przygotowań Polski do objęcia przewodnictwa w Radzie Unii Europejskiej w I połowie 2025 r. ds. promocji kulturalnej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w okresie czerwiec-listopad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Rady ds. Konkurencyjności w dniu 8 grudnia 2023 r. (</w:t>
            </w:r>
            <w:r w:rsidRPr="003A6F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sesja dot. badań naukowych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T-435/23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YL przeciwko Radzie i EUIPO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Gos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podarczych i Finansowych w dniu 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8 grudnia 2023 r. uwzględniającej instrukcję na posiedzenie Eurogrupy w dniu 7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C-324/23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Myszak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posiedzenie Rady ds. Rolnictwa i Rybołówstwa 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dniach 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10-11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Zagranicznych w dniu 11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sprawie wykorzystania zdolności przepustowej infrastruktury kolejowej w jednolitym europejskim obszarze kolejowym, zmieniającego dyrektywę 2012/34/UE i uchylającego rozporządzenie (UE) nr 913/2010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443).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nt. udziału Polski w Instrumencie „Łącząc Europę” (CEF).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nt. prac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Zespołu roboczego do spraw przygotowań Polski do objęcia przewodnictwa w Radzie UE w I połowie 2025 r. ds. programowych 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w okresie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czerwiec-październik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ds. Rolnictwa i Rybołówstwa w dniu 20 listopada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w sprawie stanowiska RP w sprawie wyborów na stanowisko Dyrektora Wykonawczego Agencji Unii Europejskiej ds. Bezpieczeństwa Lotniczego (EASA).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C-538/23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ÖBB-Infrastruktur i WESTBahn Management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Ogólnych w dniu 12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Wstępna analiza i ocena zmian Traktatów zaproponowanych przez Parlament Europejski 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w Rezolucji z 22 listopada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Gospodarczych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 Finansowych w dniu 8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nieformalnego posiedzenia ministrów  ds. mieszkalnictwa i spraw miejskich w dniu 14 listopada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w sprawie stanowiska RP w sprawie wyborów na stanowisko Zastępcy Dyrektora Wykonawczego Agencji Unii Europejskiej ds. Azylu.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decyzji Parlamentu Europejskiego i Rady zmieniającej decyzję Rady 89/367/EWG ustanawiającą Stały Komitet </w:t>
            </w:r>
            <w:r w:rsidR="002D399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ds. Leśnictwa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727).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zmieniającego rozporządzenie (UE) 2016/1011 </w:t>
            </w:r>
            <w:r w:rsidR="002D399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 odniesieniu do zakresu przepisów dotyczących wskaźników referencyjnych, stosowania </w:t>
            </w:r>
            <w:r w:rsidR="002D399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Unii wskaźników referencyjnych opracowywanych przez administratora mającego siedzibę lub miejsce zamieszkania w państwie trzecim oraz niektórych wymogów sprawozdawczych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660).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C-421/23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ONSS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Rady ds. Konkurencyjności w dniach 7-8 grudnia 2023 r. (sesje dot. rynku wewnętrznego i przemysłu oraz przestrzeni kosmicznej).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Aktualizacja „Instrukcji na posiedzenie Rady ds. Konkurencyjności w dniach 7-8 grudnia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2023 r.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 (sesje dot. rynku wewnętrznego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 przemysłu oraz przestrzeni kosmicznej)” w punkcie 3. „Rozporządzenie w sprawie ustanowienia ram środków na rzecz wzmocnienia europejskiego ekosystemu produkcji produktów neutralnych emisyjnie (akt w sprawie przemysłu neutralnego emisyjnie) - podejście ogólne”.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Rady ds. Wymiaru Sprawiedliwości i Spraw Wewnętrznych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dniach 4-5 grudnia 2023 r. (sesja dot. spraw wewnętrznych).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kandydata Ministerstwa Rolnictwa i Rozwoju Wsi na stanowisko eksperta narodowego w Dyrekcji Generalnej Zdrowia i Bezpieczeństwa Żywności.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Zagranicznych (hand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el) w dniu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27 listopada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3A6F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rozporządzenia Parlamentu Europejskiego i Rady zmieniającego rozporządzenie (UE) 2018/1806 </w:t>
            </w:r>
            <w:r w:rsidR="002D3992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 odniesieniu do posiadaczy serbskich paszportów wydanych przez serbską Dyrekcję </w:t>
            </w:r>
            <w:r w:rsidR="002D3992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i/>
                <w:sz w:val="22"/>
                <w:szCs w:val="22"/>
              </w:rPr>
              <w:t>ds. Koordynacji (Koordinaciona uprava)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 (COM(2023) 733).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Rady ds. Wymiaru Sprawiedliwości i Spraw Wewnętrznych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dniach 4-5 grudnia 2023 r. (sesja dot. wymiaru sprawiedliwości).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dniach 4, 5, 6 , 10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 11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edstawicieli COREPER 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dniach 6 i 8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ds. Transportu, Telekomunikacji i Energii w dniu 5 grudnia 2023 r. (sesja dot. telekomunikacji).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Parlamentu Europejskiego i Rady w sprawie</w:t>
            </w:r>
            <w:r w:rsidR="002D399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ochrony pracowników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przed zagrożeniem dotyczącym narażenia na działanie czynników rakotwórczych, mutagenów lub substancji reprotoksycznych podczas pracy (szósta dyrektywa szczegółowa w rozumieniu art. 16 ust. 1 dyrektywy Rady 89/391/EWG) (tekst jednolity)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738).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ds. Transportu, Telekomunikacji i Energii w dniu 4 grudnia 2023 r. (sesja dot. transportu).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 I 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w dniu 29 listopada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1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Oświadczenie Polski w sprawie poparcia Konkluzji Prezydencji w sprawie oceny dorocznego dialogu o praworządności (Rada UE ds.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 Ogólnych,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12 grudnia 2023 r.).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Rady ds. Środowiska w dniu 18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Środowiska w dniu 18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Transportu, Telekomunikacji i Energii w dniu 19 grudnia 2023 r. (sesja dot. energii).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ds. Zatrudnienia, Polityki Społecznej, Zdrowia i Spraw Konsumenckich w dniach 27-28 listopada 2023 r. (sesja dot. zatrudnienia i polityki społecznej).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ds. Konkurencyjności w dniach 7-8 grudnia 2023 r. (sesje dot. rynku wewnętrznego i przemysłu oraz przestrzeni kosmicznej).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Projekt stanowiska Rządu w sprawie środków restrykcyjnych wobec Rosji w związku z jej agresją na Ukrainę – procedura pisemna.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Rady ds. Transportu, Telekomunikacji i Energii w dniu 19 grudnia 2023 r. (sesja dot. energii).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PER II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4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 II 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w dniu 5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PER II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6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ER II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10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ER II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11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ER II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12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EPER 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6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EPER I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w dniu 8 grudnia 2023 r.</w:t>
            </w:r>
          </w:p>
          <w:p w:rsidR="00286A32" w:rsidRPr="003A6FBE" w:rsidRDefault="002D399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s</w:t>
            </w:r>
            <w:r w:rsidR="00286A32" w:rsidRPr="003A6FBE">
              <w:rPr>
                <w:rFonts w:asciiTheme="minorHAnsi" w:hAnsiTheme="minorHAnsi" w:cstheme="minorHAnsi"/>
                <w:sz w:val="22"/>
                <w:szCs w:val="22"/>
              </w:rPr>
              <w:t>tanowiska Rządu w sprawie decyzji dotyczących  przejściowych reguł pochodzenia dla akumulatorów i pojazdów z napędem elektrycznym oraz derogacji ws. VAT w relacjach Unia Europejska – Zjednoczone Królestwo Wielkiej Brytanii i Irlandii Północnej – procedura pisemna.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Rządu w ramach procedury pisemnej w odniesieniu do dokumentu: </w:t>
            </w:r>
            <w:r w:rsidRPr="003A6F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Wniosek Rozporządzenie Rady zmieniające Rozporządzenie (UE) 2022/2576 w odniesieniu </w:t>
            </w:r>
            <w:r w:rsidR="002D39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przedłużenia okresu jego stosowania</w:t>
            </w:r>
            <w:r w:rsidR="002D399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3A6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ST 16267/23.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Projekt stanowiska Rządu RP w ramach procedury pisemnej w odniesieniu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do dokumentu: Wniosek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Rozporządzenie Rady zmieniające Rozporządzenie (UE) 2022/2578 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sprawie ustanowienia mechanizmu korekty rynku w celu ochrony obywateli Unii </w:t>
            </w:r>
            <w:r w:rsidR="002D399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gospodarki przed nadmiernie wysokimi cenami w odniesieniu do przedłużenia okresu jego stosowania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ramach procedury pisemnej dot. dokumentu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Rozporządzenie Rady zmieniające rozporządzenie (UE) 2022/2577 ustanawiające ramy służące przyspieszeniu wdrażania rozwiązań w zakresie energii odnawialnej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postępowań formalnych prowadzonych przez Komisję Europejską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na podstawie art. 258 TFUE i art. 260 TFUE.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na temat stanu wdrożenia dyrektyw UE i zobowiązań legislacyjnych wynikających z orzeczeń TSUE oraz uwag KE przekazywanych w ramach postępowania w trybie art. 258 TFUE lub art. 260 TFUE.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Ogólnych w dniu 12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C-530/23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Barało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22 grudnia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Ogólnych (polityka spójności) w dniu 30 listopada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dniach 18, 20 i 21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dniach 20 i 22 grudnia 2023 r.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grupie eksperckiej Komisji Europejskiej (ds. Geologicznego Składowania Dwutlenku Węgla_MKiŚ).</w:t>
            </w:r>
          </w:p>
          <w:p w:rsidR="00286A32" w:rsidRPr="003A6FBE" w:rsidRDefault="00286A32" w:rsidP="003A6FBE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zmieniającego rozporządzenie Parlamentu Europejskiego </w:t>
            </w:r>
            <w:r w:rsidR="002D399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Rady (UE) 2021/1232 w sprawie tymczasowego odstępstwa od niektórych przepisów dyrektywy 2002/58/WE do celów zwalczania niegodziwego traktowania dzieci w celach seksualnych w internecie</w:t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777).</w:t>
            </w:r>
          </w:p>
          <w:p w:rsidR="005862C3" w:rsidRPr="003A6FBE" w:rsidRDefault="00286A32" w:rsidP="003A6FBE">
            <w:pPr>
              <w:pStyle w:val="Akapitzlist"/>
              <w:numPr>
                <w:ilvl w:val="0"/>
                <w:numId w:val="44"/>
              </w:numPr>
              <w:ind w:left="714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Ogólnych (polityka spójności) w dniu 30 listopada 2023 r.</w:t>
            </w:r>
          </w:p>
          <w:p w:rsidR="009A3FD1" w:rsidRPr="003A6FBE" w:rsidRDefault="009A3FD1" w:rsidP="003A6FBE">
            <w:pPr>
              <w:spacing w:before="120" w:after="120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4BBD" w:rsidRPr="003A6FBE" w:rsidRDefault="003C4BBD" w:rsidP="003A6FBE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</w:p>
          <w:p w:rsidR="003A6FBE" w:rsidRDefault="003A6FBE" w:rsidP="003A6FBE">
            <w:pPr>
              <w:pStyle w:val="Akapitzlist"/>
              <w:numPr>
                <w:ilvl w:val="0"/>
                <w:numId w:val="44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Raport o pomocy publicznej w Polsce udzielonej przedsiębiorcom w 2022 r.</w:t>
            </w:r>
          </w:p>
          <w:p w:rsidR="003A6FBE" w:rsidRPr="003A6FBE" w:rsidRDefault="003A6FBE" w:rsidP="003A6FBE">
            <w:pPr>
              <w:pStyle w:val="Akapitzlist"/>
              <w:ind w:left="360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442B" w:rsidRPr="003A6FBE" w:rsidRDefault="00A73FE5" w:rsidP="003A6FBE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B71F9D" w:rsidRPr="003A6FBE">
              <w:rPr>
                <w:rFonts w:asciiTheme="minorHAnsi" w:hAnsiTheme="minorHAnsi" w:cstheme="minorHAnsi"/>
                <w:b/>
                <w:sz w:val="22"/>
                <w:szCs w:val="22"/>
              </w:rPr>
              <w:t>zgodnił oraz rekomendował Radzie Minis</w:t>
            </w:r>
            <w:r w:rsidR="00E935AC" w:rsidRPr="003A6F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trów rozpatrzenie następujących </w:t>
            </w:r>
            <w:r w:rsidR="00B71F9D" w:rsidRPr="003A6FBE">
              <w:rPr>
                <w:rFonts w:asciiTheme="minorHAnsi" w:hAnsiTheme="minorHAnsi" w:cstheme="minorHAnsi"/>
                <w:b/>
                <w:sz w:val="22"/>
                <w:szCs w:val="22"/>
              </w:rPr>
              <w:t>dokumentów:</w:t>
            </w:r>
          </w:p>
          <w:p w:rsidR="003A6FBE" w:rsidRPr="003A6FBE" w:rsidRDefault="003A6FBE" w:rsidP="003A6FBE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Program przygotowań RP do objęcia i sprawowania przewodnictwa w Radzie UE w I. połowie 2025 r.</w:t>
            </w:r>
          </w:p>
          <w:p w:rsidR="003A6FBE" w:rsidRPr="003A6FBE" w:rsidRDefault="003A6FBE" w:rsidP="003A6FBE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dokumentu wraz z protokołem rozbieżności.</w:t>
            </w:r>
          </w:p>
          <w:p w:rsidR="003A6FBE" w:rsidRPr="003A6FBE" w:rsidRDefault="003A6FBE" w:rsidP="003A6FBE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Założenia do skargi Rzeczypospolitej Polskiej o stwierdzenie nieważności dyrektywy Parlamentu Europejskiego i Rady (UE) 2023/1791 z dnia 13 września 2023 r. w sprawie efektywności energetycznej oraz zmieniającej rozporządzenie (UE) 2023/955.</w:t>
            </w:r>
          </w:p>
          <w:p w:rsidR="003A6FBE" w:rsidRPr="003A6FBE" w:rsidRDefault="003A6FBE" w:rsidP="003A6FBE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Komitet rekomendował RM rozpatrzenie skargi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A6FBE" w:rsidRPr="003A6FBE" w:rsidRDefault="003A6FBE" w:rsidP="003A6FBE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Założenia do skargi Rzeczypospolitej Polskiej o stwierdzenie nieważności rozporządzenia Parlamentu Europejskiego i Rady (UE) 2023/1804 z dnia 13 września 2023 r. w sprawie rozwoju infrastruktury paliw alternatywnych i uchylenia dyrektywy 2014/94/UE.</w:t>
            </w:r>
          </w:p>
          <w:p w:rsidR="003A6FBE" w:rsidRPr="003A6FBE" w:rsidRDefault="003A6FBE" w:rsidP="003A6FBE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Komitet rekomendował RM rozpatrzenie skargi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A6FBE" w:rsidRPr="003A6FBE" w:rsidRDefault="003A6FBE" w:rsidP="003A6FBE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stanowisku Polski na posiedzenie Rady Europejskiej w dniach 14-15 grudnia 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2023 r.</w:t>
            </w:r>
          </w:p>
          <w:p w:rsidR="003A6FBE" w:rsidRPr="003A6FBE" w:rsidRDefault="003A6FBE" w:rsidP="003A6FBE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Komitet udzielił rekomendacji RM do rozpatrzenia „Stanowiska Polski na posiedzenie Rady Europejskiej w dniach 14-15 grudnia 2023 r.”.</w:t>
            </w:r>
          </w:p>
          <w:p w:rsidR="003A6FBE" w:rsidRPr="003A6FBE" w:rsidRDefault="003A6FBE" w:rsidP="003A6FBE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stanowisku Polski na Szczyt Unia Europejska – Bałkany Zachodnie w dniu </w:t>
            </w:r>
            <w:r w:rsidR="002D399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>13 grudnia 2023 r.</w:t>
            </w:r>
          </w:p>
          <w:p w:rsidR="003A6FBE" w:rsidRPr="003A6FBE" w:rsidRDefault="003A6FBE" w:rsidP="003A6FBE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Komitet udzielił rekomendacji RM do rozpatrzenia „Stanowiska Polski na Szczyt Unia Europejska – Bałkany Zachodnie w dniu 13 grudnia 2023 r.”.</w:t>
            </w:r>
          </w:p>
          <w:p w:rsidR="003A6FBE" w:rsidRPr="003A6FBE" w:rsidRDefault="003A6FBE" w:rsidP="003A6FBE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odstąpienia przez Rzeczpospolitą Polską od wnoszenia skargi 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o stwierdzenie nieważności rozporzą</w:t>
            </w:r>
            <w:r w:rsidR="002D3992">
              <w:rPr>
                <w:rFonts w:asciiTheme="minorHAnsi" w:hAnsiTheme="minorHAnsi" w:cstheme="minorHAnsi"/>
                <w:sz w:val="22"/>
                <w:szCs w:val="22"/>
              </w:rPr>
              <w:t xml:space="preserve">dzenia Parlamentu Europejskiego </w:t>
            </w: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 Rady (UE) 2023/1804 z dnia 13 września 2023 r. w sprawie rozwoju infrastruktury paliw alternatywnych i uchylenia dyrektywy 2014/94/UE.</w:t>
            </w:r>
          </w:p>
          <w:p w:rsidR="003A6FBE" w:rsidRPr="003A6FBE" w:rsidRDefault="003A6FBE" w:rsidP="003A6FBE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odstąpienia od wnoszenia skargi.</w:t>
            </w:r>
          </w:p>
          <w:p w:rsidR="003A6FBE" w:rsidRPr="003A6FBE" w:rsidRDefault="003A6FBE" w:rsidP="003A6FBE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ws.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notyfikacji pr</w:t>
            </w:r>
            <w:r w:rsidR="002D399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zez Polskę zamiaru uczestnictwa </w:t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we wzmocnionej współpracy w zakresie Prokuratury Europejskiej, ustanowionej na mocy rozporządzenia Rady (UE) 2017/1939 z dnia 12 października 2017 r. wdrażającego wzmocnioną współpracę </w:t>
            </w:r>
            <w:r w:rsidR="002D399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FB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ustanowienia Prokuratury Europejskiej</w:t>
            </w:r>
            <w:r w:rsidRPr="003A6FB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3A6FBE" w:rsidRPr="003A6FBE" w:rsidRDefault="003A6FBE" w:rsidP="003A6FBE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Komitet udzielił rekomendacji do rozpatrzenia dokumentu przez RM.</w:t>
            </w:r>
          </w:p>
          <w:p w:rsidR="003A6FBE" w:rsidRPr="003A6FBE" w:rsidRDefault="003A6FBE" w:rsidP="003A6FBE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hAnsiTheme="minorHAnsi" w:cstheme="minorHAnsi"/>
                <w:sz w:val="22"/>
                <w:szCs w:val="22"/>
              </w:rPr>
              <w:t>Informacja o przebiegu i wynikach posiedzenia Rady Europejskiej w dniach 14-15 grudnia 2023 r.</w:t>
            </w:r>
          </w:p>
          <w:p w:rsidR="003C4BBD" w:rsidRPr="003A6FBE" w:rsidRDefault="003A6FBE" w:rsidP="003A6FBE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FBE">
              <w:rPr>
                <w:rFonts w:asciiTheme="minorHAnsi" w:eastAsia="Calibri" w:hAnsiTheme="minorHAnsi" w:cstheme="minorHAnsi"/>
                <w:sz w:val="22"/>
                <w:szCs w:val="22"/>
              </w:rPr>
              <w:t>Komitet udzielił rekomendacji RM do rozpatrzenia „Sprawozdania z posiedzenia Rady Europejskiej w dniach 14-15 grudnia 2023 r.”.</w:t>
            </w:r>
          </w:p>
        </w:tc>
      </w:tr>
    </w:tbl>
    <w:p w:rsidR="005B7044" w:rsidRPr="003A6FBE" w:rsidRDefault="005B7044" w:rsidP="003A6FBE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3A6FBE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8B" w:rsidRDefault="007A318B">
      <w:r>
        <w:separator/>
      </w:r>
    </w:p>
  </w:endnote>
  <w:endnote w:type="continuationSeparator" w:id="0">
    <w:p w:rsidR="007A318B" w:rsidRDefault="007A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684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8B" w:rsidRDefault="007A318B">
      <w:r>
        <w:separator/>
      </w:r>
    </w:p>
  </w:footnote>
  <w:footnote w:type="continuationSeparator" w:id="0">
    <w:p w:rsidR="007A318B" w:rsidRDefault="007A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2D"/>
    <w:multiLevelType w:val="hybridMultilevel"/>
    <w:tmpl w:val="61C0779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73693"/>
    <w:multiLevelType w:val="hybridMultilevel"/>
    <w:tmpl w:val="B750F76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14D8F"/>
    <w:multiLevelType w:val="hybridMultilevel"/>
    <w:tmpl w:val="71FC5440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302"/>
    <w:multiLevelType w:val="hybridMultilevel"/>
    <w:tmpl w:val="466AAC3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4A7142"/>
    <w:multiLevelType w:val="hybridMultilevel"/>
    <w:tmpl w:val="3BCED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867EE7"/>
    <w:multiLevelType w:val="hybridMultilevel"/>
    <w:tmpl w:val="7FF08524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D8C613E"/>
    <w:multiLevelType w:val="hybridMultilevel"/>
    <w:tmpl w:val="805247A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16360"/>
    <w:multiLevelType w:val="hybridMultilevel"/>
    <w:tmpl w:val="2070B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A91CC3"/>
    <w:multiLevelType w:val="hybridMultilevel"/>
    <w:tmpl w:val="6A84C89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66788"/>
    <w:multiLevelType w:val="hybridMultilevel"/>
    <w:tmpl w:val="398AF6C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EDB7127"/>
    <w:multiLevelType w:val="hybridMultilevel"/>
    <w:tmpl w:val="8AD22B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82CB4"/>
    <w:multiLevelType w:val="hybridMultilevel"/>
    <w:tmpl w:val="D7E29C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B3FFD"/>
    <w:multiLevelType w:val="hybridMultilevel"/>
    <w:tmpl w:val="E892DA84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54F74A6"/>
    <w:multiLevelType w:val="hybridMultilevel"/>
    <w:tmpl w:val="FCA254AE"/>
    <w:lvl w:ilvl="0" w:tplc="7310CC88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55B4244"/>
    <w:multiLevelType w:val="hybridMultilevel"/>
    <w:tmpl w:val="F086C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343BF"/>
    <w:multiLevelType w:val="hybridMultilevel"/>
    <w:tmpl w:val="683E9AD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91084"/>
    <w:multiLevelType w:val="hybridMultilevel"/>
    <w:tmpl w:val="4A2A9EA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72318"/>
    <w:multiLevelType w:val="hybridMultilevel"/>
    <w:tmpl w:val="2A7EA02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3408B"/>
    <w:multiLevelType w:val="hybridMultilevel"/>
    <w:tmpl w:val="C966E048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500DD"/>
    <w:multiLevelType w:val="hybridMultilevel"/>
    <w:tmpl w:val="B122D8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8E0BB0"/>
    <w:multiLevelType w:val="hybridMultilevel"/>
    <w:tmpl w:val="1CF08E9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330D7A"/>
    <w:multiLevelType w:val="hybridMultilevel"/>
    <w:tmpl w:val="504A7A1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5541D"/>
    <w:multiLevelType w:val="hybridMultilevel"/>
    <w:tmpl w:val="5CAA55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105AE"/>
    <w:multiLevelType w:val="hybridMultilevel"/>
    <w:tmpl w:val="08EEDC7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D7698"/>
    <w:multiLevelType w:val="hybridMultilevel"/>
    <w:tmpl w:val="F330349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50A84"/>
    <w:multiLevelType w:val="hybridMultilevel"/>
    <w:tmpl w:val="50AEA6A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37129"/>
    <w:multiLevelType w:val="hybridMultilevel"/>
    <w:tmpl w:val="E6ECAA2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027D0"/>
    <w:multiLevelType w:val="hybridMultilevel"/>
    <w:tmpl w:val="3490C1A4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57D7"/>
    <w:multiLevelType w:val="hybridMultilevel"/>
    <w:tmpl w:val="1124EA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B5EA5"/>
    <w:multiLevelType w:val="hybridMultilevel"/>
    <w:tmpl w:val="6BA06B5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B785C"/>
    <w:multiLevelType w:val="hybridMultilevel"/>
    <w:tmpl w:val="8C6A48B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977B3"/>
    <w:multiLevelType w:val="hybridMultilevel"/>
    <w:tmpl w:val="C9DEE8E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97FD6"/>
    <w:multiLevelType w:val="hybridMultilevel"/>
    <w:tmpl w:val="D01C3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E14CA2"/>
    <w:multiLevelType w:val="hybridMultilevel"/>
    <w:tmpl w:val="481E30BA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7BB2620"/>
    <w:multiLevelType w:val="hybridMultilevel"/>
    <w:tmpl w:val="B174433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51111"/>
    <w:multiLevelType w:val="hybridMultilevel"/>
    <w:tmpl w:val="C2B072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E75BF"/>
    <w:multiLevelType w:val="hybridMultilevel"/>
    <w:tmpl w:val="DC2660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D26A1"/>
    <w:multiLevelType w:val="hybridMultilevel"/>
    <w:tmpl w:val="749049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10188"/>
    <w:multiLevelType w:val="hybridMultilevel"/>
    <w:tmpl w:val="B41C3F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54C18"/>
    <w:multiLevelType w:val="hybridMultilevel"/>
    <w:tmpl w:val="E53006F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6"/>
  </w:num>
  <w:num w:numId="4">
    <w:abstractNumId w:val="14"/>
  </w:num>
  <w:num w:numId="5">
    <w:abstractNumId w:val="36"/>
  </w:num>
  <w:num w:numId="6">
    <w:abstractNumId w:val="30"/>
  </w:num>
  <w:num w:numId="7">
    <w:abstractNumId w:val="2"/>
  </w:num>
  <w:num w:numId="8">
    <w:abstractNumId w:val="40"/>
  </w:num>
  <w:num w:numId="9">
    <w:abstractNumId w:val="42"/>
  </w:num>
  <w:num w:numId="10">
    <w:abstractNumId w:val="20"/>
  </w:num>
  <w:num w:numId="11">
    <w:abstractNumId w:val="24"/>
  </w:num>
  <w:num w:numId="12">
    <w:abstractNumId w:val="41"/>
  </w:num>
  <w:num w:numId="13">
    <w:abstractNumId w:val="34"/>
  </w:num>
  <w:num w:numId="14">
    <w:abstractNumId w:val="11"/>
  </w:num>
  <w:num w:numId="15">
    <w:abstractNumId w:val="27"/>
  </w:num>
  <w:num w:numId="16">
    <w:abstractNumId w:val="37"/>
  </w:num>
  <w:num w:numId="17">
    <w:abstractNumId w:val="12"/>
  </w:num>
  <w:num w:numId="18">
    <w:abstractNumId w:val="9"/>
  </w:num>
  <w:num w:numId="19">
    <w:abstractNumId w:val="18"/>
  </w:num>
  <w:num w:numId="20">
    <w:abstractNumId w:val="13"/>
  </w:num>
  <w:num w:numId="21">
    <w:abstractNumId w:val="45"/>
  </w:num>
  <w:num w:numId="22">
    <w:abstractNumId w:val="39"/>
  </w:num>
  <w:num w:numId="23">
    <w:abstractNumId w:val="1"/>
  </w:num>
  <w:num w:numId="24">
    <w:abstractNumId w:val="21"/>
  </w:num>
  <w:num w:numId="25">
    <w:abstractNumId w:val="4"/>
  </w:num>
  <w:num w:numId="26">
    <w:abstractNumId w:val="35"/>
  </w:num>
  <w:num w:numId="27">
    <w:abstractNumId w:val="29"/>
  </w:num>
  <w:num w:numId="28">
    <w:abstractNumId w:val="48"/>
  </w:num>
  <w:num w:numId="29">
    <w:abstractNumId w:val="23"/>
  </w:num>
  <w:num w:numId="30">
    <w:abstractNumId w:val="38"/>
  </w:num>
  <w:num w:numId="31">
    <w:abstractNumId w:val="43"/>
  </w:num>
  <w:num w:numId="32">
    <w:abstractNumId w:val="0"/>
  </w:num>
  <w:num w:numId="33">
    <w:abstractNumId w:val="8"/>
  </w:num>
  <w:num w:numId="34">
    <w:abstractNumId w:val="3"/>
  </w:num>
  <w:num w:numId="35">
    <w:abstractNumId w:val="28"/>
  </w:num>
  <w:num w:numId="36">
    <w:abstractNumId w:val="49"/>
  </w:num>
  <w:num w:numId="37">
    <w:abstractNumId w:val="26"/>
  </w:num>
  <w:num w:numId="38">
    <w:abstractNumId w:val="32"/>
  </w:num>
  <w:num w:numId="39">
    <w:abstractNumId w:val="46"/>
  </w:num>
  <w:num w:numId="40">
    <w:abstractNumId w:val="19"/>
  </w:num>
  <w:num w:numId="41">
    <w:abstractNumId w:val="16"/>
  </w:num>
  <w:num w:numId="42">
    <w:abstractNumId w:val="47"/>
  </w:num>
  <w:num w:numId="43">
    <w:abstractNumId w:val="44"/>
  </w:num>
  <w:num w:numId="44">
    <w:abstractNumId w:val="15"/>
  </w:num>
  <w:num w:numId="45">
    <w:abstractNumId w:val="17"/>
  </w:num>
  <w:num w:numId="46">
    <w:abstractNumId w:val="25"/>
  </w:num>
  <w:num w:numId="47">
    <w:abstractNumId w:val="7"/>
  </w:num>
  <w:num w:numId="48">
    <w:abstractNumId w:val="10"/>
  </w:num>
  <w:num w:numId="49">
    <w:abstractNumId w:val="33"/>
  </w:num>
  <w:num w:numId="5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C6848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18B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F36C2-BE80-4BAE-8290-7B6FE0A2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2401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2019-04-17T12:04:00Z</cp:lastPrinted>
  <dcterms:created xsi:type="dcterms:W3CDTF">2024-01-19T10:20:00Z</dcterms:created>
  <dcterms:modified xsi:type="dcterms:W3CDTF">2024-01-19T10:40:00Z</dcterms:modified>
</cp:coreProperties>
</file>