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A2" w:rsidRDefault="00365530" w:rsidP="00CC5AA2">
      <w:pPr>
        <w:spacing w:before="60"/>
        <w:jc w:val="center"/>
        <w:rPr>
          <w:rFonts w:cs="Calibri"/>
          <w:b/>
          <w:sz w:val="24"/>
          <w:szCs w:val="24"/>
        </w:rPr>
      </w:pPr>
    </w:p>
    <w:p w:rsidR="00D850ED" w:rsidRPr="00D850ED" w:rsidRDefault="00365530" w:rsidP="00D850ED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Calibri"/>
          <w:b/>
          <w:bCs/>
          <w:color w:val="000000"/>
          <w:szCs w:val="24"/>
          <w:lang w:eastAsia="pl-PL"/>
        </w:rPr>
      </w:pPr>
      <w:r w:rsidRPr="00D850ED">
        <w:rPr>
          <w:rFonts w:eastAsia="Times New Roman" w:cs="Calibri"/>
          <w:noProof/>
          <w:szCs w:val="24"/>
          <w:lang w:eastAsia="pl-PL"/>
        </w:rPr>
        <w:drawing>
          <wp:inline distT="0" distB="0" distL="0" distR="0">
            <wp:extent cx="527050" cy="5461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ED" w:rsidRPr="00D850ED" w:rsidRDefault="00365530" w:rsidP="00D850ED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 w:cs="Calibri"/>
          <w:b/>
          <w:bCs/>
        </w:rPr>
      </w:pPr>
      <w:r w:rsidRPr="00D850ED">
        <w:rPr>
          <w:rFonts w:eastAsiaTheme="minorHAnsi" w:cs="Calibri"/>
          <w:b/>
          <w:bCs/>
        </w:rPr>
        <w:t>WOJEWODA MAZOWIECKI</w:t>
      </w:r>
    </w:p>
    <w:p w:rsidR="00D850ED" w:rsidRPr="00D850ED" w:rsidRDefault="00365530" w:rsidP="00D850ED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 w:cs="Calibri"/>
          <w:b/>
          <w:bCs/>
          <w:sz w:val="16"/>
          <w:szCs w:val="16"/>
        </w:rPr>
      </w:pPr>
      <w:r w:rsidRPr="00D850ED">
        <w:rPr>
          <w:rFonts w:eastAsiaTheme="minorHAnsi" w:cs="Calibri"/>
          <w:b/>
          <w:bCs/>
          <w:sz w:val="16"/>
          <w:szCs w:val="16"/>
        </w:rPr>
        <w:t xml:space="preserve"> </w:t>
      </w:r>
    </w:p>
    <w:p w:rsidR="00D850ED" w:rsidRPr="00D850ED" w:rsidRDefault="00365530" w:rsidP="00D850ED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Calibri"/>
          <w:b/>
          <w:color w:val="000000"/>
          <w:szCs w:val="24"/>
          <w:lang w:eastAsia="pl-PL"/>
        </w:rPr>
      </w:pPr>
    </w:p>
    <w:p w:rsidR="00D850ED" w:rsidRPr="00D850ED" w:rsidRDefault="00365530" w:rsidP="00D850ED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Calibri"/>
          <w:b/>
          <w:color w:val="000000"/>
          <w:szCs w:val="24"/>
          <w:lang w:eastAsia="pl-PL"/>
        </w:rPr>
      </w:pPr>
    </w:p>
    <w:p w:rsidR="00D850ED" w:rsidRPr="00D850ED" w:rsidRDefault="00365530" w:rsidP="00D850ED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Calibri"/>
          <w:b/>
          <w:color w:val="000000"/>
          <w:szCs w:val="24"/>
          <w:lang w:eastAsia="pl-PL"/>
        </w:rPr>
      </w:pPr>
    </w:p>
    <w:p w:rsidR="00D850ED" w:rsidRPr="00D850ED" w:rsidRDefault="00365530" w:rsidP="00D850ED">
      <w:pPr>
        <w:spacing w:line="259" w:lineRule="auto"/>
        <w:ind w:right="-567" w:firstLine="0"/>
        <w:jc w:val="left"/>
        <w:rPr>
          <w:rFonts w:eastAsiaTheme="minorHAnsi" w:cs="Calibri"/>
          <w:szCs w:val="24"/>
        </w:rPr>
      </w:pPr>
      <w:r w:rsidRPr="00D850ED">
        <w:rPr>
          <w:rFonts w:eastAsiaTheme="minorHAnsi" w:cs="Calibri"/>
          <w:szCs w:val="24"/>
        </w:rPr>
        <w:t xml:space="preserve">                   </w:t>
      </w:r>
      <w:r>
        <w:rPr>
          <w:rFonts w:eastAsiaTheme="minorHAnsi" w:cs="Calibri"/>
          <w:szCs w:val="24"/>
        </w:rPr>
        <w:t xml:space="preserve">      </w:t>
      </w:r>
      <w:r w:rsidRPr="00D850ED">
        <w:rPr>
          <w:rFonts w:eastAsiaTheme="minorHAnsi" w:cs="Calibri"/>
          <w:szCs w:val="24"/>
        </w:rPr>
        <w:t xml:space="preserve">Warszawa,  </w:t>
      </w:r>
      <w:bookmarkStart w:id="0" w:name="ezdDataPodpisu"/>
      <w:r w:rsidRPr="00D850ED">
        <w:rPr>
          <w:rFonts w:eastAsiaTheme="minorHAnsi" w:cs="Calibri"/>
          <w:szCs w:val="24"/>
        </w:rPr>
        <w:t>03 marca 2021 r.</w:t>
      </w:r>
      <w:bookmarkEnd w:id="0"/>
      <w:r w:rsidRPr="00D850ED">
        <w:rPr>
          <w:rFonts w:eastAsiaTheme="minorHAnsi" w:cs="Calibri"/>
          <w:szCs w:val="24"/>
        </w:rPr>
        <w:t xml:space="preserve"> </w:t>
      </w:r>
    </w:p>
    <w:p w:rsidR="002C1507" w:rsidRDefault="00365530" w:rsidP="004C5D28">
      <w:pPr>
        <w:spacing w:line="259" w:lineRule="auto"/>
        <w:ind w:right="-567" w:firstLine="0"/>
        <w:jc w:val="left"/>
        <w:rPr>
          <w:rFonts w:eastAsiaTheme="minorHAnsi" w:cs="Calibri"/>
          <w:szCs w:val="24"/>
        </w:rPr>
      </w:pPr>
      <w:r w:rsidRPr="00D850ED"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 xml:space="preserve">    </w:t>
      </w:r>
    </w:p>
    <w:p w:rsidR="002C1507" w:rsidRDefault="00365530" w:rsidP="004C5D28">
      <w:pPr>
        <w:spacing w:line="259" w:lineRule="auto"/>
        <w:ind w:right="-567" w:firstLine="0"/>
        <w:jc w:val="left"/>
        <w:rPr>
          <w:rFonts w:eastAsiaTheme="minorHAnsi" w:cs="Calibri"/>
          <w:szCs w:val="24"/>
        </w:rPr>
      </w:pPr>
    </w:p>
    <w:p w:rsidR="00D850ED" w:rsidRPr="00D850ED" w:rsidRDefault="00365530" w:rsidP="004C5D28">
      <w:pPr>
        <w:spacing w:line="259" w:lineRule="auto"/>
        <w:ind w:right="-567" w:firstLine="0"/>
        <w:jc w:val="left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                       </w:t>
      </w:r>
      <w:bookmarkStart w:id="1" w:name="_GoBack"/>
      <w:r>
        <w:rPr>
          <w:rFonts w:eastAsia="Times New Roman" w:cs="Calibri"/>
          <w:sz w:val="24"/>
          <w:szCs w:val="24"/>
          <w:lang w:eastAsia="pl-PL"/>
        </w:rPr>
        <w:t>WNP-I.4131</w:t>
      </w:r>
      <w:r>
        <w:rPr>
          <w:rFonts w:eastAsia="Times New Roman" w:cs="Calibri"/>
          <w:sz w:val="24"/>
          <w:szCs w:val="24"/>
          <w:lang w:eastAsia="pl-PL"/>
        </w:rPr>
        <w:t>.33.</w:t>
      </w:r>
      <w:r>
        <w:rPr>
          <w:rFonts w:eastAsia="Times New Roman" w:cs="Calibri"/>
          <w:sz w:val="24"/>
          <w:szCs w:val="24"/>
          <w:lang w:eastAsia="pl-PL"/>
        </w:rPr>
        <w:t>2021</w:t>
      </w:r>
      <w:r w:rsidRPr="00D850ED">
        <w:rPr>
          <w:rFonts w:eastAsia="Times New Roman" w:cs="Calibri"/>
          <w:sz w:val="24"/>
          <w:szCs w:val="24"/>
          <w:lang w:eastAsia="pl-PL"/>
        </w:rPr>
        <w:t>.KS</w:t>
      </w:r>
      <w:bookmarkEnd w:id="1"/>
    </w:p>
    <w:p w:rsidR="00D850ED" w:rsidRPr="00D850ED" w:rsidRDefault="00365530" w:rsidP="00D850ED">
      <w:pPr>
        <w:ind w:firstLine="0"/>
        <w:jc w:val="left"/>
        <w:rPr>
          <w:rFonts w:eastAsia="Times New Roman" w:cs="Calibri"/>
          <w:sz w:val="24"/>
          <w:szCs w:val="24"/>
          <w:lang w:eastAsia="pl-PL"/>
        </w:rPr>
      </w:pPr>
    </w:p>
    <w:p w:rsidR="002C1507" w:rsidRDefault="00365530" w:rsidP="00D850ED">
      <w:pPr>
        <w:ind w:left="5664" w:firstLine="0"/>
        <w:jc w:val="left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 xml:space="preserve">Rada Miejska </w:t>
      </w:r>
    </w:p>
    <w:p w:rsidR="00D850ED" w:rsidRPr="00D850ED" w:rsidRDefault="00365530" w:rsidP="00D850ED">
      <w:pPr>
        <w:ind w:left="5664" w:firstLine="0"/>
        <w:jc w:val="lef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w Ożarowie Mazowieckim</w:t>
      </w:r>
    </w:p>
    <w:p w:rsidR="00D850ED" w:rsidRPr="00D850ED" w:rsidRDefault="00365530" w:rsidP="00D850ED">
      <w:pPr>
        <w:autoSpaceDE w:val="0"/>
        <w:autoSpaceDN w:val="0"/>
        <w:adjustRightInd w:val="0"/>
        <w:ind w:left="5664" w:firstLine="0"/>
        <w:jc w:val="left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ul. Kolejowa 2</w:t>
      </w:r>
    </w:p>
    <w:p w:rsidR="00D850ED" w:rsidRPr="00D850ED" w:rsidRDefault="00365530" w:rsidP="00D850ED">
      <w:pPr>
        <w:autoSpaceDE w:val="0"/>
        <w:autoSpaceDN w:val="0"/>
        <w:adjustRightInd w:val="0"/>
        <w:ind w:left="5664" w:firstLine="0"/>
        <w:jc w:val="left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05-850 Ożarów Mazowiecki</w:t>
      </w:r>
    </w:p>
    <w:p w:rsidR="00D850ED" w:rsidRPr="00D850ED" w:rsidRDefault="00365530" w:rsidP="00D850ED">
      <w:pPr>
        <w:keepNext/>
        <w:ind w:left="2832" w:firstLine="708"/>
        <w:jc w:val="left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D850ED" w:rsidRPr="00D850ED" w:rsidRDefault="00365530" w:rsidP="00D850ED">
      <w:pPr>
        <w:autoSpaceDE w:val="0"/>
        <w:autoSpaceDN w:val="0"/>
        <w:adjustRightInd w:val="0"/>
        <w:spacing w:line="240" w:lineRule="auto"/>
        <w:ind w:left="4248" w:firstLine="708"/>
        <w:jc w:val="left"/>
        <w:rPr>
          <w:rFonts w:eastAsia="Times New Roman" w:cs="Calibri"/>
          <w:sz w:val="24"/>
          <w:szCs w:val="24"/>
          <w:lang w:eastAsia="pl-PL"/>
        </w:rPr>
      </w:pPr>
    </w:p>
    <w:p w:rsidR="00D850ED" w:rsidRPr="00D850ED" w:rsidRDefault="00365530" w:rsidP="00D850ED">
      <w:pPr>
        <w:keepNext/>
        <w:ind w:right="-468" w:firstLine="0"/>
        <w:jc w:val="center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D850ED">
        <w:rPr>
          <w:rFonts w:eastAsia="Times New Roman" w:cs="Calibri"/>
          <w:b/>
          <w:bCs/>
          <w:sz w:val="24"/>
          <w:szCs w:val="24"/>
          <w:lang w:eastAsia="pl-PL"/>
        </w:rPr>
        <w:t>Rozstrzygnięcie nadzorcze</w:t>
      </w:r>
    </w:p>
    <w:p w:rsidR="00D850ED" w:rsidRPr="00D850ED" w:rsidRDefault="00365530" w:rsidP="00D850ED">
      <w:pPr>
        <w:ind w:firstLine="0"/>
        <w:rPr>
          <w:rFonts w:eastAsia="Times New Roman" w:cs="Calibri"/>
          <w:sz w:val="24"/>
          <w:szCs w:val="24"/>
          <w:lang w:eastAsia="pl-PL"/>
        </w:rPr>
      </w:pPr>
    </w:p>
    <w:p w:rsidR="00D850ED" w:rsidRPr="00D850ED" w:rsidRDefault="00365530" w:rsidP="00D850ED">
      <w:pPr>
        <w:ind w:firstLine="708"/>
        <w:rPr>
          <w:rFonts w:eastAsia="Times New Roman" w:cs="Calibri"/>
          <w:sz w:val="24"/>
          <w:szCs w:val="24"/>
          <w:lang w:eastAsia="pl-PL"/>
        </w:rPr>
      </w:pPr>
      <w:r w:rsidRPr="00D850ED">
        <w:rPr>
          <w:rFonts w:eastAsia="Times New Roman" w:cs="Calibri"/>
          <w:sz w:val="24"/>
          <w:szCs w:val="24"/>
          <w:lang w:eastAsia="pl-PL"/>
        </w:rPr>
        <w:t xml:space="preserve">Działając na podstawie art. 91 ust. 1 w związku z art. 86 ustawy z dnia 8 marca 1990 r. </w:t>
      </w:r>
      <w:r w:rsidRPr="00D850ED">
        <w:rPr>
          <w:rFonts w:eastAsia="Times New Roman" w:cs="Calibri"/>
          <w:sz w:val="24"/>
          <w:szCs w:val="24"/>
          <w:lang w:eastAsia="pl-PL"/>
        </w:rPr>
        <w:br/>
        <w:t>o samorządzie gminnym (Dz. U. z 2020 r. poz. 713, z późn.zm.)</w:t>
      </w:r>
    </w:p>
    <w:p w:rsidR="002C1507" w:rsidRDefault="00365530" w:rsidP="00D850ED">
      <w:pPr>
        <w:ind w:right="-468" w:firstLine="0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D850ED" w:rsidRPr="00D850ED" w:rsidRDefault="00365530" w:rsidP="00D850ED">
      <w:pPr>
        <w:ind w:right="-468" w:firstLine="0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850ED">
        <w:rPr>
          <w:rFonts w:eastAsia="Times New Roman" w:cs="Calibri"/>
          <w:b/>
          <w:bCs/>
          <w:sz w:val="24"/>
          <w:szCs w:val="24"/>
          <w:lang w:eastAsia="pl-PL"/>
        </w:rPr>
        <w:t>stwierdzam nieważność</w:t>
      </w:r>
    </w:p>
    <w:p w:rsidR="00CC5AA2" w:rsidRDefault="00365530" w:rsidP="002324BB">
      <w:pPr>
        <w:ind w:firstLine="0"/>
        <w:rPr>
          <w:rFonts w:asciiTheme="minorHAnsi" w:eastAsiaTheme="minorHAnsi" w:hAnsiTheme="minorHAnsi" w:cstheme="minorBidi"/>
          <w:i/>
        </w:rPr>
      </w:pPr>
      <w:r w:rsidRPr="00D850ED">
        <w:rPr>
          <w:rFonts w:cs="Calibri"/>
          <w:sz w:val="24"/>
          <w:szCs w:val="24"/>
          <w:lang w:eastAsia="pl-PL"/>
        </w:rPr>
        <w:t xml:space="preserve">uchwały </w:t>
      </w:r>
      <w:r>
        <w:rPr>
          <w:rFonts w:cs="Calibri"/>
          <w:sz w:val="24"/>
          <w:szCs w:val="24"/>
          <w:lang w:eastAsia="pl-PL"/>
        </w:rPr>
        <w:t>Nr XXXV/333/21 Rady Miejskiej w Ożarowie Mazowieckim z dnia 27 stycznia 20</w:t>
      </w:r>
      <w:r>
        <w:rPr>
          <w:rFonts w:cs="Calibri"/>
          <w:sz w:val="24"/>
          <w:szCs w:val="24"/>
          <w:lang w:eastAsia="pl-PL"/>
        </w:rPr>
        <w:t>21</w:t>
      </w:r>
      <w:r w:rsidRPr="00D850ED">
        <w:rPr>
          <w:rFonts w:cs="Calibri"/>
          <w:sz w:val="24"/>
          <w:szCs w:val="24"/>
          <w:lang w:eastAsia="pl-PL"/>
        </w:rPr>
        <w:t xml:space="preserve"> r. </w:t>
      </w:r>
      <w:r w:rsidRPr="00D850ED">
        <w:rPr>
          <w:rFonts w:cs="Calibri"/>
          <w:i/>
          <w:sz w:val="24"/>
          <w:szCs w:val="24"/>
          <w:lang w:eastAsia="pl-PL"/>
        </w:rPr>
        <w:t xml:space="preserve">w sprawie </w:t>
      </w:r>
      <w:r>
        <w:rPr>
          <w:rFonts w:cs="Calibri"/>
          <w:i/>
          <w:sz w:val="24"/>
          <w:szCs w:val="24"/>
          <w:lang w:eastAsia="pl-PL"/>
        </w:rPr>
        <w:t>zasad wynaj</w:t>
      </w:r>
      <w:r>
        <w:rPr>
          <w:rFonts w:cs="Calibri"/>
          <w:i/>
          <w:sz w:val="24"/>
          <w:szCs w:val="24"/>
          <w:lang w:eastAsia="pl-PL"/>
        </w:rPr>
        <w:t>mowania lokali wchodzących w sk</w:t>
      </w:r>
      <w:r>
        <w:rPr>
          <w:rFonts w:cs="Calibri"/>
          <w:i/>
          <w:sz w:val="24"/>
          <w:szCs w:val="24"/>
          <w:lang w:eastAsia="pl-PL"/>
        </w:rPr>
        <w:t>ład mieszkaniowego zaso</w:t>
      </w:r>
      <w:r>
        <w:rPr>
          <w:rFonts w:cs="Calibri"/>
          <w:i/>
          <w:sz w:val="24"/>
          <w:szCs w:val="24"/>
          <w:lang w:eastAsia="pl-PL"/>
        </w:rPr>
        <w:t>bu Gminy Ożarów Mazowiecki</w:t>
      </w:r>
      <w:r>
        <w:rPr>
          <w:rFonts w:cs="Calibri"/>
          <w:i/>
          <w:sz w:val="24"/>
          <w:szCs w:val="24"/>
          <w:lang w:eastAsia="pl-PL"/>
        </w:rPr>
        <w:t>,</w:t>
      </w:r>
      <w:r>
        <w:rPr>
          <w:rFonts w:cs="Calibri"/>
          <w:i/>
          <w:sz w:val="24"/>
          <w:szCs w:val="24"/>
          <w:lang w:eastAsia="pl-PL"/>
        </w:rPr>
        <w:t xml:space="preserve"> </w:t>
      </w:r>
      <w:r w:rsidRPr="00C53CF2">
        <w:rPr>
          <w:rFonts w:cs="Calibri"/>
          <w:sz w:val="24"/>
          <w:szCs w:val="24"/>
          <w:lang w:eastAsia="pl-PL"/>
        </w:rPr>
        <w:t>w zakresie § 7 ust. 3 pkt 1 Załącznika do uchwały</w:t>
      </w:r>
      <w:r>
        <w:rPr>
          <w:rFonts w:cs="Calibri"/>
          <w:i/>
          <w:sz w:val="24"/>
          <w:szCs w:val="24"/>
          <w:lang w:eastAsia="pl-PL"/>
        </w:rPr>
        <w:t>.</w:t>
      </w:r>
    </w:p>
    <w:p w:rsidR="002324BB" w:rsidRPr="002324BB" w:rsidRDefault="00365530" w:rsidP="002324BB">
      <w:pPr>
        <w:ind w:firstLine="0"/>
        <w:rPr>
          <w:rFonts w:asciiTheme="minorHAnsi" w:eastAsiaTheme="minorHAnsi" w:hAnsiTheme="minorHAnsi" w:cstheme="minorBidi"/>
          <w:i/>
        </w:rPr>
      </w:pPr>
    </w:p>
    <w:p w:rsidR="00CC5AA2" w:rsidRPr="004D4E25" w:rsidRDefault="00365530" w:rsidP="00CC5AA2">
      <w:pPr>
        <w:spacing w:before="60"/>
        <w:jc w:val="center"/>
        <w:rPr>
          <w:rFonts w:cs="Calibri"/>
          <w:b/>
          <w:sz w:val="24"/>
          <w:szCs w:val="24"/>
        </w:rPr>
      </w:pPr>
      <w:r w:rsidRPr="004D4E25">
        <w:rPr>
          <w:rFonts w:cs="Calibri"/>
          <w:b/>
          <w:sz w:val="24"/>
          <w:szCs w:val="24"/>
        </w:rPr>
        <w:t>UZASADNIENIE</w:t>
      </w:r>
    </w:p>
    <w:p w:rsidR="00CC5AA2" w:rsidRPr="004D4E25" w:rsidRDefault="00365530" w:rsidP="00CC5AA2">
      <w:pPr>
        <w:rPr>
          <w:rFonts w:cs="Calibri"/>
          <w:sz w:val="24"/>
          <w:szCs w:val="24"/>
        </w:rPr>
      </w:pPr>
      <w:r w:rsidRPr="004D4E25">
        <w:rPr>
          <w:rFonts w:cs="Calibri"/>
          <w:sz w:val="24"/>
          <w:szCs w:val="24"/>
        </w:rPr>
        <w:t xml:space="preserve">Na sesji, która odbyła się w dniu </w:t>
      </w:r>
      <w:r>
        <w:rPr>
          <w:rFonts w:cs="Calibri"/>
          <w:sz w:val="24"/>
          <w:szCs w:val="24"/>
        </w:rPr>
        <w:t>27 stycznia 2021</w:t>
      </w:r>
      <w:r w:rsidRPr="004D4E25">
        <w:rPr>
          <w:rFonts w:cs="Calibri"/>
          <w:sz w:val="24"/>
          <w:szCs w:val="24"/>
        </w:rPr>
        <w:t xml:space="preserve"> r.</w:t>
      </w:r>
      <w:r>
        <w:rPr>
          <w:rFonts w:cs="Calibri"/>
          <w:sz w:val="24"/>
          <w:szCs w:val="24"/>
        </w:rPr>
        <w:t xml:space="preserve"> </w:t>
      </w:r>
      <w:r w:rsidRPr="004D4E25">
        <w:rPr>
          <w:rFonts w:cs="Calibri"/>
          <w:sz w:val="24"/>
          <w:szCs w:val="24"/>
        </w:rPr>
        <w:t>Rada</w:t>
      </w:r>
      <w:r>
        <w:rPr>
          <w:rFonts w:cs="Calibri"/>
          <w:sz w:val="24"/>
          <w:szCs w:val="24"/>
        </w:rPr>
        <w:t xml:space="preserve"> Miejska w Ożarowie Mazowieckim</w:t>
      </w:r>
      <w:r>
        <w:rPr>
          <w:rFonts w:cs="Calibri"/>
          <w:sz w:val="24"/>
          <w:szCs w:val="24"/>
        </w:rPr>
        <w:t xml:space="preserve"> </w:t>
      </w:r>
      <w:r w:rsidRPr="004D4E25">
        <w:rPr>
          <w:rFonts w:cs="Calibri"/>
          <w:sz w:val="24"/>
          <w:szCs w:val="24"/>
        </w:rPr>
        <w:t>podjęła uchwałę</w:t>
      </w:r>
      <w:r w:rsidRPr="00D850ED">
        <w:rPr>
          <w:rFonts w:cs="Calibri"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  <w:lang w:eastAsia="pl-PL"/>
        </w:rPr>
        <w:t xml:space="preserve">Nr XXXV/333/21 </w:t>
      </w:r>
      <w:r w:rsidRPr="00D850ED">
        <w:rPr>
          <w:rFonts w:cs="Calibri"/>
          <w:i/>
          <w:sz w:val="24"/>
          <w:szCs w:val="24"/>
          <w:lang w:eastAsia="pl-PL"/>
        </w:rPr>
        <w:t xml:space="preserve">w sprawie </w:t>
      </w:r>
      <w:r>
        <w:rPr>
          <w:rFonts w:cs="Calibri"/>
          <w:i/>
          <w:sz w:val="24"/>
          <w:szCs w:val="24"/>
          <w:lang w:eastAsia="pl-PL"/>
        </w:rPr>
        <w:t>zasad wynajmowania lokali wchodzących w skład mieszkaniowego zasobu Gminy Ożarów Mazowiecki.</w:t>
      </w:r>
    </w:p>
    <w:p w:rsidR="00CC5AA2" w:rsidRPr="007662DD" w:rsidRDefault="00365530" w:rsidP="007662DD">
      <w:pPr>
        <w:ind w:firstLine="708"/>
        <w:rPr>
          <w:rFonts w:eastAsia="Times New Roman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 xml:space="preserve">Jako podstawę prawną uchwały wskazano art. 18 ust. 2 pkt 15 ustawy </w:t>
      </w:r>
      <w:r w:rsidRPr="00D850ED">
        <w:rPr>
          <w:rFonts w:eastAsia="Times New Roman" w:cs="Calibri"/>
          <w:sz w:val="24"/>
          <w:szCs w:val="24"/>
          <w:lang w:eastAsia="pl-PL"/>
        </w:rPr>
        <w:t xml:space="preserve">o samorządzie gminnym </w:t>
      </w:r>
      <w:r>
        <w:rPr>
          <w:rFonts w:cs="Calibri"/>
          <w:sz w:val="24"/>
          <w:szCs w:val="24"/>
        </w:rPr>
        <w:t xml:space="preserve">oraz art. 21 ust. 1 pkt 2 i ust. 3 ustawy z dnia 21 czerwca 2001 r. o ochronie praw lokatorów, mieszkaniowym zasobie gminy i o zmianie Kodeksu cywilnego (Dz. U. z 2020 r. 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poz. 611), zwanej dalej: „u.o.p.l.”.</w:t>
      </w:r>
    </w:p>
    <w:p w:rsidR="00CC5AA2" w:rsidRPr="005A2CC5" w:rsidRDefault="00365530" w:rsidP="00CC5AA2">
      <w:pPr>
        <w:rPr>
          <w:sz w:val="24"/>
        </w:rPr>
      </w:pPr>
      <w:r>
        <w:rPr>
          <w:rFonts w:cs="Calibri"/>
          <w:sz w:val="24"/>
          <w:szCs w:val="24"/>
        </w:rPr>
        <w:t>Zgodnie z brzmieniem art. 21 ust. 1 pkt 2 u.o.p</w:t>
      </w:r>
      <w:r>
        <w:rPr>
          <w:rFonts w:cs="Calibri"/>
          <w:sz w:val="24"/>
          <w:szCs w:val="24"/>
        </w:rPr>
        <w:t>.l. r</w:t>
      </w:r>
      <w:r>
        <w:rPr>
          <w:sz w:val="24"/>
        </w:rPr>
        <w:t xml:space="preserve">ada gminy uchwala </w:t>
      </w:r>
      <w:r w:rsidRPr="005A2CC5">
        <w:rPr>
          <w:sz w:val="24"/>
        </w:rPr>
        <w:t xml:space="preserve">zasady wynajmowania lokali wchodzących w skład mieszkaniowego zasobu gminy, w tym zasady </w:t>
      </w:r>
      <w:r w:rsidRPr="005A2CC5">
        <w:rPr>
          <w:sz w:val="24"/>
        </w:rPr>
        <w:lastRenderedPageBreak/>
        <w:t>i</w:t>
      </w:r>
      <w:r>
        <w:rPr>
          <w:sz w:val="24"/>
        </w:rPr>
        <w:t> </w:t>
      </w:r>
      <w:r w:rsidRPr="005A2CC5">
        <w:rPr>
          <w:sz w:val="24"/>
        </w:rPr>
        <w:t>kryteria wynajmowania lokali, których najem jest związan</w:t>
      </w:r>
      <w:r>
        <w:rPr>
          <w:sz w:val="24"/>
        </w:rPr>
        <w:t>y ze stosunkiem pracy, jeżeli w </w:t>
      </w:r>
      <w:r w:rsidRPr="005A2CC5">
        <w:rPr>
          <w:sz w:val="24"/>
        </w:rPr>
        <w:t>mieszkaniowym zasobie gminy wydzielono lokale przeznac</w:t>
      </w:r>
      <w:r w:rsidRPr="005A2CC5">
        <w:rPr>
          <w:sz w:val="24"/>
        </w:rPr>
        <w:t>zone na ten cel.</w:t>
      </w:r>
    </w:p>
    <w:p w:rsidR="00CC5AA2" w:rsidRPr="005A2CC5" w:rsidRDefault="00365530" w:rsidP="00CC5AA2">
      <w:pPr>
        <w:rPr>
          <w:sz w:val="24"/>
        </w:rPr>
      </w:pPr>
      <w:r w:rsidRPr="00DE7063">
        <w:rPr>
          <w:sz w:val="24"/>
          <w:szCs w:val="24"/>
        </w:rPr>
        <w:t xml:space="preserve">Z kolei art. 21 ust. 3 u.o.p.l. zawiera </w:t>
      </w:r>
      <w:r w:rsidRPr="00DE7063">
        <w:rPr>
          <w:rFonts w:asciiTheme="minorHAnsi" w:hAnsiTheme="minorHAnsi" w:cstheme="minorHAnsi"/>
          <w:sz w:val="24"/>
          <w:szCs w:val="24"/>
        </w:rPr>
        <w:t>otwarty katalog zagadnień w</w:t>
      </w:r>
      <w:r>
        <w:rPr>
          <w:rFonts w:asciiTheme="minorHAnsi" w:hAnsiTheme="minorHAnsi" w:cstheme="minorHAnsi"/>
          <w:sz w:val="24"/>
          <w:szCs w:val="24"/>
        </w:rPr>
        <w:t>ymagających uregulowania przez R</w:t>
      </w:r>
      <w:r w:rsidRPr="00DE7063">
        <w:rPr>
          <w:rFonts w:asciiTheme="minorHAnsi" w:hAnsiTheme="minorHAnsi" w:cstheme="minorHAnsi"/>
          <w:sz w:val="24"/>
          <w:szCs w:val="24"/>
        </w:rPr>
        <w:t xml:space="preserve">adę w </w:t>
      </w:r>
      <w:r>
        <w:rPr>
          <w:sz w:val="24"/>
        </w:rPr>
        <w:t>uchwale w sprawie ustalenia zasad</w:t>
      </w:r>
      <w:r w:rsidRPr="005A2CC5">
        <w:rPr>
          <w:sz w:val="24"/>
        </w:rPr>
        <w:t xml:space="preserve"> wynajmowania lokali wchodzących w skład mieszkaniowego zasobu gminy</w:t>
      </w:r>
      <w:r>
        <w:rPr>
          <w:sz w:val="24"/>
        </w:rPr>
        <w:t xml:space="preserve">. Zgodnie zatem z art. 21 ust. 3 </w:t>
      </w:r>
      <w:r>
        <w:rPr>
          <w:sz w:val="24"/>
        </w:rPr>
        <w:t>u.o.p.l. z</w:t>
      </w:r>
      <w:r w:rsidRPr="005A2CC5">
        <w:rPr>
          <w:sz w:val="24"/>
        </w:rPr>
        <w:t>asady wynajmowania lokali wchodzących w skład mieszkaniowego zasobu gminy powinny określać w szczególności:</w:t>
      </w:r>
    </w:p>
    <w:p w:rsidR="00CC5AA2" w:rsidRPr="003B4DCC" w:rsidRDefault="00365530" w:rsidP="00CC5AA2">
      <w:pPr>
        <w:ind w:left="426" w:hanging="426"/>
        <w:rPr>
          <w:i/>
          <w:sz w:val="24"/>
        </w:rPr>
      </w:pPr>
      <w:r>
        <w:rPr>
          <w:sz w:val="24"/>
        </w:rPr>
        <w:t>„</w:t>
      </w:r>
      <w:r>
        <w:rPr>
          <w:i/>
          <w:sz w:val="24"/>
        </w:rPr>
        <w:t>1)</w:t>
      </w:r>
      <w:r>
        <w:rPr>
          <w:i/>
          <w:sz w:val="24"/>
        </w:rPr>
        <w:tab/>
      </w:r>
      <w:r w:rsidRPr="003B4DCC">
        <w:rPr>
          <w:i/>
          <w:sz w:val="24"/>
        </w:rPr>
        <w:t xml:space="preserve">wysokość dochodu gospodarstwa domowego uzasadniającą oddanie w najem </w:t>
      </w:r>
      <w:r>
        <w:rPr>
          <w:i/>
          <w:sz w:val="24"/>
        </w:rPr>
        <w:br/>
      </w:r>
      <w:r w:rsidRPr="003B4DCC">
        <w:rPr>
          <w:i/>
          <w:sz w:val="24"/>
        </w:rPr>
        <w:t>lub podnajem lokalu na czas nieoznaczony i najem socjalny lokalu</w:t>
      </w:r>
      <w:r w:rsidRPr="003B4DCC">
        <w:rPr>
          <w:i/>
          <w:sz w:val="24"/>
        </w:rPr>
        <w:t xml:space="preserve"> oraz wysokość dochodu gospodarstwa domowego uzasadniającą stosowanie obniżek czynszu;</w:t>
      </w:r>
    </w:p>
    <w:p w:rsidR="00CC5AA2" w:rsidRPr="003B4DCC" w:rsidRDefault="00365530" w:rsidP="00CC5AA2">
      <w:pPr>
        <w:ind w:left="426" w:hanging="426"/>
        <w:rPr>
          <w:i/>
          <w:sz w:val="24"/>
        </w:rPr>
      </w:pPr>
      <w:r>
        <w:rPr>
          <w:i/>
          <w:sz w:val="24"/>
        </w:rPr>
        <w:t>2)</w:t>
      </w:r>
      <w:r>
        <w:rPr>
          <w:i/>
          <w:sz w:val="24"/>
        </w:rPr>
        <w:tab/>
      </w:r>
      <w:r w:rsidRPr="003B4DCC">
        <w:rPr>
          <w:i/>
          <w:sz w:val="24"/>
        </w:rPr>
        <w:t>warunki zamieszkiwania kwalifikujące wnioskodawcę do ich poprawy;</w:t>
      </w:r>
    </w:p>
    <w:p w:rsidR="00CC5AA2" w:rsidRPr="003B4DCC" w:rsidRDefault="00365530" w:rsidP="00CC5AA2">
      <w:pPr>
        <w:ind w:left="426" w:hanging="426"/>
        <w:rPr>
          <w:i/>
          <w:sz w:val="24"/>
        </w:rPr>
      </w:pPr>
      <w:r>
        <w:rPr>
          <w:i/>
          <w:sz w:val="24"/>
        </w:rPr>
        <w:t>3)</w:t>
      </w:r>
      <w:r>
        <w:rPr>
          <w:i/>
          <w:sz w:val="24"/>
        </w:rPr>
        <w:tab/>
      </w:r>
      <w:r w:rsidRPr="003B4DCC">
        <w:rPr>
          <w:i/>
          <w:sz w:val="24"/>
        </w:rPr>
        <w:t xml:space="preserve">kryteria wyboru osób, którym przysługuje pierwszeństwo zawarcia umowy najmu lokalu na czas </w:t>
      </w:r>
      <w:r w:rsidRPr="003B4DCC">
        <w:rPr>
          <w:i/>
          <w:sz w:val="24"/>
        </w:rPr>
        <w:t>nieoznaczony i umowy najmu socjalnego lokalu;</w:t>
      </w:r>
    </w:p>
    <w:p w:rsidR="00CC5AA2" w:rsidRPr="003B4DCC" w:rsidRDefault="00365530" w:rsidP="00CC5AA2">
      <w:pPr>
        <w:ind w:left="426" w:hanging="426"/>
        <w:rPr>
          <w:i/>
          <w:sz w:val="24"/>
        </w:rPr>
      </w:pPr>
      <w:r>
        <w:rPr>
          <w:i/>
          <w:sz w:val="24"/>
        </w:rPr>
        <w:t>4)</w:t>
      </w:r>
      <w:r>
        <w:rPr>
          <w:i/>
          <w:sz w:val="24"/>
        </w:rPr>
        <w:tab/>
      </w:r>
      <w:r w:rsidRPr="003B4DCC">
        <w:rPr>
          <w:i/>
          <w:sz w:val="24"/>
        </w:rPr>
        <w:t>warunki dokonywania zamiany lokali wchodzących w skład mieszkaniowego zasobu gminy oraz zamiany pomiędzy najemcami lokali należących do tego zasobu a osobami zajmującymi lokale w innych zasobach;</w:t>
      </w:r>
    </w:p>
    <w:p w:rsidR="00CC5AA2" w:rsidRPr="003B4DCC" w:rsidRDefault="00365530" w:rsidP="00CC5AA2">
      <w:pPr>
        <w:ind w:left="426" w:hanging="426"/>
        <w:rPr>
          <w:i/>
          <w:sz w:val="24"/>
        </w:rPr>
      </w:pPr>
      <w:r>
        <w:rPr>
          <w:i/>
          <w:sz w:val="24"/>
        </w:rPr>
        <w:t>5)</w:t>
      </w:r>
      <w:r>
        <w:rPr>
          <w:i/>
          <w:sz w:val="24"/>
        </w:rPr>
        <w:tab/>
      </w:r>
      <w:r w:rsidRPr="003B4DCC">
        <w:rPr>
          <w:i/>
          <w:sz w:val="24"/>
        </w:rPr>
        <w:t>tryb roz</w:t>
      </w:r>
      <w:r w:rsidRPr="003B4DCC">
        <w:rPr>
          <w:i/>
          <w:sz w:val="24"/>
        </w:rPr>
        <w:t>patrywania i załatwiania wniosków o najem lokali zawierany na czas nieoznaczony i najem socjalny lokali oraz sposób poddania tych spraw kontroli społecznej;</w:t>
      </w:r>
    </w:p>
    <w:p w:rsidR="00CC5AA2" w:rsidRPr="003B4DCC" w:rsidRDefault="00365530" w:rsidP="00CC5AA2">
      <w:pPr>
        <w:ind w:left="426" w:hanging="426"/>
        <w:rPr>
          <w:i/>
          <w:sz w:val="24"/>
        </w:rPr>
      </w:pPr>
      <w:r>
        <w:rPr>
          <w:i/>
          <w:sz w:val="24"/>
        </w:rPr>
        <w:t>6)</w:t>
      </w:r>
      <w:r>
        <w:rPr>
          <w:i/>
          <w:sz w:val="24"/>
        </w:rPr>
        <w:tab/>
      </w:r>
      <w:r w:rsidRPr="003B4DCC">
        <w:rPr>
          <w:i/>
          <w:sz w:val="24"/>
        </w:rPr>
        <w:t>zasady postępowania w stosunku do osób, które pozostały w lokalu opuszczonym przez najemcę lub w</w:t>
      </w:r>
      <w:r w:rsidRPr="003B4DCC">
        <w:rPr>
          <w:i/>
          <w:sz w:val="24"/>
        </w:rPr>
        <w:t xml:space="preserve"> lokalu, w którego najem nie wstąpiły po śmierci najemcy;</w:t>
      </w:r>
    </w:p>
    <w:p w:rsidR="00CC5AA2" w:rsidRPr="003B4DCC" w:rsidRDefault="00365530" w:rsidP="00CC5AA2">
      <w:pPr>
        <w:ind w:left="426" w:hanging="426"/>
        <w:rPr>
          <w:i/>
          <w:sz w:val="24"/>
        </w:rPr>
      </w:pPr>
      <w:r>
        <w:rPr>
          <w:i/>
          <w:sz w:val="24"/>
        </w:rPr>
        <w:t>6a)</w:t>
      </w:r>
      <w:r>
        <w:rPr>
          <w:i/>
          <w:sz w:val="24"/>
        </w:rPr>
        <w:tab/>
      </w:r>
      <w:r w:rsidRPr="003B4DCC">
        <w:rPr>
          <w:i/>
          <w:sz w:val="24"/>
        </w:rPr>
        <w:t>warunki, jakie musi spełniać lokal wskazywan</w:t>
      </w:r>
      <w:r>
        <w:rPr>
          <w:i/>
          <w:sz w:val="24"/>
        </w:rPr>
        <w:t>y dla osób niepełnosprawnych, z </w:t>
      </w:r>
      <w:r w:rsidRPr="003B4DCC">
        <w:rPr>
          <w:i/>
          <w:sz w:val="24"/>
        </w:rPr>
        <w:t>uwzględnieniem rzeczywistych potrzeb wynikających z rodzaju niepełnosprawności;</w:t>
      </w:r>
    </w:p>
    <w:p w:rsidR="00CC5AA2" w:rsidRPr="003B4DCC" w:rsidRDefault="00365530" w:rsidP="00CC5AA2">
      <w:pPr>
        <w:ind w:left="426" w:hanging="426"/>
        <w:rPr>
          <w:i/>
          <w:sz w:val="24"/>
        </w:rPr>
      </w:pPr>
      <w:r>
        <w:rPr>
          <w:i/>
          <w:sz w:val="24"/>
        </w:rPr>
        <w:t>6b</w:t>
      </w:r>
      <w:r>
        <w:rPr>
          <w:i/>
          <w:sz w:val="24"/>
        </w:rPr>
        <w:tab/>
      </w:r>
      <w:r w:rsidRPr="003B4DCC">
        <w:rPr>
          <w:i/>
          <w:sz w:val="24"/>
        </w:rPr>
        <w:t xml:space="preserve"> zasady przeznaczania lokali na rea</w:t>
      </w:r>
      <w:r w:rsidRPr="003B4DCC">
        <w:rPr>
          <w:i/>
          <w:sz w:val="24"/>
        </w:rPr>
        <w:t>lizację zadań, o których mowa w art. 4 ust. 2b.</w:t>
      </w:r>
    </w:p>
    <w:p w:rsidR="00CC5AA2" w:rsidRPr="005A2CC5" w:rsidRDefault="00365530" w:rsidP="00CC5AA2">
      <w:pPr>
        <w:ind w:left="426" w:hanging="426"/>
        <w:rPr>
          <w:sz w:val="24"/>
        </w:rPr>
      </w:pPr>
      <w:r>
        <w:rPr>
          <w:i/>
          <w:sz w:val="24"/>
        </w:rPr>
        <w:t>7)</w:t>
      </w:r>
      <w:r>
        <w:rPr>
          <w:i/>
          <w:sz w:val="24"/>
        </w:rPr>
        <w:tab/>
      </w:r>
      <w:r w:rsidRPr="003B4DCC">
        <w:rPr>
          <w:i/>
          <w:sz w:val="24"/>
        </w:rPr>
        <w:t>(uchylony)</w:t>
      </w:r>
      <w:r>
        <w:rPr>
          <w:sz w:val="24"/>
        </w:rPr>
        <w:t>”</w:t>
      </w:r>
      <w:r w:rsidRPr="003B4DCC">
        <w:rPr>
          <w:i/>
          <w:sz w:val="24"/>
        </w:rPr>
        <w:t>.</w:t>
      </w:r>
    </w:p>
    <w:p w:rsidR="00CC5AA2" w:rsidRDefault="00365530" w:rsidP="00CC5AA2">
      <w:pPr>
        <w:rPr>
          <w:sz w:val="24"/>
          <w:szCs w:val="24"/>
        </w:rPr>
      </w:pPr>
      <w:r w:rsidRPr="00955CFA">
        <w:rPr>
          <w:sz w:val="24"/>
          <w:szCs w:val="24"/>
        </w:rPr>
        <w:t xml:space="preserve">Ustawodawca nadając </w:t>
      </w:r>
      <w:hyperlink r:id="rId6" w:anchor="/document/16903658?unitId=art(21)ust(1)&amp;cm=DOCUMENT" w:tgtFrame="_blank" w:history="1">
        <w:r w:rsidRPr="00955CFA">
          <w:rPr>
            <w:rStyle w:val="Hipercze"/>
            <w:color w:val="auto"/>
            <w:sz w:val="24"/>
            <w:szCs w:val="24"/>
            <w:u w:val="none"/>
          </w:rPr>
          <w:t>art. 21 ust. 1</w:t>
        </w:r>
      </w:hyperlink>
      <w:r w:rsidRPr="00955CFA">
        <w:rPr>
          <w:sz w:val="24"/>
          <w:szCs w:val="24"/>
        </w:rPr>
        <w:t xml:space="preserve"> </w:t>
      </w:r>
      <w:r>
        <w:rPr>
          <w:sz w:val="24"/>
          <w:szCs w:val="24"/>
        </w:rPr>
        <w:t>u.o.p.l. brzmienie: „Rada gminy uchwala”</w:t>
      </w:r>
      <w:r w:rsidRPr="00955CFA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955CFA">
        <w:rPr>
          <w:sz w:val="24"/>
          <w:szCs w:val="24"/>
        </w:rPr>
        <w:t>nie pozos</w:t>
      </w:r>
      <w:r w:rsidRPr="00955CFA">
        <w:rPr>
          <w:sz w:val="24"/>
          <w:szCs w:val="24"/>
        </w:rPr>
        <w:t>tawił organowi stanowiącemu jednostki samorz</w:t>
      </w:r>
      <w:r>
        <w:rPr>
          <w:sz w:val="24"/>
          <w:szCs w:val="24"/>
        </w:rPr>
        <w:t>ądu terytorialnego dowolności w </w:t>
      </w:r>
      <w:r w:rsidRPr="00955CFA">
        <w:rPr>
          <w:sz w:val="24"/>
          <w:szCs w:val="24"/>
        </w:rPr>
        <w:t>zakresie tworzenia praw</w:t>
      </w:r>
      <w:r>
        <w:rPr>
          <w:sz w:val="24"/>
          <w:szCs w:val="24"/>
        </w:rPr>
        <w:t>a miejscowego w tym przedmiocie,</w:t>
      </w:r>
      <w:r w:rsidRPr="00955CFA">
        <w:rPr>
          <w:sz w:val="24"/>
          <w:szCs w:val="24"/>
        </w:rPr>
        <w:t xml:space="preserve"> a zatem </w:t>
      </w:r>
      <w:r>
        <w:rPr>
          <w:sz w:val="24"/>
          <w:szCs w:val="24"/>
        </w:rPr>
        <w:t>Rada Mi</w:t>
      </w:r>
      <w:r>
        <w:rPr>
          <w:sz w:val="24"/>
          <w:szCs w:val="24"/>
        </w:rPr>
        <w:t>ejska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jest obowiązana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 przyjęcia</w:t>
      </w:r>
      <w:r w:rsidRPr="00955CFA">
        <w:rPr>
          <w:sz w:val="24"/>
          <w:szCs w:val="24"/>
        </w:rPr>
        <w:t xml:space="preserve"> przepis</w:t>
      </w:r>
      <w:r>
        <w:rPr>
          <w:sz w:val="24"/>
          <w:szCs w:val="24"/>
        </w:rPr>
        <w:t>ów</w:t>
      </w:r>
      <w:r w:rsidRPr="00955CFA">
        <w:rPr>
          <w:sz w:val="24"/>
          <w:szCs w:val="24"/>
        </w:rPr>
        <w:t xml:space="preserve"> normując</w:t>
      </w:r>
      <w:r>
        <w:rPr>
          <w:sz w:val="24"/>
          <w:szCs w:val="24"/>
        </w:rPr>
        <w:t>ych</w:t>
      </w:r>
      <w:r w:rsidRPr="00955CFA">
        <w:rPr>
          <w:sz w:val="24"/>
          <w:szCs w:val="24"/>
        </w:rPr>
        <w:t xml:space="preserve"> materię zasad wynajmowania lokali wchodzących w skła</w:t>
      </w:r>
      <w:r w:rsidRPr="00955CFA">
        <w:rPr>
          <w:sz w:val="24"/>
          <w:szCs w:val="24"/>
        </w:rPr>
        <w:t xml:space="preserve">d mieszkaniowego zasobu gmin. </w:t>
      </w:r>
      <w:r>
        <w:rPr>
          <w:sz w:val="24"/>
          <w:szCs w:val="24"/>
        </w:rPr>
        <w:t>Z</w:t>
      </w:r>
      <w:r w:rsidRPr="00955CFA">
        <w:rPr>
          <w:sz w:val="24"/>
          <w:szCs w:val="24"/>
        </w:rPr>
        <w:t xml:space="preserve"> treść </w:t>
      </w:r>
      <w:hyperlink r:id="rId7" w:anchor="/document/16903658?unitId=art(21)ust(3)&amp;cm=DOCUMENT" w:tgtFrame="_blank" w:history="1">
        <w:r w:rsidRPr="00955CFA">
          <w:rPr>
            <w:rStyle w:val="Hipercze"/>
            <w:color w:val="auto"/>
            <w:sz w:val="24"/>
            <w:szCs w:val="24"/>
            <w:u w:val="none"/>
          </w:rPr>
          <w:t>art. 21 ust. 3</w:t>
        </w:r>
      </w:hyperlink>
      <w:r w:rsidRPr="00955CFA">
        <w:rPr>
          <w:sz w:val="24"/>
          <w:szCs w:val="24"/>
        </w:rPr>
        <w:t xml:space="preserve"> </w:t>
      </w:r>
      <w:r>
        <w:rPr>
          <w:sz w:val="24"/>
          <w:szCs w:val="24"/>
        </w:rPr>
        <w:t>u.o.p.l.</w:t>
      </w:r>
      <w:r w:rsidRPr="00955CFA">
        <w:rPr>
          <w:sz w:val="24"/>
          <w:szCs w:val="24"/>
        </w:rPr>
        <w:t xml:space="preserve"> </w:t>
      </w:r>
      <w:r>
        <w:rPr>
          <w:sz w:val="24"/>
          <w:szCs w:val="24"/>
        </w:rPr>
        <w:t>jednoznacznie</w:t>
      </w:r>
      <w:r w:rsidRPr="00955CFA">
        <w:rPr>
          <w:sz w:val="24"/>
          <w:szCs w:val="24"/>
        </w:rPr>
        <w:t xml:space="preserve"> wynika nakaz uregulowania wszystkich wymienionych w tym przepisie zagadnień</w:t>
      </w:r>
      <w:r w:rsidRPr="00955CFA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Pr="00955CFA">
        <w:rPr>
          <w:sz w:val="24"/>
          <w:szCs w:val="24"/>
        </w:rPr>
        <w:t>onst</w:t>
      </w:r>
      <w:r>
        <w:rPr>
          <w:sz w:val="24"/>
          <w:szCs w:val="24"/>
        </w:rPr>
        <w:t>rukcja przewidziana pojęciem „w szczególności”</w:t>
      </w:r>
      <w:r w:rsidRPr="00955CFA">
        <w:rPr>
          <w:sz w:val="24"/>
          <w:szCs w:val="24"/>
        </w:rPr>
        <w:t xml:space="preserve"> wskazuje na to, </w:t>
      </w:r>
      <w:r>
        <w:rPr>
          <w:sz w:val="24"/>
          <w:szCs w:val="24"/>
        </w:rPr>
        <w:t>że</w:t>
      </w:r>
      <w:r w:rsidRPr="00955CFA">
        <w:rPr>
          <w:sz w:val="24"/>
          <w:szCs w:val="24"/>
        </w:rPr>
        <w:t xml:space="preserve"> uchwalane zasady obligatoryjnie muszą obejmować wszystkie kwestie określone w </w:t>
      </w:r>
      <w:hyperlink r:id="rId8" w:anchor="/document/16903658?unitId=art(21)ust(3)&amp;cm=DOCUMENT" w:tgtFrame="_blank" w:history="1">
        <w:r w:rsidRPr="00955CFA">
          <w:rPr>
            <w:rStyle w:val="Hipercze"/>
            <w:color w:val="auto"/>
            <w:sz w:val="24"/>
            <w:szCs w:val="24"/>
            <w:u w:val="none"/>
          </w:rPr>
          <w:t>art. 21 ust. 3</w:t>
        </w:r>
      </w:hyperlink>
      <w:r w:rsidRPr="00955CFA">
        <w:rPr>
          <w:sz w:val="24"/>
          <w:szCs w:val="24"/>
        </w:rPr>
        <w:t xml:space="preserve"> </w:t>
      </w:r>
      <w:r>
        <w:rPr>
          <w:sz w:val="24"/>
          <w:szCs w:val="24"/>
        </w:rPr>
        <w:t>u.o.p.l</w:t>
      </w:r>
      <w:r w:rsidRPr="00955CFA">
        <w:rPr>
          <w:sz w:val="24"/>
          <w:szCs w:val="24"/>
        </w:rPr>
        <w:t xml:space="preserve">. Pominięcie przez radę </w:t>
      </w:r>
      <w:r w:rsidRPr="00955CFA">
        <w:rPr>
          <w:sz w:val="24"/>
          <w:szCs w:val="24"/>
        </w:rPr>
        <w:lastRenderedPageBreak/>
        <w:t>gminy, któregokolwiek z wymienionych elementów skutkuje brakiem pełnej realizacji upoważnienia ustawowego i ma istotny wpływ na ocenę zgodności z</w:t>
      </w:r>
      <w:r>
        <w:rPr>
          <w:sz w:val="24"/>
          <w:szCs w:val="24"/>
        </w:rPr>
        <w:t xml:space="preserve"> prawem podjętego aktu.</w:t>
      </w:r>
    </w:p>
    <w:p w:rsidR="00CC5AA2" w:rsidRPr="004066B9" w:rsidRDefault="00365530" w:rsidP="00CC5AA2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4066B9">
        <w:rPr>
          <w:sz w:val="24"/>
          <w:szCs w:val="24"/>
        </w:rPr>
        <w:t>chwała w sprawie zasad wynajmowania l</w:t>
      </w:r>
      <w:r w:rsidRPr="004066B9">
        <w:rPr>
          <w:sz w:val="24"/>
          <w:szCs w:val="24"/>
        </w:rPr>
        <w:t xml:space="preserve">okali winna kompleksowo i szczegółowo regulować wszystkie wskazane w powyższym upoważnieniu ustawowym kwestie, </w:t>
      </w:r>
      <w:r>
        <w:rPr>
          <w:sz w:val="24"/>
          <w:szCs w:val="24"/>
        </w:rPr>
        <w:br/>
      </w:r>
      <w:r w:rsidRPr="004066B9">
        <w:rPr>
          <w:sz w:val="24"/>
          <w:szCs w:val="24"/>
        </w:rPr>
        <w:t>w sposób dostosowany do zindywidualizowanych potrzeb danej społe</w:t>
      </w:r>
      <w:r>
        <w:rPr>
          <w:sz w:val="24"/>
          <w:szCs w:val="24"/>
        </w:rPr>
        <w:t xml:space="preserve">czności lokalnej (wyrok </w:t>
      </w:r>
      <w:r w:rsidRPr="004066B9">
        <w:rPr>
          <w:sz w:val="24"/>
          <w:szCs w:val="24"/>
        </w:rPr>
        <w:t>Wojewódzkiego Sądu Administracyjny w Poznaniu</w:t>
      </w:r>
      <w:r>
        <w:rPr>
          <w:sz w:val="24"/>
          <w:szCs w:val="24"/>
        </w:rPr>
        <w:t xml:space="preserve"> z </w:t>
      </w:r>
      <w:r w:rsidRPr="004066B9">
        <w:rPr>
          <w:sz w:val="24"/>
          <w:szCs w:val="24"/>
        </w:rPr>
        <w:t>27 wrześ</w:t>
      </w:r>
      <w:r w:rsidRPr="004066B9">
        <w:rPr>
          <w:sz w:val="24"/>
          <w:szCs w:val="24"/>
        </w:rPr>
        <w:t xml:space="preserve">nia 2012 r. sygn. akt </w:t>
      </w:r>
      <w:hyperlink r:id="rId9" w:anchor="/document/521366109?cm=DOCUMENT" w:tgtFrame="_blank" w:history="1">
        <w:r w:rsidRPr="004066B9">
          <w:rPr>
            <w:rStyle w:val="Hipercze"/>
            <w:color w:val="auto"/>
            <w:sz w:val="24"/>
            <w:szCs w:val="24"/>
            <w:u w:val="none"/>
          </w:rPr>
          <w:t>IV SA/Po 322/12</w:t>
        </w:r>
      </w:hyperlink>
      <w:r w:rsidRPr="004066B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C5AA2" w:rsidRPr="005013DB" w:rsidRDefault="00365530" w:rsidP="00CC5AA2">
      <w:pPr>
        <w:rPr>
          <w:sz w:val="24"/>
        </w:rPr>
      </w:pPr>
      <w:r>
        <w:rPr>
          <w:sz w:val="24"/>
        </w:rPr>
        <w:t xml:space="preserve">Uchwała będąca przedmiotem </w:t>
      </w:r>
      <w:r>
        <w:rPr>
          <w:sz w:val="24"/>
        </w:rPr>
        <w:t>rozstrzygnięcia</w:t>
      </w:r>
      <w:r>
        <w:rPr>
          <w:sz w:val="24"/>
        </w:rPr>
        <w:t xml:space="preserve"> stanowi akt prawa miejscowego. </w:t>
      </w:r>
      <w:bookmarkStart w:id="2" w:name="_Hlk30505077"/>
      <w:r w:rsidRPr="00CC1A01">
        <w:rPr>
          <w:rFonts w:cs="Calibri"/>
          <w:sz w:val="24"/>
          <w:szCs w:val="24"/>
        </w:rPr>
        <w:t xml:space="preserve">Zgodnie z </w:t>
      </w:r>
      <w:hyperlink r:id="rId10" w:history="1">
        <w:r w:rsidRPr="00CC1A01">
          <w:rPr>
            <w:rFonts w:cs="Calibri"/>
            <w:sz w:val="24"/>
            <w:szCs w:val="24"/>
          </w:rPr>
          <w:t>art. 94</w:t>
        </w:r>
      </w:hyperlink>
      <w:r w:rsidRPr="00CC1A01">
        <w:rPr>
          <w:rFonts w:cs="Calibri"/>
          <w:sz w:val="24"/>
          <w:szCs w:val="24"/>
        </w:rPr>
        <w:t xml:space="preserve"> Konstytucji </w:t>
      </w:r>
      <w:r>
        <w:rPr>
          <w:rFonts w:cs="Calibri"/>
          <w:sz w:val="24"/>
          <w:szCs w:val="24"/>
        </w:rPr>
        <w:t>RP</w:t>
      </w:r>
      <w:r w:rsidRPr="00CC1A01">
        <w:rPr>
          <w:rFonts w:cs="Calibri"/>
          <w:sz w:val="24"/>
          <w:szCs w:val="24"/>
        </w:rPr>
        <w:t xml:space="preserve"> organy samorządu terytorialnego ustanawiają akty prawa miejscowego obowiązujące na obszarze działania tych organów na podstawie i w granicach upoważnień zawartych w ustawie. Z kol</w:t>
      </w:r>
      <w:r w:rsidRPr="00CC1A01">
        <w:rPr>
          <w:rFonts w:cs="Calibri"/>
          <w:sz w:val="24"/>
          <w:szCs w:val="24"/>
        </w:rPr>
        <w:t xml:space="preserve">ei </w:t>
      </w:r>
      <w:hyperlink r:id="rId11" w:history="1">
        <w:r w:rsidRPr="00CC1A01">
          <w:rPr>
            <w:rFonts w:cs="Calibri"/>
            <w:sz w:val="24"/>
            <w:szCs w:val="24"/>
          </w:rPr>
          <w:t>art. 7</w:t>
        </w:r>
      </w:hyperlink>
      <w:r w:rsidRPr="00CC1A01">
        <w:rPr>
          <w:rFonts w:cs="Calibri"/>
          <w:sz w:val="24"/>
          <w:szCs w:val="24"/>
        </w:rPr>
        <w:t xml:space="preserve"> Konstytucji </w:t>
      </w:r>
      <w:r>
        <w:rPr>
          <w:rFonts w:cs="Calibri"/>
          <w:sz w:val="24"/>
          <w:szCs w:val="24"/>
        </w:rPr>
        <w:t>RP</w:t>
      </w:r>
      <w:r w:rsidRPr="00CC1A01">
        <w:rPr>
          <w:rFonts w:cs="Calibri"/>
          <w:sz w:val="24"/>
          <w:szCs w:val="24"/>
        </w:rPr>
        <w:t xml:space="preserve"> obliguje organy władzy publicznej do działania na podstawie i w granicach prawa. Zasada praworządności wyrażona w </w:t>
      </w:r>
      <w:hyperlink r:id="rId12" w:history="1">
        <w:r w:rsidRPr="00CC1A01">
          <w:rPr>
            <w:rFonts w:cs="Calibri"/>
            <w:sz w:val="24"/>
            <w:szCs w:val="24"/>
          </w:rPr>
          <w:t>art. 7</w:t>
        </w:r>
      </w:hyperlink>
      <w:r w:rsidRPr="00CC1A01">
        <w:rPr>
          <w:rFonts w:cs="Calibri"/>
          <w:sz w:val="24"/>
          <w:szCs w:val="24"/>
        </w:rPr>
        <w:t xml:space="preserve"> w związku z </w:t>
      </w:r>
      <w:hyperlink r:id="rId13" w:history="1">
        <w:r w:rsidRPr="00CC1A01">
          <w:rPr>
            <w:rFonts w:cs="Calibri"/>
            <w:sz w:val="24"/>
            <w:szCs w:val="24"/>
          </w:rPr>
          <w:t>art. 94</w:t>
        </w:r>
      </w:hyperlink>
      <w:r w:rsidRPr="00CC1A01">
        <w:rPr>
          <w:rFonts w:cs="Calibri"/>
          <w:sz w:val="24"/>
          <w:szCs w:val="24"/>
        </w:rPr>
        <w:t xml:space="preserve"> Konstytucji </w:t>
      </w:r>
      <w:r>
        <w:rPr>
          <w:rFonts w:cs="Calibri"/>
          <w:sz w:val="24"/>
          <w:szCs w:val="24"/>
        </w:rPr>
        <w:t>RP</w:t>
      </w:r>
      <w:r w:rsidRPr="00CC1A01">
        <w:rPr>
          <w:rFonts w:cs="Calibri"/>
          <w:sz w:val="24"/>
          <w:szCs w:val="24"/>
        </w:rPr>
        <w:t xml:space="preserve"> wymaga, żeby materia regulow</w:t>
      </w:r>
      <w:r w:rsidRPr="00CC1A01">
        <w:rPr>
          <w:rFonts w:cs="Calibri"/>
          <w:sz w:val="24"/>
          <w:szCs w:val="24"/>
        </w:rPr>
        <w:t>ana wydanym aktem normatywnym wynikała z upoważnienia ustawowego i nie przekraczała zakresu tego upoważnienia. Każde unormowanie wykraczające poza udzielone upoważnienie jest naruszeniem normy upoważniającej i zarazem naruszeniem konstytucyjnych warunków l</w:t>
      </w:r>
      <w:r w:rsidRPr="00CC1A01">
        <w:rPr>
          <w:rFonts w:cs="Calibri"/>
          <w:sz w:val="24"/>
          <w:szCs w:val="24"/>
        </w:rPr>
        <w:t xml:space="preserve">egalności aktu prawa miejscowego wydanego na podstawie upoważnienia ustawowego </w:t>
      </w:r>
      <w:r>
        <w:rPr>
          <w:rFonts w:cs="Calibri"/>
          <w:sz w:val="24"/>
          <w:szCs w:val="24"/>
        </w:rPr>
        <w:br/>
      </w:r>
      <w:r w:rsidRPr="00CC1A01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w</w:t>
      </w:r>
      <w:r>
        <w:rPr>
          <w:rFonts w:cs="Calibri"/>
          <w:sz w:val="24"/>
          <w:szCs w:val="24"/>
        </w:rPr>
        <w:t xml:space="preserve">yrok Naczelnego Sądu Administracyjnego z dnia 14 grudnia 2011 r. sygn. akt </w:t>
      </w:r>
      <w:r w:rsidRPr="009D7F78">
        <w:rPr>
          <w:rFonts w:cs="Calibri"/>
          <w:sz w:val="24"/>
          <w:szCs w:val="24"/>
        </w:rPr>
        <w:t>II OSK 2</w:t>
      </w:r>
      <w:r>
        <w:rPr>
          <w:rFonts w:cs="Calibri"/>
          <w:sz w:val="24"/>
          <w:szCs w:val="24"/>
        </w:rPr>
        <w:t>058/11</w:t>
      </w:r>
      <w:r w:rsidRPr="00CC1A01">
        <w:rPr>
          <w:rFonts w:cs="Calibri"/>
          <w:sz w:val="24"/>
          <w:szCs w:val="24"/>
        </w:rPr>
        <w:t xml:space="preserve">). </w:t>
      </w:r>
      <w:bookmarkEnd w:id="2"/>
      <w:r w:rsidRPr="005013DB">
        <w:rPr>
          <w:rFonts w:cs="Calibri"/>
          <w:sz w:val="24"/>
          <w:szCs w:val="24"/>
        </w:rPr>
        <w:t xml:space="preserve">Nadmienić także należy, że – w konsekwencji – postanowienia </w:t>
      </w:r>
      <w:r>
        <w:rPr>
          <w:rFonts w:cs="Calibri"/>
          <w:sz w:val="24"/>
          <w:szCs w:val="24"/>
        </w:rPr>
        <w:t>u</w:t>
      </w:r>
      <w:r>
        <w:rPr>
          <w:rFonts w:cs="Calibri"/>
          <w:sz w:val="24"/>
          <w:szCs w:val="24"/>
        </w:rPr>
        <w:t>chwały</w:t>
      </w:r>
      <w:r w:rsidRPr="005013DB">
        <w:rPr>
          <w:rFonts w:cs="Calibri"/>
          <w:sz w:val="24"/>
          <w:szCs w:val="24"/>
        </w:rPr>
        <w:t xml:space="preserve"> stanowiące realizację normy kompetencyjnej nie mogą na</w:t>
      </w:r>
      <w:r>
        <w:rPr>
          <w:rFonts w:cs="Calibri"/>
          <w:sz w:val="24"/>
          <w:szCs w:val="24"/>
        </w:rPr>
        <w:t>ruszać innych przepisów ustawy (</w:t>
      </w:r>
      <w:r w:rsidRPr="005013DB">
        <w:rPr>
          <w:rFonts w:cs="Calibri"/>
          <w:sz w:val="24"/>
          <w:szCs w:val="24"/>
        </w:rPr>
        <w:t>być z nimi sprzeczne).</w:t>
      </w:r>
    </w:p>
    <w:p w:rsidR="00CC5AA2" w:rsidRPr="008A68CC" w:rsidRDefault="00365530" w:rsidP="00CC5AA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Wojewoda Mazowiecki</w:t>
      </w:r>
      <w:r w:rsidRPr="005013DB">
        <w:rPr>
          <w:rFonts w:cs="Calibri"/>
          <w:sz w:val="24"/>
          <w:szCs w:val="24"/>
        </w:rPr>
        <w:t xml:space="preserve"> analizując treść </w:t>
      </w:r>
      <w:r>
        <w:rPr>
          <w:rFonts w:cs="Calibri"/>
          <w:sz w:val="24"/>
          <w:szCs w:val="24"/>
        </w:rPr>
        <w:t>przedmiotowej u</w:t>
      </w:r>
      <w:r>
        <w:rPr>
          <w:rFonts w:cs="Calibri"/>
          <w:sz w:val="24"/>
          <w:szCs w:val="24"/>
        </w:rPr>
        <w:t xml:space="preserve">chwały, </w:t>
      </w:r>
      <w:r w:rsidRPr="005013DB">
        <w:rPr>
          <w:rFonts w:cs="Calibri"/>
          <w:sz w:val="24"/>
          <w:szCs w:val="24"/>
        </w:rPr>
        <w:t xml:space="preserve">uznał wyszczególnione </w:t>
      </w:r>
      <w:r>
        <w:rPr>
          <w:rFonts w:cs="Calibri"/>
          <w:sz w:val="24"/>
          <w:szCs w:val="24"/>
        </w:rPr>
        <w:t>sformułowanie</w:t>
      </w:r>
      <w:r w:rsidRPr="005013DB">
        <w:rPr>
          <w:rFonts w:cs="Calibri"/>
          <w:sz w:val="24"/>
          <w:szCs w:val="24"/>
        </w:rPr>
        <w:t xml:space="preserve"> za naruszające prawo w sposób istotny, z powodów </w:t>
      </w:r>
      <w:r w:rsidRPr="008A68CC">
        <w:rPr>
          <w:rFonts w:cs="Calibri"/>
          <w:sz w:val="24"/>
          <w:szCs w:val="24"/>
        </w:rPr>
        <w:t>w</w:t>
      </w:r>
      <w:r w:rsidRPr="008A68CC">
        <w:rPr>
          <w:rFonts w:cs="Calibri"/>
          <w:sz w:val="24"/>
          <w:szCs w:val="24"/>
        </w:rPr>
        <w:t>skazanych poniżej.</w:t>
      </w:r>
    </w:p>
    <w:p w:rsidR="00CC5AA2" w:rsidRPr="008A68CC" w:rsidRDefault="00365530" w:rsidP="00CC5AA2">
      <w:pPr>
        <w:rPr>
          <w:i/>
          <w:color w:val="000000"/>
          <w:sz w:val="24"/>
          <w:szCs w:val="24"/>
          <w:lang w:eastAsia="pl-PL" w:bidi="pl-PL"/>
        </w:rPr>
      </w:pPr>
      <w:r w:rsidRPr="008A68CC">
        <w:rPr>
          <w:rFonts w:cs="Calibri"/>
          <w:sz w:val="24"/>
          <w:szCs w:val="24"/>
        </w:rPr>
        <w:t>W § </w:t>
      </w:r>
      <w:r w:rsidRPr="008A68CC">
        <w:rPr>
          <w:rFonts w:cs="Calibri"/>
          <w:sz w:val="24"/>
          <w:szCs w:val="24"/>
        </w:rPr>
        <w:t>7 ust. 3 pkt 1 Załącznika do</w:t>
      </w:r>
      <w:r w:rsidRPr="008A68CC">
        <w:rPr>
          <w:rFonts w:cs="Calibri"/>
          <w:sz w:val="24"/>
          <w:szCs w:val="24"/>
        </w:rPr>
        <w:t xml:space="preserve"> </w:t>
      </w:r>
      <w:r w:rsidRPr="008A68CC">
        <w:rPr>
          <w:rFonts w:cs="Calibri"/>
          <w:sz w:val="24"/>
          <w:szCs w:val="24"/>
        </w:rPr>
        <w:t>u</w:t>
      </w:r>
      <w:r w:rsidRPr="008A68CC">
        <w:rPr>
          <w:rFonts w:cs="Calibri"/>
          <w:sz w:val="24"/>
          <w:szCs w:val="24"/>
        </w:rPr>
        <w:t xml:space="preserve">chwały Rada </w:t>
      </w:r>
      <w:r w:rsidRPr="008A68CC">
        <w:rPr>
          <w:rFonts w:cs="Calibri"/>
          <w:sz w:val="24"/>
          <w:szCs w:val="24"/>
        </w:rPr>
        <w:t xml:space="preserve">Miejska </w:t>
      </w:r>
      <w:r w:rsidRPr="008A68CC">
        <w:rPr>
          <w:rFonts w:cs="Calibri"/>
          <w:sz w:val="24"/>
          <w:szCs w:val="24"/>
        </w:rPr>
        <w:t>ustaliła</w:t>
      </w:r>
      <w:r w:rsidRPr="008A68CC">
        <w:rPr>
          <w:rFonts w:cs="Calibri"/>
          <w:sz w:val="24"/>
          <w:szCs w:val="24"/>
        </w:rPr>
        <w:t xml:space="preserve"> </w:t>
      </w:r>
      <w:r w:rsidRPr="008A68CC">
        <w:rPr>
          <w:sz w:val="24"/>
          <w:szCs w:val="24"/>
        </w:rPr>
        <w:t xml:space="preserve">przypadki odmowy wynajęcia lokalu z mieszkaniowego zasobu gminy, wskazując </w:t>
      </w:r>
      <w:r w:rsidRPr="008A68CC">
        <w:rPr>
          <w:rFonts w:cs="Calibri"/>
          <w:sz w:val="24"/>
          <w:szCs w:val="24"/>
        </w:rPr>
        <w:t>że: „</w:t>
      </w:r>
      <w:r w:rsidRPr="008A68CC">
        <w:rPr>
          <w:rFonts w:cs="Calibri"/>
          <w:i/>
          <w:sz w:val="24"/>
          <w:szCs w:val="24"/>
        </w:rPr>
        <w:t>Odmowa wynajęcia lokalu może również nastąpić w poniższych przypadkach</w:t>
      </w:r>
      <w:r w:rsidRPr="008A68CC">
        <w:rPr>
          <w:i/>
          <w:color w:val="000000"/>
          <w:sz w:val="24"/>
          <w:szCs w:val="24"/>
          <w:lang w:eastAsia="pl-PL" w:bidi="pl-PL"/>
        </w:rPr>
        <w:t>:</w:t>
      </w:r>
    </w:p>
    <w:p w:rsidR="00CC5AA2" w:rsidRPr="00827659" w:rsidRDefault="00365530" w:rsidP="00CC5AA2">
      <w:pPr>
        <w:pStyle w:val="Akapitzlist"/>
        <w:numPr>
          <w:ilvl w:val="0"/>
          <w:numId w:val="8"/>
        </w:numPr>
        <w:ind w:left="284" w:hanging="284"/>
        <w:rPr>
          <w:i/>
          <w:color w:val="000000"/>
          <w:sz w:val="24"/>
          <w:szCs w:val="24"/>
          <w:lang w:eastAsia="pl-PL" w:bidi="pl-PL"/>
        </w:rPr>
      </w:pPr>
      <w:r w:rsidRPr="008A68CC">
        <w:rPr>
          <w:i/>
          <w:color w:val="000000"/>
          <w:sz w:val="24"/>
          <w:szCs w:val="24"/>
          <w:lang w:eastAsia="pl-PL" w:bidi="pl-PL"/>
        </w:rPr>
        <w:t>jeżeli wnioskodawca,</w:t>
      </w:r>
      <w:r>
        <w:rPr>
          <w:i/>
          <w:color w:val="000000"/>
          <w:sz w:val="24"/>
          <w:szCs w:val="24"/>
          <w:lang w:eastAsia="pl-PL" w:bidi="pl-PL"/>
        </w:rPr>
        <w:t xml:space="preserve"> jego małżonek, osoba pozostająca we wspólnym pożyciu lub inna osoba zgłoszona do wspólnego zamieszkania posiada tytuł prawny do innego lokalu, budynku mieszkalnego lub jego części położonego w tej samej lub pobliskiej</w:t>
      </w:r>
      <w:r w:rsidRPr="00795113">
        <w:rPr>
          <w:i/>
          <w:color w:val="000000"/>
          <w:sz w:val="24"/>
          <w:szCs w:val="24"/>
          <w:lang w:eastAsia="pl-PL" w:bidi="pl-PL"/>
        </w:rPr>
        <w:t xml:space="preserve"> miejscowości</w:t>
      </w:r>
      <w:r w:rsidRPr="00795113">
        <w:rPr>
          <w:b/>
          <w:i/>
          <w:color w:val="000000"/>
          <w:sz w:val="24"/>
          <w:szCs w:val="24"/>
          <w:lang w:eastAsia="pl-PL" w:bidi="pl-PL"/>
        </w:rPr>
        <w:t xml:space="preserve"> </w:t>
      </w:r>
      <w:r>
        <w:rPr>
          <w:b/>
          <w:i/>
          <w:color w:val="000000"/>
          <w:sz w:val="24"/>
          <w:szCs w:val="24"/>
          <w:lang w:eastAsia="pl-PL" w:bidi="pl-PL"/>
        </w:rPr>
        <w:br/>
      </w:r>
      <w:r w:rsidRPr="00795113">
        <w:rPr>
          <w:b/>
          <w:i/>
          <w:color w:val="000000"/>
          <w:sz w:val="24"/>
          <w:szCs w:val="24"/>
          <w:lang w:eastAsia="pl-PL" w:bidi="pl-PL"/>
        </w:rPr>
        <w:t>i może go używać</w:t>
      </w:r>
      <w:r>
        <w:rPr>
          <w:i/>
          <w:color w:val="000000"/>
          <w:sz w:val="24"/>
          <w:szCs w:val="24"/>
          <w:lang w:eastAsia="pl-PL" w:bidi="pl-PL"/>
        </w:rPr>
        <w:t xml:space="preserve"> (…)”</w:t>
      </w:r>
    </w:p>
    <w:p w:rsidR="00CC5AA2" w:rsidRPr="00EB7D45" w:rsidRDefault="00365530" w:rsidP="00CC5AA2">
      <w:pPr>
        <w:rPr>
          <w:color w:val="000000"/>
          <w:sz w:val="28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lastRenderedPageBreak/>
        <w:t>T</w:t>
      </w:r>
      <w:r>
        <w:rPr>
          <w:color w:val="000000"/>
          <w:sz w:val="24"/>
          <w:szCs w:val="24"/>
          <w:lang w:eastAsia="pl-PL" w:bidi="pl-PL"/>
        </w:rPr>
        <w:t xml:space="preserve">ymczasem art. 21b ust. 4 u.o.p.l. </w:t>
      </w:r>
      <w:r>
        <w:rPr>
          <w:color w:val="000000"/>
          <w:sz w:val="24"/>
          <w:szCs w:val="24"/>
          <w:lang w:eastAsia="pl-PL" w:bidi="pl-PL"/>
        </w:rPr>
        <w:t xml:space="preserve">stanowi, że </w:t>
      </w:r>
      <w:r>
        <w:rPr>
          <w:color w:val="000000"/>
          <w:sz w:val="24"/>
          <w:szCs w:val="24"/>
          <w:lang w:eastAsia="pl-PL" w:bidi="pl-PL"/>
        </w:rPr>
        <w:t>n</w:t>
      </w:r>
      <w:r w:rsidRPr="006777C7">
        <w:rPr>
          <w:sz w:val="24"/>
        </w:rPr>
        <w:t xml:space="preserve">a żądanie gminy najemca lub osoba ubiegająca się o zawarcie umowy najmu lub podnajmu lokalu i najmu socjalnego lokalu wchodzącego w skład mieszkaniowego zasobu gminy jest obowiązana do złożenia </w:t>
      </w:r>
      <w:r w:rsidRPr="00795113">
        <w:rPr>
          <w:b/>
          <w:sz w:val="24"/>
        </w:rPr>
        <w:t>oświadczenia o</w:t>
      </w:r>
      <w:r w:rsidRPr="006777C7">
        <w:rPr>
          <w:sz w:val="24"/>
        </w:rPr>
        <w:t xml:space="preserve"> </w:t>
      </w:r>
      <w:r w:rsidRPr="00795113">
        <w:rPr>
          <w:b/>
          <w:sz w:val="24"/>
        </w:rPr>
        <w:t>nieposiadaniu tytułu prawnego do innego lokalu położonego w tej samej lub pobliskiej miejscowości</w:t>
      </w:r>
      <w:r w:rsidRPr="006777C7">
        <w:rPr>
          <w:sz w:val="24"/>
        </w:rPr>
        <w:t>.</w:t>
      </w:r>
      <w:r>
        <w:rPr>
          <w:sz w:val="24"/>
        </w:rPr>
        <w:t xml:space="preserve"> Ponadto zgodnie z art. 21b ust. 6 u.o.p.l. g</w:t>
      </w:r>
      <w:r w:rsidRPr="00EB7D45">
        <w:rPr>
          <w:sz w:val="24"/>
        </w:rPr>
        <w:t>mina odmawia zawarcia umowy najmu lub podnajmu lokalu i najmu socjalnego lokalu w przypadku niezłożenia deklaracj</w:t>
      </w:r>
      <w:r w:rsidRPr="00EB7D45">
        <w:rPr>
          <w:sz w:val="24"/>
        </w:rPr>
        <w:t xml:space="preserve">i o wysokości dochodów członków gospodarstwa domowego, oświadczenia o stanie majątkowym członków gospodarstwa domowego, </w:t>
      </w:r>
      <w:r w:rsidRPr="00795113">
        <w:rPr>
          <w:b/>
          <w:sz w:val="24"/>
        </w:rPr>
        <w:t>oświadczenia o nieposiadaniu tytułu prawnego do innego lokalu położonego w tej samej lub pobliskiej miejscowości</w:t>
      </w:r>
      <w:r w:rsidRPr="00EB7D45">
        <w:rPr>
          <w:sz w:val="24"/>
        </w:rPr>
        <w:t xml:space="preserve"> lub jeżeli występuje ra</w:t>
      </w:r>
      <w:r w:rsidRPr="00EB7D45">
        <w:rPr>
          <w:sz w:val="24"/>
        </w:rPr>
        <w:t xml:space="preserve">żąca dysproporcja między niskimi dochodami wskazanymi w złożonej deklaracji </w:t>
      </w:r>
      <w:r>
        <w:rPr>
          <w:sz w:val="24"/>
        </w:rPr>
        <w:br/>
      </w:r>
      <w:r w:rsidRPr="00EB7D45">
        <w:rPr>
          <w:sz w:val="24"/>
        </w:rPr>
        <w:t>a wykazanym w oświadczeniu stanem majątkowym członków gospodarstwa domowego osoby ubiegającej się o zawarcie umowy najmu lub podnajmu lokalu i najmu socjalnego lokalu.</w:t>
      </w:r>
    </w:p>
    <w:p w:rsidR="00CC5AA2" w:rsidRDefault="00365530" w:rsidP="00CC5AA2">
      <w:pPr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Wobec powyższego stwierdzić należy, że Rada Mi</w:t>
      </w:r>
      <w:r>
        <w:rPr>
          <w:color w:val="000000"/>
          <w:sz w:val="24"/>
          <w:szCs w:val="24"/>
          <w:lang w:eastAsia="pl-PL" w:bidi="pl-PL"/>
        </w:rPr>
        <w:t>ejska</w:t>
      </w:r>
      <w:r>
        <w:rPr>
          <w:color w:val="000000"/>
          <w:sz w:val="24"/>
          <w:szCs w:val="24"/>
          <w:lang w:eastAsia="pl-PL" w:bidi="pl-PL"/>
        </w:rPr>
        <w:t xml:space="preserve"> poprzez wprowadzenie </w:t>
      </w:r>
      <w:r>
        <w:rPr>
          <w:color w:val="000000"/>
          <w:sz w:val="24"/>
          <w:szCs w:val="24"/>
          <w:lang w:eastAsia="pl-PL" w:bidi="pl-PL"/>
        </w:rPr>
        <w:br/>
      </w:r>
      <w:r>
        <w:rPr>
          <w:color w:val="000000"/>
          <w:sz w:val="24"/>
          <w:szCs w:val="24"/>
          <w:lang w:eastAsia="pl-PL" w:bidi="pl-PL"/>
        </w:rPr>
        <w:t xml:space="preserve">do </w:t>
      </w:r>
      <w:r>
        <w:rPr>
          <w:color w:val="000000"/>
          <w:sz w:val="24"/>
          <w:szCs w:val="24"/>
          <w:lang w:eastAsia="pl-PL" w:bidi="pl-PL"/>
        </w:rPr>
        <w:t xml:space="preserve">kryterium </w:t>
      </w:r>
      <w:r>
        <w:rPr>
          <w:color w:val="000000"/>
          <w:sz w:val="24"/>
          <w:szCs w:val="24"/>
          <w:lang w:eastAsia="pl-PL" w:bidi="pl-PL"/>
        </w:rPr>
        <w:t xml:space="preserve">odmowy wynajęcia lokalu także możliwości jego używania </w:t>
      </w:r>
      <w:r>
        <w:rPr>
          <w:color w:val="000000"/>
          <w:sz w:val="24"/>
          <w:szCs w:val="24"/>
          <w:lang w:eastAsia="pl-PL" w:bidi="pl-PL"/>
        </w:rPr>
        <w:t xml:space="preserve">przez najemcę w </w:t>
      </w:r>
      <w:r>
        <w:rPr>
          <w:rFonts w:cs="Calibri"/>
          <w:color w:val="000000"/>
          <w:sz w:val="24"/>
          <w:szCs w:val="24"/>
          <w:lang w:eastAsia="pl-PL" w:bidi="pl-PL"/>
        </w:rPr>
        <w:t>§</w:t>
      </w:r>
      <w:r>
        <w:rPr>
          <w:color w:val="000000"/>
          <w:sz w:val="24"/>
          <w:szCs w:val="24"/>
          <w:lang w:eastAsia="pl-PL" w:bidi="pl-PL"/>
        </w:rPr>
        <w:t> </w:t>
      </w:r>
      <w:r>
        <w:rPr>
          <w:color w:val="000000"/>
          <w:sz w:val="24"/>
          <w:szCs w:val="24"/>
          <w:lang w:eastAsia="pl-PL" w:bidi="pl-PL"/>
        </w:rPr>
        <w:t>7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ust. 3 pkt 1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Z</w:t>
      </w:r>
      <w:r>
        <w:rPr>
          <w:color w:val="000000"/>
          <w:sz w:val="24"/>
          <w:szCs w:val="24"/>
          <w:lang w:eastAsia="pl-PL" w:bidi="pl-PL"/>
        </w:rPr>
        <w:t xml:space="preserve">ałącznika </w:t>
      </w:r>
      <w:r>
        <w:rPr>
          <w:color w:val="000000"/>
          <w:sz w:val="24"/>
          <w:szCs w:val="24"/>
          <w:lang w:eastAsia="pl-PL" w:bidi="pl-PL"/>
        </w:rPr>
        <w:t>do u</w:t>
      </w:r>
      <w:r>
        <w:rPr>
          <w:color w:val="000000"/>
          <w:sz w:val="24"/>
          <w:szCs w:val="24"/>
          <w:lang w:eastAsia="pl-PL" w:bidi="pl-PL"/>
        </w:rPr>
        <w:t xml:space="preserve">chwały w sposób istotny naruszyła art. 21b ust. 4 i 6 </w:t>
      </w:r>
      <w:bookmarkStart w:id="3" w:name="_Hlk65529084"/>
      <w:r>
        <w:rPr>
          <w:color w:val="000000"/>
          <w:sz w:val="24"/>
          <w:szCs w:val="24"/>
          <w:lang w:eastAsia="pl-PL" w:bidi="pl-PL"/>
        </w:rPr>
        <w:t xml:space="preserve">u.o.p.l. </w:t>
      </w:r>
      <w:bookmarkEnd w:id="3"/>
    </w:p>
    <w:p w:rsidR="00CC5AA2" w:rsidRPr="003327B1" w:rsidRDefault="00365530" w:rsidP="00C53CF2">
      <w:pPr>
        <w:rPr>
          <w:rFonts w:cs="Calibri"/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Ma</w:t>
      </w:r>
      <w:r>
        <w:rPr>
          <w:color w:val="000000"/>
          <w:sz w:val="24"/>
          <w:szCs w:val="24"/>
          <w:lang w:eastAsia="pl-PL" w:bidi="pl-PL"/>
        </w:rPr>
        <w:t xml:space="preserve">jąc na uwadze </w:t>
      </w:r>
      <w:r>
        <w:rPr>
          <w:color w:val="000000"/>
          <w:sz w:val="24"/>
          <w:szCs w:val="24"/>
          <w:lang w:eastAsia="pl-PL" w:bidi="pl-PL"/>
        </w:rPr>
        <w:t xml:space="preserve">powyższe, </w:t>
      </w:r>
      <w:r>
        <w:rPr>
          <w:color w:val="000000"/>
          <w:sz w:val="24"/>
          <w:szCs w:val="24"/>
          <w:lang w:eastAsia="pl-PL" w:bidi="pl-PL"/>
        </w:rPr>
        <w:t xml:space="preserve">wskazać należy, że </w:t>
      </w:r>
      <w:r>
        <w:rPr>
          <w:color w:val="000000"/>
          <w:sz w:val="24"/>
          <w:szCs w:val="24"/>
          <w:lang w:eastAsia="pl-PL" w:bidi="pl-PL"/>
        </w:rPr>
        <w:t xml:space="preserve">jedynym kryterium odmowy zawarcia </w:t>
      </w:r>
      <w:r>
        <w:rPr>
          <w:color w:val="000000"/>
          <w:sz w:val="24"/>
          <w:szCs w:val="24"/>
          <w:lang w:eastAsia="pl-PL" w:bidi="pl-PL"/>
        </w:rPr>
        <w:t xml:space="preserve">umowy </w:t>
      </w:r>
      <w:r w:rsidRPr="00EB7D45">
        <w:rPr>
          <w:sz w:val="24"/>
        </w:rPr>
        <w:t>najmu lub podnajmu lokalu i najmu socjalnego lokalu</w:t>
      </w:r>
      <w:r>
        <w:rPr>
          <w:sz w:val="24"/>
        </w:rPr>
        <w:t xml:space="preserve"> jest m.in. niezłożenie oświadczenia o nieposiadaniu tytułu prawnego do innego lokalu położonego w tej samej lub pobliskie</w:t>
      </w:r>
      <w:r>
        <w:rPr>
          <w:sz w:val="24"/>
        </w:rPr>
        <w:t xml:space="preserve">j miejscowości. </w:t>
      </w:r>
      <w:r>
        <w:rPr>
          <w:sz w:val="24"/>
          <w:szCs w:val="24"/>
        </w:rPr>
        <w:t>Ustalenie Rady Mi</w:t>
      </w:r>
      <w:r>
        <w:rPr>
          <w:sz w:val="24"/>
          <w:szCs w:val="24"/>
        </w:rPr>
        <w:t>ejskiej</w:t>
      </w:r>
      <w:r>
        <w:rPr>
          <w:sz w:val="24"/>
          <w:szCs w:val="24"/>
        </w:rPr>
        <w:t xml:space="preserve"> zawarte w </w:t>
      </w:r>
      <w:r>
        <w:rPr>
          <w:rFonts w:cs="Calibri"/>
          <w:color w:val="000000"/>
          <w:sz w:val="24"/>
          <w:szCs w:val="24"/>
          <w:lang w:eastAsia="pl-PL" w:bidi="pl-PL"/>
        </w:rPr>
        <w:t>§</w:t>
      </w:r>
      <w:r>
        <w:rPr>
          <w:color w:val="000000"/>
          <w:sz w:val="24"/>
          <w:szCs w:val="24"/>
          <w:lang w:eastAsia="pl-PL" w:bidi="pl-PL"/>
        </w:rPr>
        <w:t xml:space="preserve"> 7 ust. 3 pkt 1 Załącznika do uchwały </w:t>
      </w:r>
      <w:r>
        <w:rPr>
          <w:rFonts w:cs="Calibri"/>
          <w:sz w:val="24"/>
          <w:szCs w:val="24"/>
        </w:rPr>
        <w:t xml:space="preserve">zostało wprowadzone z przekroczeniem delegacji ustawowej. </w:t>
      </w:r>
    </w:p>
    <w:p w:rsidR="00202CFD" w:rsidRPr="00DD0373" w:rsidRDefault="00365530" w:rsidP="00DD0373">
      <w:p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Tymczasem </w:t>
      </w:r>
      <w:r>
        <w:rPr>
          <w:rFonts w:cs="Calibri"/>
          <w:sz w:val="24"/>
          <w:szCs w:val="24"/>
        </w:rPr>
        <w:t xml:space="preserve">spełnienie łącznie przesłanek nieposiadania tytułu prawnego </w:t>
      </w:r>
      <w:r>
        <w:rPr>
          <w:sz w:val="24"/>
        </w:rPr>
        <w:t xml:space="preserve">do innego lokalu położonego w tej samej lub pobliskiej miejscowości </w:t>
      </w:r>
      <w:r>
        <w:rPr>
          <w:sz w:val="24"/>
        </w:rPr>
        <w:t>w sytuacji gdy</w:t>
      </w:r>
      <w:r>
        <w:rPr>
          <w:sz w:val="24"/>
        </w:rPr>
        <w:t xml:space="preserve"> </w:t>
      </w:r>
      <w:r>
        <w:rPr>
          <w:sz w:val="24"/>
        </w:rPr>
        <w:t>najemca</w:t>
      </w:r>
      <w:r>
        <w:rPr>
          <w:sz w:val="24"/>
        </w:rPr>
        <w:t xml:space="preserve"> może </w:t>
      </w:r>
      <w:r>
        <w:rPr>
          <w:sz w:val="24"/>
        </w:rPr>
        <w:t>używa</w:t>
      </w:r>
      <w:r>
        <w:rPr>
          <w:sz w:val="24"/>
        </w:rPr>
        <w:t>ć</w:t>
      </w:r>
      <w:r>
        <w:rPr>
          <w:sz w:val="24"/>
        </w:rPr>
        <w:t xml:space="preserve"> </w:t>
      </w:r>
      <w:r>
        <w:rPr>
          <w:sz w:val="24"/>
        </w:rPr>
        <w:t>tego</w:t>
      </w:r>
      <w:r>
        <w:rPr>
          <w:sz w:val="24"/>
        </w:rPr>
        <w:t xml:space="preserve"> innego</w:t>
      </w:r>
      <w:r>
        <w:rPr>
          <w:sz w:val="24"/>
        </w:rPr>
        <w:t xml:space="preserve"> lokalu zostało przewidziane przez ustawodawcę w ramach </w:t>
      </w:r>
      <w:r w:rsidRPr="00DD0373">
        <w:rPr>
          <w:b/>
          <w:sz w:val="24"/>
        </w:rPr>
        <w:t xml:space="preserve">wypowiedzenia </w:t>
      </w:r>
      <w:r w:rsidRPr="00DD0373">
        <w:rPr>
          <w:b/>
          <w:sz w:val="24"/>
          <w:szCs w:val="24"/>
        </w:rPr>
        <w:t>najmu</w:t>
      </w:r>
      <w:r>
        <w:rPr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zg</w:t>
      </w:r>
      <w:r w:rsidRPr="003B110C">
        <w:rPr>
          <w:rFonts w:asciiTheme="minorHAnsi" w:hAnsiTheme="minorHAnsi" w:cstheme="minorHAnsi"/>
          <w:sz w:val="24"/>
          <w:szCs w:val="24"/>
          <w:shd w:val="clear" w:color="auto" w:fill="FFFFFF"/>
        </w:rPr>
        <w:t>odnie z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hyperlink r:id="rId14" w:anchor="/document/16903658?unitId=art(11)ust(3)pkt(2)&amp;cm=DOCUMENT" w:history="1">
        <w:r w:rsidRPr="003B110C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art. 11 ust. 3 pkt 2</w:t>
        </w:r>
      </w:hyperlink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3B110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u.o.p.l.,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który stanowi, że </w:t>
      </w:r>
      <w:r w:rsidRPr="003B110C">
        <w:rPr>
          <w:rFonts w:asciiTheme="minorHAnsi" w:hAnsiTheme="minorHAnsi" w:cstheme="minorHAnsi"/>
          <w:sz w:val="24"/>
          <w:szCs w:val="24"/>
          <w:shd w:val="clear" w:color="auto" w:fill="FFFFFF"/>
        </w:rPr>
        <w:t>właściciel lokalu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(gmina)</w:t>
      </w:r>
      <w:r w:rsidRPr="003B110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DD0373">
        <w:rPr>
          <w:rFonts w:asciiTheme="minorHAnsi" w:hAnsiTheme="minorHAnsi" w:cstheme="minorHAnsi"/>
          <w:sz w:val="24"/>
          <w:szCs w:val="24"/>
          <w:shd w:val="clear" w:color="auto" w:fill="FFFFFF"/>
        </w:rPr>
        <w:t>może wypowiedzieć stosunek najmu z zachowaniem miesięcznego terminu wypowiedzenia, n</w:t>
      </w:r>
      <w:r w:rsidRPr="00DD0373">
        <w:rPr>
          <w:sz w:val="24"/>
          <w:szCs w:val="24"/>
        </w:rPr>
        <w:t xml:space="preserve">a koniec miesiąca kalendarzowego, osobie, której </w:t>
      </w:r>
      <w:r w:rsidRPr="00DD0373">
        <w:rPr>
          <w:sz w:val="24"/>
          <w:szCs w:val="24"/>
        </w:rPr>
        <w:t>przysługuje tytuł prawny do innego lokalu położonego w tej samej lub pobliskiej miejscowości, a lokator może używać tego lokalu, jeżeli lokal ten spełnia warunki przewidziane dla lokalu zamiennego</w:t>
      </w:r>
      <w:r>
        <w:rPr>
          <w:sz w:val="24"/>
          <w:szCs w:val="24"/>
        </w:rPr>
        <w:t xml:space="preserve"> oraz </w:t>
      </w:r>
      <w:r w:rsidRPr="00DD0373">
        <w:rPr>
          <w:b/>
          <w:sz w:val="24"/>
          <w:szCs w:val="24"/>
        </w:rPr>
        <w:t xml:space="preserve">wypowiedzenia </w:t>
      </w:r>
      <w:r w:rsidRPr="00DD0373">
        <w:rPr>
          <w:b/>
          <w:sz w:val="24"/>
        </w:rPr>
        <w:t>najmu socjalnego</w:t>
      </w:r>
      <w:r w:rsidRPr="00DD0373">
        <w:rPr>
          <w:b/>
          <w:sz w:val="24"/>
        </w:rPr>
        <w:t xml:space="preserve"> lokalu</w:t>
      </w:r>
      <w:r>
        <w:rPr>
          <w:sz w:val="24"/>
        </w:rPr>
        <w:t xml:space="preserve"> na podstawie art</w:t>
      </w:r>
      <w:r>
        <w:rPr>
          <w:sz w:val="24"/>
        </w:rPr>
        <w:t xml:space="preserve">. 25 </w:t>
      </w:r>
      <w:r>
        <w:rPr>
          <w:color w:val="000000"/>
          <w:sz w:val="24"/>
          <w:szCs w:val="24"/>
          <w:lang w:eastAsia="pl-PL" w:bidi="pl-PL"/>
        </w:rPr>
        <w:t>u.o.p.l</w:t>
      </w:r>
      <w:r>
        <w:rPr>
          <w:color w:val="000000"/>
          <w:sz w:val="24"/>
          <w:szCs w:val="24"/>
          <w:lang w:eastAsia="pl-PL" w:bidi="pl-PL"/>
        </w:rPr>
        <w:t xml:space="preserve">, który stanowi, że </w:t>
      </w:r>
      <w:r w:rsidRPr="003B110C">
        <w:rPr>
          <w:bCs/>
          <w:sz w:val="24"/>
          <w:szCs w:val="24"/>
        </w:rPr>
        <w:t xml:space="preserve">gmina może wypowiedzieć </w:t>
      </w:r>
      <w:r>
        <w:rPr>
          <w:bCs/>
          <w:sz w:val="24"/>
          <w:szCs w:val="24"/>
        </w:rPr>
        <w:t>najemcy umowę najmu</w:t>
      </w:r>
      <w:r w:rsidRPr="003B110C">
        <w:rPr>
          <w:bCs/>
          <w:sz w:val="24"/>
          <w:szCs w:val="24"/>
        </w:rPr>
        <w:t xml:space="preserve"> socjalnego </w:t>
      </w:r>
      <w:r>
        <w:rPr>
          <w:bCs/>
          <w:sz w:val="24"/>
          <w:szCs w:val="24"/>
        </w:rPr>
        <w:t xml:space="preserve">lokalu </w:t>
      </w:r>
      <w:r w:rsidRPr="003B110C">
        <w:rPr>
          <w:bCs/>
          <w:sz w:val="24"/>
          <w:szCs w:val="24"/>
        </w:rPr>
        <w:t>bez zachowania terminu wypowiedzenia</w:t>
      </w:r>
      <w:r w:rsidRPr="003B110C">
        <w:rPr>
          <w:sz w:val="24"/>
          <w:szCs w:val="24"/>
        </w:rPr>
        <w:t>, jeżeli uzyskał</w:t>
      </w:r>
      <w:r>
        <w:rPr>
          <w:sz w:val="24"/>
          <w:szCs w:val="24"/>
        </w:rPr>
        <w:t xml:space="preserve"> on</w:t>
      </w:r>
      <w:r w:rsidRPr="003B110C">
        <w:rPr>
          <w:sz w:val="24"/>
          <w:szCs w:val="24"/>
        </w:rPr>
        <w:t xml:space="preserve"> tytuł prawny do innego lokalu i może </w:t>
      </w:r>
      <w:r>
        <w:rPr>
          <w:sz w:val="24"/>
          <w:szCs w:val="24"/>
        </w:rPr>
        <w:t>go używać.</w:t>
      </w:r>
    </w:p>
    <w:p w:rsidR="00D850ED" w:rsidRPr="002C646B" w:rsidRDefault="00365530" w:rsidP="003B110C">
      <w:pPr>
        <w:ind w:firstLine="708"/>
        <w:rPr>
          <w:rFonts w:asciiTheme="minorHAnsi" w:eastAsiaTheme="minorHAnsi" w:hAnsiTheme="minorHAnsi" w:cstheme="minorBidi"/>
          <w:sz w:val="24"/>
          <w:szCs w:val="24"/>
        </w:rPr>
      </w:pPr>
      <w:r w:rsidRPr="002C646B">
        <w:rPr>
          <w:rFonts w:eastAsia="Times New Roman" w:cs="Calibri"/>
          <w:sz w:val="24"/>
          <w:szCs w:val="24"/>
          <w:lang w:eastAsia="pl-PL"/>
        </w:rPr>
        <w:lastRenderedPageBreak/>
        <w:t xml:space="preserve">Mając powyższe na uwadze należy uznać, że uchwała </w:t>
      </w:r>
      <w:r w:rsidRPr="002C646B">
        <w:rPr>
          <w:rFonts w:cs="Calibri"/>
          <w:sz w:val="24"/>
          <w:szCs w:val="24"/>
          <w:lang w:eastAsia="pl-PL"/>
        </w:rPr>
        <w:t xml:space="preserve">Nr XXXV/333/21 </w:t>
      </w:r>
      <w:r w:rsidRPr="002C646B">
        <w:rPr>
          <w:rFonts w:cs="Calibri"/>
          <w:sz w:val="24"/>
          <w:szCs w:val="24"/>
          <w:lang w:eastAsia="pl-PL"/>
        </w:rPr>
        <w:t xml:space="preserve">Rady </w:t>
      </w:r>
      <w:r w:rsidRPr="002C646B">
        <w:rPr>
          <w:rFonts w:cs="Calibri"/>
          <w:sz w:val="24"/>
          <w:szCs w:val="24"/>
          <w:lang w:eastAsia="pl-PL"/>
        </w:rPr>
        <w:t>Miejskiej w Ożarowie Mazowieckim</w:t>
      </w:r>
      <w:r w:rsidRPr="002C646B">
        <w:rPr>
          <w:rFonts w:cs="Calibri"/>
          <w:sz w:val="24"/>
          <w:szCs w:val="24"/>
          <w:lang w:eastAsia="pl-PL"/>
        </w:rPr>
        <w:t xml:space="preserve"> z dnia </w:t>
      </w:r>
      <w:r w:rsidRPr="002C646B">
        <w:rPr>
          <w:rFonts w:cs="Calibri"/>
          <w:sz w:val="24"/>
          <w:szCs w:val="24"/>
          <w:lang w:eastAsia="pl-PL"/>
        </w:rPr>
        <w:t>27 stycznia 2021</w:t>
      </w:r>
      <w:r w:rsidRPr="002C646B">
        <w:rPr>
          <w:rFonts w:cs="Calibri"/>
          <w:sz w:val="24"/>
          <w:szCs w:val="24"/>
          <w:lang w:eastAsia="pl-PL"/>
        </w:rPr>
        <w:t xml:space="preserve"> r. </w:t>
      </w:r>
      <w:r w:rsidRPr="002C646B">
        <w:rPr>
          <w:rFonts w:cs="Calibri"/>
          <w:i/>
          <w:sz w:val="24"/>
          <w:szCs w:val="24"/>
          <w:lang w:eastAsia="pl-PL"/>
        </w:rPr>
        <w:t>w sprawie</w:t>
      </w:r>
      <w:r w:rsidRPr="002C646B">
        <w:rPr>
          <w:rFonts w:cs="Calibri"/>
          <w:i/>
          <w:sz w:val="24"/>
          <w:szCs w:val="24"/>
          <w:lang w:eastAsia="pl-PL"/>
        </w:rPr>
        <w:t xml:space="preserve"> zasad wynajmowania lokali </w:t>
      </w:r>
      <w:r>
        <w:rPr>
          <w:rFonts w:cs="Calibri"/>
          <w:i/>
          <w:sz w:val="24"/>
          <w:szCs w:val="24"/>
          <w:lang w:eastAsia="pl-PL"/>
        </w:rPr>
        <w:t>3</w:t>
      </w:r>
      <w:r w:rsidRPr="002C646B">
        <w:rPr>
          <w:rFonts w:cs="Calibri"/>
          <w:i/>
          <w:sz w:val="24"/>
          <w:szCs w:val="24"/>
          <w:lang w:eastAsia="pl-PL"/>
        </w:rPr>
        <w:t>wchodzących w skład mieszkaniowego zasobu Gminy Ożarów</w:t>
      </w:r>
      <w:r w:rsidRPr="002C646B">
        <w:rPr>
          <w:rFonts w:cs="Calibri"/>
          <w:sz w:val="24"/>
          <w:szCs w:val="24"/>
          <w:lang w:eastAsia="pl-PL"/>
        </w:rPr>
        <w:t>,</w:t>
      </w:r>
      <w:r w:rsidRPr="002C646B">
        <w:rPr>
          <w:rFonts w:cs="Calibri"/>
          <w:i/>
          <w:sz w:val="24"/>
          <w:szCs w:val="24"/>
          <w:lang w:eastAsia="pl-PL"/>
        </w:rPr>
        <w:t xml:space="preserve"> </w:t>
      </w:r>
      <w:r w:rsidRPr="002C646B">
        <w:rPr>
          <w:rFonts w:cs="Calibri"/>
          <w:sz w:val="24"/>
          <w:szCs w:val="24"/>
          <w:lang w:eastAsia="pl-PL"/>
        </w:rPr>
        <w:t xml:space="preserve">została wydana z istotnym naruszeniem prawa w części wskazanej w petitum, </w:t>
      </w:r>
      <w:r>
        <w:rPr>
          <w:rFonts w:cs="Calibri"/>
          <w:sz w:val="24"/>
          <w:szCs w:val="24"/>
          <w:lang w:eastAsia="pl-PL"/>
        </w:rPr>
        <w:t xml:space="preserve">w związku z czym konieczne jest </w:t>
      </w:r>
      <w:r w:rsidRPr="002C646B">
        <w:rPr>
          <w:rFonts w:cs="Calibri"/>
          <w:sz w:val="24"/>
          <w:szCs w:val="24"/>
          <w:lang w:eastAsia="pl-PL"/>
        </w:rPr>
        <w:t>stwierdzenie nieważności w tej części.</w:t>
      </w:r>
    </w:p>
    <w:p w:rsidR="00D850ED" w:rsidRPr="002C646B" w:rsidRDefault="00365530" w:rsidP="00D850ED">
      <w:pPr>
        <w:ind w:firstLine="708"/>
        <w:rPr>
          <w:rFonts w:asciiTheme="minorHAnsi" w:eastAsiaTheme="minorHAnsi" w:hAnsiTheme="minorHAnsi" w:cstheme="minorBidi"/>
        </w:rPr>
      </w:pPr>
      <w:r w:rsidRPr="002C646B">
        <w:rPr>
          <w:rFonts w:eastAsia="Times New Roman" w:cs="Calibri"/>
          <w:sz w:val="24"/>
          <w:szCs w:val="24"/>
          <w:lang w:eastAsia="pl-PL"/>
        </w:rPr>
        <w:t xml:space="preserve">Na niniejsze rozstrzygnięcie nadzorcze </w:t>
      </w:r>
      <w:r w:rsidRPr="002C646B">
        <w:rPr>
          <w:rFonts w:eastAsia="Times New Roman" w:cs="Calibri"/>
          <w:sz w:val="24"/>
          <w:szCs w:val="24"/>
          <w:lang w:eastAsia="pl-PL"/>
        </w:rPr>
        <w:t>Miastu</w:t>
      </w:r>
      <w:r w:rsidRPr="002C646B">
        <w:rPr>
          <w:rFonts w:eastAsia="Times New Roman" w:cs="Calibri"/>
          <w:sz w:val="24"/>
          <w:szCs w:val="24"/>
          <w:lang w:eastAsia="pl-PL"/>
        </w:rPr>
        <w:t xml:space="preserve"> przysługuje skarga do Wojewódzkiego Sądu Administracyjnego w Warszawie w terminie 30 dni od daty doręczenia, wnoszona </w:t>
      </w:r>
      <w:r w:rsidRPr="002C646B">
        <w:rPr>
          <w:rFonts w:eastAsia="Times New Roman" w:cs="Calibri"/>
          <w:sz w:val="24"/>
          <w:szCs w:val="24"/>
          <w:lang w:eastAsia="pl-PL"/>
        </w:rPr>
        <w:br/>
        <w:t>za pośrednictwem org</w:t>
      </w:r>
      <w:r w:rsidRPr="002C646B">
        <w:rPr>
          <w:rFonts w:eastAsia="Times New Roman" w:cs="Calibri"/>
          <w:sz w:val="24"/>
          <w:szCs w:val="24"/>
          <w:lang w:eastAsia="pl-PL"/>
        </w:rPr>
        <w:t>anu, który skarżone orzeczenie wydał.</w:t>
      </w:r>
    </w:p>
    <w:p w:rsidR="00D850ED" w:rsidRPr="002C646B" w:rsidRDefault="00365530" w:rsidP="00D850ED">
      <w:pPr>
        <w:autoSpaceDE w:val="0"/>
        <w:autoSpaceDN w:val="0"/>
        <w:adjustRightInd w:val="0"/>
        <w:ind w:firstLine="720"/>
        <w:rPr>
          <w:rFonts w:eastAsia="Times New Roman" w:cs="Calibri"/>
          <w:sz w:val="24"/>
          <w:szCs w:val="24"/>
          <w:lang w:eastAsia="pl-PL"/>
        </w:rPr>
      </w:pPr>
      <w:r w:rsidRPr="002C646B">
        <w:rPr>
          <w:rFonts w:eastAsia="Times New Roman" w:cs="Calibri"/>
          <w:sz w:val="24"/>
          <w:szCs w:val="24"/>
          <w:lang w:eastAsia="pl-PL"/>
        </w:rPr>
        <w:t>Informuję również, że rozstrzygnięcie nadzorcze wstrzymuje wykonanie uchwały</w:t>
      </w:r>
      <w:r w:rsidRPr="002C64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C646B">
        <w:rPr>
          <w:rFonts w:eastAsia="Times New Roman" w:cs="Calibri"/>
          <w:sz w:val="24"/>
          <w:szCs w:val="24"/>
          <w:lang w:eastAsia="pl-PL"/>
        </w:rPr>
        <w:br/>
        <w:t>z</w:t>
      </w:r>
      <w:r w:rsidRPr="002C646B">
        <w:rPr>
          <w:rFonts w:eastAsia="Times New Roman" w:cs="Calibri"/>
          <w:sz w:val="24"/>
          <w:szCs w:val="24"/>
          <w:lang w:eastAsia="pl-PL"/>
        </w:rPr>
        <w:t xml:space="preserve"> mocy prawa</w:t>
      </w:r>
      <w:r w:rsidRPr="002C646B"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2C646B">
        <w:rPr>
          <w:rFonts w:eastAsia="Times New Roman" w:cs="Calibri"/>
          <w:sz w:val="24"/>
          <w:szCs w:val="24"/>
          <w:lang w:eastAsia="pl-PL"/>
        </w:rPr>
        <w:t xml:space="preserve">w części </w:t>
      </w:r>
      <w:r w:rsidRPr="002C646B">
        <w:rPr>
          <w:rFonts w:eastAsia="Times New Roman" w:cs="Calibri"/>
          <w:sz w:val="24"/>
          <w:szCs w:val="24"/>
          <w:lang w:eastAsia="pl-PL"/>
        </w:rPr>
        <w:t>objętej rozstrz</w:t>
      </w:r>
      <w:r w:rsidRPr="002C646B">
        <w:rPr>
          <w:rFonts w:eastAsia="Times New Roman" w:cs="Calibri"/>
          <w:sz w:val="24"/>
          <w:szCs w:val="24"/>
          <w:lang w:eastAsia="pl-PL"/>
        </w:rPr>
        <w:t>ygnięciem</w:t>
      </w:r>
      <w:r w:rsidRPr="002C646B">
        <w:rPr>
          <w:rFonts w:eastAsia="Times New Roman" w:cs="Calibri"/>
          <w:sz w:val="24"/>
          <w:szCs w:val="24"/>
          <w:lang w:eastAsia="pl-PL"/>
        </w:rPr>
        <w:t>, z dniem jego doręczenia.</w:t>
      </w:r>
    </w:p>
    <w:p w:rsidR="00D850ED" w:rsidRPr="002C646B" w:rsidRDefault="00365530" w:rsidP="00D850ED">
      <w:pPr>
        <w:ind w:firstLine="0"/>
        <w:rPr>
          <w:rFonts w:asciiTheme="minorHAnsi" w:eastAsiaTheme="minorHAnsi" w:hAnsiTheme="minorHAnsi" w:cstheme="minorBidi"/>
        </w:rPr>
      </w:pPr>
    </w:p>
    <w:p w:rsidR="00D850ED" w:rsidRPr="002C646B" w:rsidRDefault="00365530" w:rsidP="00D850ED">
      <w:pPr>
        <w:ind w:firstLine="0"/>
        <w:jc w:val="left"/>
        <w:rPr>
          <w:rFonts w:asciiTheme="minorHAnsi" w:eastAsiaTheme="minorHAnsi" w:hAnsiTheme="minorHAnsi" w:cstheme="minorBidi"/>
          <w:i/>
          <w:sz w:val="24"/>
          <w:szCs w:val="24"/>
        </w:rPr>
      </w:pPr>
      <w:r w:rsidRPr="002C646B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C646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2C646B">
        <w:rPr>
          <w:rFonts w:asciiTheme="minorHAnsi" w:eastAsiaTheme="minorHAnsi" w:hAnsiTheme="minorHAnsi" w:cstheme="minorBidi"/>
          <w:i/>
          <w:sz w:val="24"/>
          <w:szCs w:val="24"/>
        </w:rPr>
        <w:t>Konstanty Radziwiłł</w:t>
      </w:r>
    </w:p>
    <w:p w:rsidR="00D850ED" w:rsidRPr="002C646B" w:rsidRDefault="00365530" w:rsidP="00D850ED">
      <w:pPr>
        <w:ind w:firstLine="0"/>
        <w:jc w:val="center"/>
        <w:rPr>
          <w:rFonts w:asciiTheme="minorHAnsi" w:eastAsiaTheme="minorHAnsi" w:hAnsiTheme="minorHAnsi" w:cstheme="minorBidi"/>
          <w:i/>
          <w:sz w:val="24"/>
          <w:szCs w:val="24"/>
        </w:rPr>
      </w:pPr>
      <w:r w:rsidRPr="002C646B">
        <w:rPr>
          <w:rFonts w:asciiTheme="minorHAnsi" w:eastAsiaTheme="minorHAnsi" w:hAnsiTheme="minorHAnsi" w:cstheme="minorBidi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Pr="002C646B">
        <w:rPr>
          <w:rFonts w:asciiTheme="minorHAnsi" w:eastAsiaTheme="minorHAnsi" w:hAnsiTheme="minorHAnsi" w:cstheme="minorBidi"/>
          <w:i/>
          <w:sz w:val="24"/>
          <w:szCs w:val="24"/>
        </w:rPr>
        <w:t xml:space="preserve"> Wojewoda Mazowiecki</w:t>
      </w:r>
    </w:p>
    <w:p w:rsidR="00A41171" w:rsidRPr="003B110C" w:rsidRDefault="00365530" w:rsidP="00D850ED">
      <w:pPr>
        <w:ind w:firstLine="0"/>
        <w:jc w:val="center"/>
        <w:rPr>
          <w:rFonts w:asciiTheme="minorHAnsi" w:eastAsiaTheme="minorHAnsi" w:hAnsiTheme="minorHAnsi" w:cstheme="minorBidi"/>
          <w:i/>
          <w:sz w:val="24"/>
          <w:szCs w:val="24"/>
        </w:rPr>
      </w:pPr>
      <w:r w:rsidRPr="002C646B">
        <w:rPr>
          <w:rFonts w:asciiTheme="minorHAnsi" w:eastAsiaTheme="minorHAnsi" w:hAnsiTheme="minorHAnsi" w:cstheme="minorBidi"/>
          <w:i/>
          <w:sz w:val="24"/>
          <w:szCs w:val="24"/>
        </w:rPr>
        <w:t xml:space="preserve">                                                                                                                 /podpisano elektronicznie/</w:t>
      </w:r>
    </w:p>
    <w:p w:rsidR="00D850ED" w:rsidRPr="003B110C" w:rsidRDefault="00365530" w:rsidP="00D850ED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4"/>
          <w:szCs w:val="24"/>
        </w:rPr>
      </w:pPr>
    </w:p>
    <w:p w:rsidR="00921269" w:rsidRDefault="00365530"/>
    <w:sectPr w:rsidR="00921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804"/>
    <w:multiLevelType w:val="multilevel"/>
    <w:tmpl w:val="16204C08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B1D46"/>
    <w:multiLevelType w:val="hybridMultilevel"/>
    <w:tmpl w:val="942CDFA8"/>
    <w:lvl w:ilvl="0" w:tplc="63D44A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B7460A0" w:tentative="1">
      <w:start w:val="1"/>
      <w:numFmt w:val="lowerLetter"/>
      <w:lvlText w:val="%2."/>
      <w:lvlJc w:val="left"/>
      <w:pPr>
        <w:ind w:left="1364" w:hanging="360"/>
      </w:pPr>
    </w:lvl>
    <w:lvl w:ilvl="2" w:tplc="326603AC" w:tentative="1">
      <w:start w:val="1"/>
      <w:numFmt w:val="lowerRoman"/>
      <w:lvlText w:val="%3."/>
      <w:lvlJc w:val="right"/>
      <w:pPr>
        <w:ind w:left="2084" w:hanging="180"/>
      </w:pPr>
    </w:lvl>
    <w:lvl w:ilvl="3" w:tplc="2C60BF0C" w:tentative="1">
      <w:start w:val="1"/>
      <w:numFmt w:val="decimal"/>
      <w:lvlText w:val="%4."/>
      <w:lvlJc w:val="left"/>
      <w:pPr>
        <w:ind w:left="2804" w:hanging="360"/>
      </w:pPr>
    </w:lvl>
    <w:lvl w:ilvl="4" w:tplc="B890ED16" w:tentative="1">
      <w:start w:val="1"/>
      <w:numFmt w:val="lowerLetter"/>
      <w:lvlText w:val="%5."/>
      <w:lvlJc w:val="left"/>
      <w:pPr>
        <w:ind w:left="3524" w:hanging="360"/>
      </w:pPr>
    </w:lvl>
    <w:lvl w:ilvl="5" w:tplc="2C88CF2E" w:tentative="1">
      <w:start w:val="1"/>
      <w:numFmt w:val="lowerRoman"/>
      <w:lvlText w:val="%6."/>
      <w:lvlJc w:val="right"/>
      <w:pPr>
        <w:ind w:left="4244" w:hanging="180"/>
      </w:pPr>
    </w:lvl>
    <w:lvl w:ilvl="6" w:tplc="AF061100" w:tentative="1">
      <w:start w:val="1"/>
      <w:numFmt w:val="decimal"/>
      <w:lvlText w:val="%7."/>
      <w:lvlJc w:val="left"/>
      <w:pPr>
        <w:ind w:left="4964" w:hanging="360"/>
      </w:pPr>
    </w:lvl>
    <w:lvl w:ilvl="7" w:tplc="87EA8E5A" w:tentative="1">
      <w:start w:val="1"/>
      <w:numFmt w:val="lowerLetter"/>
      <w:lvlText w:val="%8."/>
      <w:lvlJc w:val="left"/>
      <w:pPr>
        <w:ind w:left="5684" w:hanging="360"/>
      </w:pPr>
    </w:lvl>
    <w:lvl w:ilvl="8" w:tplc="81C6F3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3D06F1"/>
    <w:multiLevelType w:val="multilevel"/>
    <w:tmpl w:val="1E0038A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266B9"/>
    <w:multiLevelType w:val="hybridMultilevel"/>
    <w:tmpl w:val="CC206D44"/>
    <w:lvl w:ilvl="0" w:tplc="2942576C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1E5D3A" w:tentative="1">
      <w:start w:val="1"/>
      <w:numFmt w:val="lowerLetter"/>
      <w:lvlText w:val="%2."/>
      <w:lvlJc w:val="left"/>
      <w:pPr>
        <w:ind w:left="1789" w:hanging="360"/>
      </w:pPr>
    </w:lvl>
    <w:lvl w:ilvl="2" w:tplc="D9424B28" w:tentative="1">
      <w:start w:val="1"/>
      <w:numFmt w:val="lowerRoman"/>
      <w:lvlText w:val="%3."/>
      <w:lvlJc w:val="right"/>
      <w:pPr>
        <w:ind w:left="2509" w:hanging="180"/>
      </w:pPr>
    </w:lvl>
    <w:lvl w:ilvl="3" w:tplc="A60A5BD4" w:tentative="1">
      <w:start w:val="1"/>
      <w:numFmt w:val="decimal"/>
      <w:lvlText w:val="%4."/>
      <w:lvlJc w:val="left"/>
      <w:pPr>
        <w:ind w:left="3229" w:hanging="360"/>
      </w:pPr>
    </w:lvl>
    <w:lvl w:ilvl="4" w:tplc="6ABABD5C" w:tentative="1">
      <w:start w:val="1"/>
      <w:numFmt w:val="lowerLetter"/>
      <w:lvlText w:val="%5."/>
      <w:lvlJc w:val="left"/>
      <w:pPr>
        <w:ind w:left="3949" w:hanging="360"/>
      </w:pPr>
    </w:lvl>
    <w:lvl w:ilvl="5" w:tplc="23CCB9C4" w:tentative="1">
      <w:start w:val="1"/>
      <w:numFmt w:val="lowerRoman"/>
      <w:lvlText w:val="%6."/>
      <w:lvlJc w:val="right"/>
      <w:pPr>
        <w:ind w:left="4669" w:hanging="180"/>
      </w:pPr>
    </w:lvl>
    <w:lvl w:ilvl="6" w:tplc="1C0C468E" w:tentative="1">
      <w:start w:val="1"/>
      <w:numFmt w:val="decimal"/>
      <w:lvlText w:val="%7."/>
      <w:lvlJc w:val="left"/>
      <w:pPr>
        <w:ind w:left="5389" w:hanging="360"/>
      </w:pPr>
    </w:lvl>
    <w:lvl w:ilvl="7" w:tplc="3702A9DA" w:tentative="1">
      <w:start w:val="1"/>
      <w:numFmt w:val="lowerLetter"/>
      <w:lvlText w:val="%8."/>
      <w:lvlJc w:val="left"/>
      <w:pPr>
        <w:ind w:left="6109" w:hanging="360"/>
      </w:pPr>
    </w:lvl>
    <w:lvl w:ilvl="8" w:tplc="96F8397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721F8D"/>
    <w:multiLevelType w:val="hybridMultilevel"/>
    <w:tmpl w:val="C7907C18"/>
    <w:lvl w:ilvl="0" w:tplc="578E60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DAC1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30B8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9CDE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F2FA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4AD51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E2C8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EA49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48B40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292FFA"/>
    <w:multiLevelType w:val="multilevel"/>
    <w:tmpl w:val="9258A7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A01832"/>
    <w:multiLevelType w:val="hybridMultilevel"/>
    <w:tmpl w:val="69B48C5A"/>
    <w:lvl w:ilvl="0" w:tplc="B4D293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FF43228" w:tentative="1">
      <w:start w:val="1"/>
      <w:numFmt w:val="lowerLetter"/>
      <w:lvlText w:val="%2."/>
      <w:lvlJc w:val="left"/>
      <w:pPr>
        <w:ind w:left="1440" w:hanging="360"/>
      </w:pPr>
    </w:lvl>
    <w:lvl w:ilvl="2" w:tplc="74647C9E" w:tentative="1">
      <w:start w:val="1"/>
      <w:numFmt w:val="lowerRoman"/>
      <w:lvlText w:val="%3."/>
      <w:lvlJc w:val="right"/>
      <w:pPr>
        <w:ind w:left="2160" w:hanging="180"/>
      </w:pPr>
    </w:lvl>
    <w:lvl w:ilvl="3" w:tplc="1E0E4A52" w:tentative="1">
      <w:start w:val="1"/>
      <w:numFmt w:val="decimal"/>
      <w:lvlText w:val="%4."/>
      <w:lvlJc w:val="left"/>
      <w:pPr>
        <w:ind w:left="2880" w:hanging="360"/>
      </w:pPr>
    </w:lvl>
    <w:lvl w:ilvl="4" w:tplc="82FA4126" w:tentative="1">
      <w:start w:val="1"/>
      <w:numFmt w:val="lowerLetter"/>
      <w:lvlText w:val="%5."/>
      <w:lvlJc w:val="left"/>
      <w:pPr>
        <w:ind w:left="3600" w:hanging="360"/>
      </w:pPr>
    </w:lvl>
    <w:lvl w:ilvl="5" w:tplc="E4402D36" w:tentative="1">
      <w:start w:val="1"/>
      <w:numFmt w:val="lowerRoman"/>
      <w:lvlText w:val="%6."/>
      <w:lvlJc w:val="right"/>
      <w:pPr>
        <w:ind w:left="4320" w:hanging="180"/>
      </w:pPr>
    </w:lvl>
    <w:lvl w:ilvl="6" w:tplc="C6EABB0C" w:tentative="1">
      <w:start w:val="1"/>
      <w:numFmt w:val="decimal"/>
      <w:lvlText w:val="%7."/>
      <w:lvlJc w:val="left"/>
      <w:pPr>
        <w:ind w:left="5040" w:hanging="360"/>
      </w:pPr>
    </w:lvl>
    <w:lvl w:ilvl="7" w:tplc="53207B5A" w:tentative="1">
      <w:start w:val="1"/>
      <w:numFmt w:val="lowerLetter"/>
      <w:lvlText w:val="%8."/>
      <w:lvlJc w:val="left"/>
      <w:pPr>
        <w:ind w:left="5760" w:hanging="360"/>
      </w:pPr>
    </w:lvl>
    <w:lvl w:ilvl="8" w:tplc="C8561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C0173"/>
    <w:multiLevelType w:val="hybridMultilevel"/>
    <w:tmpl w:val="734A6618"/>
    <w:lvl w:ilvl="0" w:tplc="44A842DC">
      <w:start w:val="1"/>
      <w:numFmt w:val="lowerLetter"/>
      <w:lvlText w:val="%1)"/>
      <w:lvlJc w:val="left"/>
      <w:pPr>
        <w:ind w:left="720" w:hanging="360"/>
      </w:pPr>
    </w:lvl>
    <w:lvl w:ilvl="1" w:tplc="81287832" w:tentative="1">
      <w:start w:val="1"/>
      <w:numFmt w:val="lowerLetter"/>
      <w:lvlText w:val="%2."/>
      <w:lvlJc w:val="left"/>
      <w:pPr>
        <w:ind w:left="1440" w:hanging="360"/>
      </w:pPr>
    </w:lvl>
    <w:lvl w:ilvl="2" w:tplc="800CF230" w:tentative="1">
      <w:start w:val="1"/>
      <w:numFmt w:val="lowerRoman"/>
      <w:lvlText w:val="%3."/>
      <w:lvlJc w:val="right"/>
      <w:pPr>
        <w:ind w:left="2160" w:hanging="180"/>
      </w:pPr>
    </w:lvl>
    <w:lvl w:ilvl="3" w:tplc="ADCA8A76" w:tentative="1">
      <w:start w:val="1"/>
      <w:numFmt w:val="decimal"/>
      <w:lvlText w:val="%4."/>
      <w:lvlJc w:val="left"/>
      <w:pPr>
        <w:ind w:left="2880" w:hanging="360"/>
      </w:pPr>
    </w:lvl>
    <w:lvl w:ilvl="4" w:tplc="34B45B04" w:tentative="1">
      <w:start w:val="1"/>
      <w:numFmt w:val="lowerLetter"/>
      <w:lvlText w:val="%5."/>
      <w:lvlJc w:val="left"/>
      <w:pPr>
        <w:ind w:left="3600" w:hanging="360"/>
      </w:pPr>
    </w:lvl>
    <w:lvl w:ilvl="5" w:tplc="23C6C4A6" w:tentative="1">
      <w:start w:val="1"/>
      <w:numFmt w:val="lowerRoman"/>
      <w:lvlText w:val="%6."/>
      <w:lvlJc w:val="right"/>
      <w:pPr>
        <w:ind w:left="4320" w:hanging="180"/>
      </w:pPr>
    </w:lvl>
    <w:lvl w:ilvl="6" w:tplc="925ECA40" w:tentative="1">
      <w:start w:val="1"/>
      <w:numFmt w:val="decimal"/>
      <w:lvlText w:val="%7."/>
      <w:lvlJc w:val="left"/>
      <w:pPr>
        <w:ind w:left="5040" w:hanging="360"/>
      </w:pPr>
    </w:lvl>
    <w:lvl w:ilvl="7" w:tplc="8E200350" w:tentative="1">
      <w:start w:val="1"/>
      <w:numFmt w:val="lowerLetter"/>
      <w:lvlText w:val="%8."/>
      <w:lvlJc w:val="left"/>
      <w:pPr>
        <w:ind w:left="5760" w:hanging="360"/>
      </w:pPr>
    </w:lvl>
    <w:lvl w:ilvl="8" w:tplc="5EC2A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46275"/>
    <w:multiLevelType w:val="hybridMultilevel"/>
    <w:tmpl w:val="BBE26B72"/>
    <w:lvl w:ilvl="0" w:tplc="213C4A1A">
      <w:start w:val="1"/>
      <w:numFmt w:val="decimal"/>
      <w:lvlText w:val="%1."/>
      <w:lvlJc w:val="left"/>
      <w:pPr>
        <w:ind w:left="720" w:hanging="360"/>
      </w:pPr>
    </w:lvl>
    <w:lvl w:ilvl="1" w:tplc="3822C1FE" w:tentative="1">
      <w:start w:val="1"/>
      <w:numFmt w:val="lowerLetter"/>
      <w:lvlText w:val="%2."/>
      <w:lvlJc w:val="left"/>
      <w:pPr>
        <w:ind w:left="1440" w:hanging="360"/>
      </w:pPr>
    </w:lvl>
    <w:lvl w:ilvl="2" w:tplc="B06CD1B2" w:tentative="1">
      <w:start w:val="1"/>
      <w:numFmt w:val="lowerRoman"/>
      <w:lvlText w:val="%3."/>
      <w:lvlJc w:val="right"/>
      <w:pPr>
        <w:ind w:left="2160" w:hanging="180"/>
      </w:pPr>
    </w:lvl>
    <w:lvl w:ilvl="3" w:tplc="2046A2CC" w:tentative="1">
      <w:start w:val="1"/>
      <w:numFmt w:val="decimal"/>
      <w:lvlText w:val="%4."/>
      <w:lvlJc w:val="left"/>
      <w:pPr>
        <w:ind w:left="2880" w:hanging="360"/>
      </w:pPr>
    </w:lvl>
    <w:lvl w:ilvl="4" w:tplc="FE1AF8D6" w:tentative="1">
      <w:start w:val="1"/>
      <w:numFmt w:val="lowerLetter"/>
      <w:lvlText w:val="%5."/>
      <w:lvlJc w:val="left"/>
      <w:pPr>
        <w:ind w:left="3600" w:hanging="360"/>
      </w:pPr>
    </w:lvl>
    <w:lvl w:ilvl="5" w:tplc="D6F290FE" w:tentative="1">
      <w:start w:val="1"/>
      <w:numFmt w:val="lowerRoman"/>
      <w:lvlText w:val="%6."/>
      <w:lvlJc w:val="right"/>
      <w:pPr>
        <w:ind w:left="4320" w:hanging="180"/>
      </w:pPr>
    </w:lvl>
    <w:lvl w:ilvl="6" w:tplc="D4BCCDEE" w:tentative="1">
      <w:start w:val="1"/>
      <w:numFmt w:val="decimal"/>
      <w:lvlText w:val="%7."/>
      <w:lvlJc w:val="left"/>
      <w:pPr>
        <w:ind w:left="5040" w:hanging="360"/>
      </w:pPr>
    </w:lvl>
    <w:lvl w:ilvl="7" w:tplc="C422CB5E" w:tentative="1">
      <w:start w:val="1"/>
      <w:numFmt w:val="lowerLetter"/>
      <w:lvlText w:val="%8."/>
      <w:lvlJc w:val="left"/>
      <w:pPr>
        <w:ind w:left="5760" w:hanging="360"/>
      </w:pPr>
    </w:lvl>
    <w:lvl w:ilvl="8" w:tplc="78387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343F1"/>
    <w:multiLevelType w:val="hybridMultilevel"/>
    <w:tmpl w:val="5008C14A"/>
    <w:lvl w:ilvl="0" w:tplc="2F38C4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738134C" w:tentative="1">
      <w:start w:val="1"/>
      <w:numFmt w:val="lowerLetter"/>
      <w:lvlText w:val="%2."/>
      <w:lvlJc w:val="left"/>
      <w:pPr>
        <w:ind w:left="1506" w:hanging="360"/>
      </w:pPr>
    </w:lvl>
    <w:lvl w:ilvl="2" w:tplc="9ACAD6D0" w:tentative="1">
      <w:start w:val="1"/>
      <w:numFmt w:val="lowerRoman"/>
      <w:lvlText w:val="%3."/>
      <w:lvlJc w:val="right"/>
      <w:pPr>
        <w:ind w:left="2226" w:hanging="180"/>
      </w:pPr>
    </w:lvl>
    <w:lvl w:ilvl="3" w:tplc="88D62326" w:tentative="1">
      <w:start w:val="1"/>
      <w:numFmt w:val="decimal"/>
      <w:lvlText w:val="%4."/>
      <w:lvlJc w:val="left"/>
      <w:pPr>
        <w:ind w:left="2946" w:hanging="360"/>
      </w:pPr>
    </w:lvl>
    <w:lvl w:ilvl="4" w:tplc="E5802072" w:tentative="1">
      <w:start w:val="1"/>
      <w:numFmt w:val="lowerLetter"/>
      <w:lvlText w:val="%5."/>
      <w:lvlJc w:val="left"/>
      <w:pPr>
        <w:ind w:left="3666" w:hanging="360"/>
      </w:pPr>
    </w:lvl>
    <w:lvl w:ilvl="5" w:tplc="26A602A4" w:tentative="1">
      <w:start w:val="1"/>
      <w:numFmt w:val="lowerRoman"/>
      <w:lvlText w:val="%6."/>
      <w:lvlJc w:val="right"/>
      <w:pPr>
        <w:ind w:left="4386" w:hanging="180"/>
      </w:pPr>
    </w:lvl>
    <w:lvl w:ilvl="6" w:tplc="C6BCA6E4" w:tentative="1">
      <w:start w:val="1"/>
      <w:numFmt w:val="decimal"/>
      <w:lvlText w:val="%7."/>
      <w:lvlJc w:val="left"/>
      <w:pPr>
        <w:ind w:left="5106" w:hanging="360"/>
      </w:pPr>
    </w:lvl>
    <w:lvl w:ilvl="7" w:tplc="0AF0F33E" w:tentative="1">
      <w:start w:val="1"/>
      <w:numFmt w:val="lowerLetter"/>
      <w:lvlText w:val="%8."/>
      <w:lvlJc w:val="left"/>
      <w:pPr>
        <w:ind w:left="5826" w:hanging="360"/>
      </w:pPr>
    </w:lvl>
    <w:lvl w:ilvl="8" w:tplc="1E7CBB0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3C0436"/>
    <w:multiLevelType w:val="hybridMultilevel"/>
    <w:tmpl w:val="870A2254"/>
    <w:lvl w:ilvl="0" w:tplc="7B34E8BC">
      <w:start w:val="1"/>
      <w:numFmt w:val="lowerLetter"/>
      <w:lvlText w:val="%1)"/>
      <w:lvlJc w:val="left"/>
      <w:pPr>
        <w:ind w:left="1440" w:hanging="360"/>
      </w:pPr>
    </w:lvl>
    <w:lvl w:ilvl="1" w:tplc="3A4276B2" w:tentative="1">
      <w:start w:val="1"/>
      <w:numFmt w:val="lowerLetter"/>
      <w:lvlText w:val="%2."/>
      <w:lvlJc w:val="left"/>
      <w:pPr>
        <w:ind w:left="2160" w:hanging="360"/>
      </w:pPr>
    </w:lvl>
    <w:lvl w:ilvl="2" w:tplc="ED6AAE6E" w:tentative="1">
      <w:start w:val="1"/>
      <w:numFmt w:val="lowerRoman"/>
      <w:lvlText w:val="%3."/>
      <w:lvlJc w:val="right"/>
      <w:pPr>
        <w:ind w:left="2880" w:hanging="180"/>
      </w:pPr>
    </w:lvl>
    <w:lvl w:ilvl="3" w:tplc="50E84606" w:tentative="1">
      <w:start w:val="1"/>
      <w:numFmt w:val="decimal"/>
      <w:lvlText w:val="%4."/>
      <w:lvlJc w:val="left"/>
      <w:pPr>
        <w:ind w:left="3600" w:hanging="360"/>
      </w:pPr>
    </w:lvl>
    <w:lvl w:ilvl="4" w:tplc="BD389758" w:tentative="1">
      <w:start w:val="1"/>
      <w:numFmt w:val="lowerLetter"/>
      <w:lvlText w:val="%5."/>
      <w:lvlJc w:val="left"/>
      <w:pPr>
        <w:ind w:left="4320" w:hanging="360"/>
      </w:pPr>
    </w:lvl>
    <w:lvl w:ilvl="5" w:tplc="9FE4551C" w:tentative="1">
      <w:start w:val="1"/>
      <w:numFmt w:val="lowerRoman"/>
      <w:lvlText w:val="%6."/>
      <w:lvlJc w:val="right"/>
      <w:pPr>
        <w:ind w:left="5040" w:hanging="180"/>
      </w:pPr>
    </w:lvl>
    <w:lvl w:ilvl="6" w:tplc="8A94EF98" w:tentative="1">
      <w:start w:val="1"/>
      <w:numFmt w:val="decimal"/>
      <w:lvlText w:val="%7."/>
      <w:lvlJc w:val="left"/>
      <w:pPr>
        <w:ind w:left="5760" w:hanging="360"/>
      </w:pPr>
    </w:lvl>
    <w:lvl w:ilvl="7" w:tplc="27BE1D60" w:tentative="1">
      <w:start w:val="1"/>
      <w:numFmt w:val="lowerLetter"/>
      <w:lvlText w:val="%8."/>
      <w:lvlJc w:val="left"/>
      <w:pPr>
        <w:ind w:left="6480" w:hanging="360"/>
      </w:pPr>
    </w:lvl>
    <w:lvl w:ilvl="8" w:tplc="45789E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5E3156"/>
    <w:multiLevelType w:val="multilevel"/>
    <w:tmpl w:val="DAAC92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597637"/>
    <w:multiLevelType w:val="hybridMultilevel"/>
    <w:tmpl w:val="870A2254"/>
    <w:lvl w:ilvl="0" w:tplc="F7BA522E">
      <w:start w:val="1"/>
      <w:numFmt w:val="lowerLetter"/>
      <w:lvlText w:val="%1)"/>
      <w:lvlJc w:val="left"/>
      <w:pPr>
        <w:ind w:left="1440" w:hanging="360"/>
      </w:pPr>
    </w:lvl>
    <w:lvl w:ilvl="1" w:tplc="42F6541C" w:tentative="1">
      <w:start w:val="1"/>
      <w:numFmt w:val="lowerLetter"/>
      <w:lvlText w:val="%2."/>
      <w:lvlJc w:val="left"/>
      <w:pPr>
        <w:ind w:left="2160" w:hanging="360"/>
      </w:pPr>
    </w:lvl>
    <w:lvl w:ilvl="2" w:tplc="29F650BA" w:tentative="1">
      <w:start w:val="1"/>
      <w:numFmt w:val="lowerRoman"/>
      <w:lvlText w:val="%3."/>
      <w:lvlJc w:val="right"/>
      <w:pPr>
        <w:ind w:left="2880" w:hanging="180"/>
      </w:pPr>
    </w:lvl>
    <w:lvl w:ilvl="3" w:tplc="58F2BFE6" w:tentative="1">
      <w:start w:val="1"/>
      <w:numFmt w:val="decimal"/>
      <w:lvlText w:val="%4."/>
      <w:lvlJc w:val="left"/>
      <w:pPr>
        <w:ind w:left="3600" w:hanging="360"/>
      </w:pPr>
    </w:lvl>
    <w:lvl w:ilvl="4" w:tplc="7C54080E" w:tentative="1">
      <w:start w:val="1"/>
      <w:numFmt w:val="lowerLetter"/>
      <w:lvlText w:val="%5."/>
      <w:lvlJc w:val="left"/>
      <w:pPr>
        <w:ind w:left="4320" w:hanging="360"/>
      </w:pPr>
    </w:lvl>
    <w:lvl w:ilvl="5" w:tplc="7A8E4122" w:tentative="1">
      <w:start w:val="1"/>
      <w:numFmt w:val="lowerRoman"/>
      <w:lvlText w:val="%6."/>
      <w:lvlJc w:val="right"/>
      <w:pPr>
        <w:ind w:left="5040" w:hanging="180"/>
      </w:pPr>
    </w:lvl>
    <w:lvl w:ilvl="6" w:tplc="15E44388" w:tentative="1">
      <w:start w:val="1"/>
      <w:numFmt w:val="decimal"/>
      <w:lvlText w:val="%7."/>
      <w:lvlJc w:val="left"/>
      <w:pPr>
        <w:ind w:left="5760" w:hanging="360"/>
      </w:pPr>
    </w:lvl>
    <w:lvl w:ilvl="7" w:tplc="3D902F00" w:tentative="1">
      <w:start w:val="1"/>
      <w:numFmt w:val="lowerLetter"/>
      <w:lvlText w:val="%8."/>
      <w:lvlJc w:val="left"/>
      <w:pPr>
        <w:ind w:left="6480" w:hanging="360"/>
      </w:pPr>
    </w:lvl>
    <w:lvl w:ilvl="8" w:tplc="A34C33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2C25B2"/>
    <w:multiLevelType w:val="multilevel"/>
    <w:tmpl w:val="B0E26A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BB5BF5"/>
    <w:multiLevelType w:val="multilevel"/>
    <w:tmpl w:val="0D70CF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B435B6"/>
    <w:multiLevelType w:val="hybridMultilevel"/>
    <w:tmpl w:val="1454512E"/>
    <w:lvl w:ilvl="0" w:tplc="928EE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DE658BE" w:tentative="1">
      <w:start w:val="1"/>
      <w:numFmt w:val="lowerLetter"/>
      <w:lvlText w:val="%2."/>
      <w:lvlJc w:val="left"/>
      <w:pPr>
        <w:ind w:left="1789" w:hanging="360"/>
      </w:pPr>
    </w:lvl>
    <w:lvl w:ilvl="2" w:tplc="F4E0F7F0" w:tentative="1">
      <w:start w:val="1"/>
      <w:numFmt w:val="lowerRoman"/>
      <w:lvlText w:val="%3."/>
      <w:lvlJc w:val="right"/>
      <w:pPr>
        <w:ind w:left="2509" w:hanging="180"/>
      </w:pPr>
    </w:lvl>
    <w:lvl w:ilvl="3" w:tplc="32E8723A" w:tentative="1">
      <w:start w:val="1"/>
      <w:numFmt w:val="decimal"/>
      <w:lvlText w:val="%4."/>
      <w:lvlJc w:val="left"/>
      <w:pPr>
        <w:ind w:left="3229" w:hanging="360"/>
      </w:pPr>
    </w:lvl>
    <w:lvl w:ilvl="4" w:tplc="A7E81FB2" w:tentative="1">
      <w:start w:val="1"/>
      <w:numFmt w:val="lowerLetter"/>
      <w:lvlText w:val="%5."/>
      <w:lvlJc w:val="left"/>
      <w:pPr>
        <w:ind w:left="3949" w:hanging="360"/>
      </w:pPr>
    </w:lvl>
    <w:lvl w:ilvl="5" w:tplc="37E6D0B6" w:tentative="1">
      <w:start w:val="1"/>
      <w:numFmt w:val="lowerRoman"/>
      <w:lvlText w:val="%6."/>
      <w:lvlJc w:val="right"/>
      <w:pPr>
        <w:ind w:left="4669" w:hanging="180"/>
      </w:pPr>
    </w:lvl>
    <w:lvl w:ilvl="6" w:tplc="966C5C3A" w:tentative="1">
      <w:start w:val="1"/>
      <w:numFmt w:val="decimal"/>
      <w:lvlText w:val="%7."/>
      <w:lvlJc w:val="left"/>
      <w:pPr>
        <w:ind w:left="5389" w:hanging="360"/>
      </w:pPr>
    </w:lvl>
    <w:lvl w:ilvl="7" w:tplc="9912C980" w:tentative="1">
      <w:start w:val="1"/>
      <w:numFmt w:val="lowerLetter"/>
      <w:lvlText w:val="%8."/>
      <w:lvlJc w:val="left"/>
      <w:pPr>
        <w:ind w:left="6109" w:hanging="360"/>
      </w:pPr>
    </w:lvl>
    <w:lvl w:ilvl="8" w:tplc="BA3E69A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260623"/>
    <w:multiLevelType w:val="multilevel"/>
    <w:tmpl w:val="191C90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13"/>
  </w:num>
  <w:num w:numId="11">
    <w:abstractNumId w:val="5"/>
  </w:num>
  <w:num w:numId="12">
    <w:abstractNumId w:val="14"/>
  </w:num>
  <w:num w:numId="13">
    <w:abstractNumId w:val="10"/>
  </w:num>
  <w:num w:numId="14">
    <w:abstractNumId w:val="6"/>
  </w:num>
  <w:num w:numId="15">
    <w:abstractNumId w:val="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30"/>
    <w:rsid w:val="003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08B69-DFA1-442F-A535-E9DA36A6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5AA2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9"/>
    <w:qFormat/>
    <w:rsid w:val="00CC5AA2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C5A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C5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AA2"/>
    <w:rPr>
      <w:rFonts w:ascii="Tahoma" w:eastAsia="Calibri" w:hAnsi="Tahoma" w:cs="Tahoma"/>
      <w:sz w:val="16"/>
      <w:szCs w:val="16"/>
    </w:rPr>
  </w:style>
  <w:style w:type="character" w:customStyle="1" w:styleId="Teksttreci4">
    <w:name w:val="Tekst treści (4)_"/>
    <w:link w:val="Teksttreci40"/>
    <w:locked/>
    <w:rsid w:val="00CC5AA2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C5AA2"/>
    <w:pPr>
      <w:widowControl w:val="0"/>
      <w:shd w:val="clear" w:color="auto" w:fill="FFFFFF"/>
      <w:spacing w:line="338" w:lineRule="exact"/>
    </w:pPr>
    <w:rPr>
      <w:rFonts w:eastAsiaTheme="minorHAnsi" w:cstheme="minorBidi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CC5AA2"/>
    <w:rPr>
      <w:rFonts w:cs="Times New Roman"/>
      <w:color w:val="808080"/>
    </w:rPr>
  </w:style>
  <w:style w:type="paragraph" w:styleId="Nagwek">
    <w:name w:val="header"/>
    <w:basedOn w:val="Normalny"/>
    <w:link w:val="NagwekZnak"/>
    <w:uiPriority w:val="99"/>
    <w:rsid w:val="00CC5A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CC5A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AA2"/>
    <w:rPr>
      <w:rFonts w:ascii="Calibri" w:eastAsia="Calibri" w:hAnsi="Calibri" w:cs="Times New Roman"/>
    </w:rPr>
  </w:style>
  <w:style w:type="paragraph" w:customStyle="1" w:styleId="naglowekcenter">
    <w:name w:val="naglowek_center"/>
    <w:basedOn w:val="Normalny"/>
    <w:uiPriority w:val="99"/>
    <w:rsid w:val="00CC5A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C5A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g-binding">
    <w:name w:val="ng-binding"/>
    <w:basedOn w:val="Normalny"/>
    <w:uiPriority w:val="99"/>
    <w:rsid w:val="00CC5A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CC5AA2"/>
    <w:rPr>
      <w:rFonts w:cs="Times New Roman"/>
    </w:rPr>
  </w:style>
  <w:style w:type="character" w:customStyle="1" w:styleId="ng-binding1">
    <w:name w:val="ng-binding1"/>
    <w:basedOn w:val="Domylnaczcionkaakapitu"/>
    <w:uiPriority w:val="99"/>
    <w:rsid w:val="00CC5AA2"/>
    <w:rPr>
      <w:rFonts w:cs="Times New Roman"/>
    </w:rPr>
  </w:style>
  <w:style w:type="paragraph" w:customStyle="1" w:styleId="Default">
    <w:name w:val="Default"/>
    <w:uiPriority w:val="99"/>
    <w:rsid w:val="00CC5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Domylnaczcionkaakapitu"/>
    <w:uiPriority w:val="99"/>
    <w:rsid w:val="00CC5AA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5A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AA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C5AA2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CC5AA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5AA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C5AA2"/>
    <w:pPr>
      <w:suppressAutoHyphens/>
      <w:ind w:firstLine="0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5AA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C5AA2"/>
    <w:rPr>
      <w:color w:val="954F72" w:themeColor="followedHyperlink"/>
      <w:u w:val="single"/>
    </w:rPr>
  </w:style>
  <w:style w:type="character" w:customStyle="1" w:styleId="lrzxr">
    <w:name w:val="lrzxr"/>
    <w:rsid w:val="00CC5AA2"/>
  </w:style>
  <w:style w:type="character" w:customStyle="1" w:styleId="alb">
    <w:name w:val="a_lb"/>
    <w:basedOn w:val="Domylnaczcionkaakapitu"/>
    <w:rsid w:val="00CC5AA2"/>
  </w:style>
  <w:style w:type="character" w:customStyle="1" w:styleId="Teksttreci2">
    <w:name w:val="Tekst treści (2)_"/>
    <w:basedOn w:val="Domylnaczcionkaakapitu"/>
    <w:link w:val="Teksttreci20"/>
    <w:rsid w:val="00CC5A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5AA2"/>
    <w:pPr>
      <w:widowControl w:val="0"/>
      <w:shd w:val="clear" w:color="auto" w:fill="FFFFFF"/>
      <w:spacing w:before="120" w:after="240" w:line="264" w:lineRule="exact"/>
      <w:ind w:hanging="680"/>
    </w:pPr>
    <w:rPr>
      <w:rFonts w:ascii="Arial" w:eastAsia="Arial" w:hAnsi="Arial" w:cs="Arial"/>
      <w:sz w:val="21"/>
      <w:szCs w:val="21"/>
    </w:rPr>
  </w:style>
  <w:style w:type="character" w:customStyle="1" w:styleId="warheader">
    <w:name w:val="war_header"/>
    <w:basedOn w:val="Domylnaczcionkaakapitu"/>
    <w:rsid w:val="00CC5AA2"/>
  </w:style>
  <w:style w:type="character" w:customStyle="1" w:styleId="alb-s">
    <w:name w:val="a_lb-s"/>
    <w:basedOn w:val="Domylnaczcionkaakapitu"/>
    <w:rsid w:val="00CC5AA2"/>
  </w:style>
  <w:style w:type="character" w:styleId="Uwydatnienie">
    <w:name w:val="Emphasis"/>
    <w:basedOn w:val="Domylnaczcionkaakapitu"/>
    <w:uiPriority w:val="20"/>
    <w:qFormat/>
    <w:rsid w:val="00CC5AA2"/>
    <w:rPr>
      <w:i/>
      <w:iCs/>
    </w:rPr>
  </w:style>
  <w:style w:type="character" w:styleId="Pogrubienie">
    <w:name w:val="Strong"/>
    <w:basedOn w:val="Domylnaczcionkaakapitu"/>
    <w:uiPriority w:val="22"/>
    <w:qFormat/>
    <w:rsid w:val="00CC5AA2"/>
    <w:rPr>
      <w:b/>
      <w:bCs/>
    </w:rPr>
  </w:style>
  <w:style w:type="character" w:customStyle="1" w:styleId="info-list-value-uzasadnienie">
    <w:name w:val="info-list-value-uzasadnienie"/>
    <w:basedOn w:val="Domylnaczcionkaakapitu"/>
    <w:rsid w:val="00CC5AA2"/>
  </w:style>
  <w:style w:type="paragraph" w:customStyle="1" w:styleId="text-justify">
    <w:name w:val="text-justify"/>
    <w:basedOn w:val="Normalny"/>
    <w:rsid w:val="00CC5A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5A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5AA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A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A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A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AA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A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2Pogrubienie">
    <w:name w:val="Tekst treści (2) + Pogrubienie"/>
    <w:basedOn w:val="Teksttreci2"/>
    <w:rsid w:val="00CC5AA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"/>
    <w:rsid w:val="00CC5AA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galis.pl/document-view.seam?documentId=mfrxilrsgq4tgmjoobqxalrsgu4tkm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galis.pl/document-view.seam?documentId=mfrxilrsgq4tgmjoobqxalrsgu4dm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galis.pl/document-view.seam?documentId=mfrxilrsgq4tgmjoobqxalrsgu4dmni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sgq4tgmjoobqxalrsgu4tk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dcterms:created xsi:type="dcterms:W3CDTF">2021-03-04T10:37:00Z</dcterms:created>
  <dcterms:modified xsi:type="dcterms:W3CDTF">2021-03-04T10:37:00Z</dcterms:modified>
</cp:coreProperties>
</file>