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6D" w:rsidRPr="0032026D" w:rsidRDefault="0032026D" w:rsidP="0032026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2a</w:t>
      </w:r>
    </w:p>
    <w:p w:rsidR="0032026D" w:rsidRPr="0032026D" w:rsidRDefault="0032026D" w:rsidP="0032026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„Programu o</w:t>
      </w:r>
      <w:r w:rsidRPr="00320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pieki nad rodzinami wysokiego, dziedzicznie uwarunkowanego ryzyka zachorowania na nowotwory złośliwe – Moduł II – wczesne wykrywanie i prewencja nowotworów złośliwych w rodzinach wysokiego, dziedzicznie uwarunkowanego ryzyka zachorowania na raka jelita grubego i błony śluzowej trzonu macicy” na lata 2018-2021.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b/>
          <w:bCs/>
          <w:lang w:eastAsia="zh-CN"/>
        </w:rPr>
        <w:t>Celem zadania</w:t>
      </w:r>
      <w:r w:rsidRPr="0032026D">
        <w:rPr>
          <w:rFonts w:ascii="Times New Roman" w:eastAsia="SimSun" w:hAnsi="Times New Roman" w:cs="Times New Roman"/>
          <w:lang w:eastAsia="zh-CN"/>
        </w:rPr>
        <w:t xml:space="preserve"> jest przede wszystkim zidentyfikowanie i zapewnienie opieki odpowiadającej obecnym standardom - rodzinom z dziedzicznymi zespołami predyspozycji do nowotworów złośliwych, w których dominuje predyspozycja do rozwoju raka jelita grubego z zespołem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gruczolakowatej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polipowatości rodzinnej (FAP, ang.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Familial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Adenomatous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Polyposis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), zespołem Lyncha,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Peutza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Jeghersa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(PJS, ang.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Peutza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Jeghers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Syndrome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)</w:t>
      </w:r>
      <w:r w:rsidRPr="0032026D">
        <w:rPr>
          <w:rFonts w:ascii="Times New Roman" w:eastAsia="Calibri" w:hAnsi="Times New Roman" w:cs="Times New Roman"/>
        </w:rPr>
        <w:t>, p</w:t>
      </w:r>
      <w:r w:rsidRPr="0032026D">
        <w:rPr>
          <w:rFonts w:ascii="Times New Roman" w:eastAsia="SimSun" w:hAnsi="Times New Roman" w:cs="Times New Roman"/>
          <w:lang w:eastAsia="zh-CN"/>
        </w:rPr>
        <w:t xml:space="preserve">olipowatości młodzieńczej (JPS, ang.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juvenile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polyposis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syndrome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 oraz zespołem polipowatości recesywnej uwarunkowanym mutacjami w genie </w:t>
      </w:r>
      <w:r w:rsidRPr="0032026D">
        <w:rPr>
          <w:rFonts w:ascii="Times New Roman" w:eastAsia="SimSun" w:hAnsi="Times New Roman" w:cs="Times New Roman"/>
          <w:i/>
          <w:lang w:eastAsia="zh-CN"/>
        </w:rPr>
        <w:t>MUTYH.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Opieka nad tymi rodzinami umożliwia w dłuższej perspektywie wydłużenie przeżyć nosicieli mutacji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 xml:space="preserve"> o 10-12 lat oraz zapewnienie długich przeżyć nosicielom mutacji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MLH1, MSH2,</w:t>
      </w:r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MSH6, PMS2, STK11, SMAD4, BMPR1A, EPCAM </w:t>
      </w:r>
      <w:r w:rsidRPr="0032026D">
        <w:rPr>
          <w:rFonts w:ascii="Times New Roman" w:eastAsia="SimSun" w:hAnsi="Times New Roman" w:cs="Times New Roman"/>
          <w:lang w:eastAsia="zh-CN"/>
        </w:rPr>
        <w:t>i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 MUTYH</w:t>
      </w:r>
      <w:r w:rsidRPr="0032026D">
        <w:rPr>
          <w:rFonts w:ascii="Times New Roman" w:eastAsia="SimSun" w:hAnsi="Times New Roman" w:cs="Times New Roman"/>
          <w:lang w:eastAsia="zh-CN"/>
        </w:rPr>
        <w:t xml:space="preserve">. Wdrożenie programu opieki powinno umożliwić znaczne zwiększenie odsetka wczesnych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rozpoznań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nowotworów i wyleczeń.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2026D">
        <w:rPr>
          <w:rFonts w:ascii="Times New Roman" w:eastAsia="SimSun" w:hAnsi="Times New Roman" w:cs="Times New Roman"/>
          <w:b/>
          <w:lang w:eastAsia="zh-CN"/>
        </w:rPr>
        <w:t xml:space="preserve">Opis: </w:t>
      </w:r>
    </w:p>
    <w:p w:rsidR="0032026D" w:rsidRPr="0032026D" w:rsidRDefault="0032026D" w:rsidP="003202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Zidentyfikowanie, na podstawie ankiet osób zdrowych i/lub dokładnych wywiadów rodzinnych, osób z rodzin, w których występuje wysokie ryzyko zachorowania na raka jelita grubego, błony śluzowej trzonu macicy i inne towarzyszące nowotwory; </w:t>
      </w:r>
    </w:p>
    <w:p w:rsidR="0032026D" w:rsidRPr="0032026D" w:rsidRDefault="0032026D" w:rsidP="003202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rozpoznanie wśród tych rodzin występowania nosicielstwa mutacji genów najsilniejszych predyspozycji, tj.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APC/MLH1/MSH2/MSH6/PMS2 /STK11/SMAD4/BMPR1A/ MUTYH/EPCAM;</w:t>
      </w:r>
    </w:p>
    <w:p w:rsidR="0032026D" w:rsidRPr="0032026D" w:rsidRDefault="0032026D" w:rsidP="003202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objęcie członków rodzin, w których występuje wysokie ryzyko zachorowania, programami opieki, obejmującymi okresowe badania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kolonoskopowe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, gastroskopowe, USG ginekologiczne, oznaczanie stężeń CA125 w surowicy krwi.</w:t>
      </w:r>
    </w:p>
    <w:p w:rsidR="0032026D" w:rsidRPr="0032026D" w:rsidRDefault="0032026D" w:rsidP="0032026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Pacjentów do programu kwalifikuje lekarz poradni genetycznej na podstawie dokładnego wywiadu rodzinnego (dane o wszystkich krewnych 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– wiek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 typ/umiejscowienie nowotworów wśród tych krewnych oraz dane krewnych, którzy nie zachorowali na nowotwory; wiek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 typ/umiejscowienie nowotworów u wszystkich krewnych II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i ewentualnie dalszych stopni).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Ze względu na zróżnicowane doświadczenie poszczególnych ośrodków wykrywających mutacje w zespołach predyspozycji do nowotworów złośliwych, w których dominuje predyspozycja do rozwoju raka jelita grubego, stosowane są w nich różnorodne protokoły badań. W związku z powyższym, w celu zapewnienia maksymalnej efektywności medycznej i ekonomicznej programu a równocześnie nie wymuszania zmiany protokołów dotychczas stosowanych w ośrodkach, wprowadza się zasadę </w:t>
      </w:r>
      <w:r w:rsidRPr="0032026D">
        <w:rPr>
          <w:rFonts w:ascii="Times New Roman" w:eastAsia="SimSun" w:hAnsi="Times New Roman" w:cs="Times New Roman"/>
          <w:lang w:eastAsia="zh-CN"/>
        </w:rPr>
        <w:lastRenderedPageBreak/>
        <w:t xml:space="preserve">odpłatności jedynie za wykrycie nosicielstwa mutacji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APC, MLH1, MSH2, MSH6, PMS2, STK11, SMAD4, BMPR1A, MUTYH i EPCAM </w:t>
      </w:r>
      <w:r w:rsidRPr="0032026D">
        <w:rPr>
          <w:rFonts w:ascii="Times New Roman" w:eastAsia="SimSun" w:hAnsi="Times New Roman" w:cs="Times New Roman"/>
          <w:lang w:eastAsia="zh-CN"/>
        </w:rPr>
        <w:t>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u w:val="single"/>
          <w:lang w:eastAsia="zh-CN"/>
        </w:rPr>
        <w:t>W ramach programu finansowane są:</w:t>
      </w:r>
    </w:p>
    <w:p w:rsidR="0032026D" w:rsidRPr="0032026D" w:rsidRDefault="0032026D" w:rsidP="0032026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Wprowadzenie do rejestru - zidentyfikowanie osoby wysokiego ryzyka, pełny opis obciążenia rodzinnego oraz zebranie dodatkowej dokumentacji lekarskiej, a w przypadku zdrowych pacjentów, skierowanie do pierwszego badania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kolonoskopowego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, oraz (kobiety) na USG ginekologiczne i oznaczenie stężenia CA125 w surowicy krwi,  koordynacja działań podczas identyfikacji nowych osób z grup wysokiego ryzyka. (w tym koszt pracy lekarza i personelu pomocniczego) </w:t>
      </w:r>
    </w:p>
    <w:p w:rsidR="0032026D" w:rsidRPr="0032026D" w:rsidRDefault="0032026D" w:rsidP="003202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Wizyta lekarska z wydaniem wyniku konsultacji genetycznej oraz edukacja pacjenta. </w:t>
      </w:r>
    </w:p>
    <w:p w:rsidR="0032026D" w:rsidRPr="0032026D" w:rsidRDefault="0032026D" w:rsidP="003202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Ocena ekspresji genów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mutatorowych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w rakach jelita grubego rozpoznanych u pacjentów poniżej 60 r.ż.</w:t>
      </w:r>
    </w:p>
    <w:p w:rsidR="0032026D" w:rsidRPr="0032026D" w:rsidRDefault="0032026D" w:rsidP="0032026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Koszt wykrycia nosiciela mutacji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APC, MLH1, MSH2, MSH6, PMS2, STK11, SMAD4, BMPR1A, MUTYH i EPCAM </w:t>
      </w:r>
    </w:p>
    <w:p w:rsidR="0032026D" w:rsidRPr="0032026D" w:rsidRDefault="0032026D" w:rsidP="0032026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Wykrycie jednego nosiciela/ki </w:t>
      </w:r>
      <w:r w:rsidRPr="0032026D">
        <w:rPr>
          <w:rFonts w:ascii="Times New Roman" w:eastAsia="SimSun" w:hAnsi="Times New Roman" w:cs="Times New Roman"/>
          <w:i/>
          <w:lang w:eastAsia="zh-CN"/>
        </w:rPr>
        <w:t>APC, MLH1, MSH2, MSH6, PMS2, STK11, SMAD4, BMPR1A, MUTYH i EPCAM</w:t>
      </w:r>
      <w:r w:rsidRPr="0032026D">
        <w:rPr>
          <w:rFonts w:ascii="Times New Roman" w:eastAsia="SimSun" w:hAnsi="Times New Roman" w:cs="Times New Roman"/>
          <w:lang w:eastAsia="zh-CN"/>
        </w:rPr>
        <w:t xml:space="preserve"> zawiera całkowity koszt badań (w tym takich jak: molekularne, immunohistochemiczne czy ocena niestabilności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mikrosatelitarnej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).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Dodatkowe koszty opieki nad pacjentką/pacjentem:</w:t>
      </w:r>
    </w:p>
    <w:p w:rsidR="0032026D" w:rsidRPr="0032026D" w:rsidRDefault="0032026D" w:rsidP="0032026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Coroczna konsultacja lekarska, skierowanie na badania, koordynacja opieki (w tym koszt pracy lekarza i personelu pomocniczego). </w:t>
      </w:r>
    </w:p>
    <w:p w:rsidR="0032026D" w:rsidRPr="0032026D" w:rsidRDefault="0032026D" w:rsidP="0032026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(w tym koszt znieczulenia).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w znieczuleniu/sedacji uznaje się badanie w trakcie którego podawane są leki mające na celu zmniejszyć dyskomfort pacjenta związany z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kolonoskopią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(co najmniej jeden lek sedatywny i co najmniej jeden lek przeciwbólowy) a pacjent jest monitorowany przez dodatkową, przeszkoloną osobę (anestezjolog lub dodatkowy przeszkolony lekarz, lub pielęgniarka po odbyciu dodatkowego kursu z anestezjologii) z udziałem dodatkowego sprzętu monitorującego (co najmniej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pulsoksymetr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 funkcją monitorowania tętna i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sfingomanometr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).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Wykonania badania w znieczuleniu/sedacji zalecane jest osobom:</w:t>
      </w:r>
    </w:p>
    <w:p w:rsidR="0032026D" w:rsidRPr="0032026D" w:rsidRDefault="0032026D" w:rsidP="0032026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po przebytych rozległych operacjach w obrębie jamy brzusznej, zwłaszcza operacjach ginekologicznych, w tym cięciach cesarskich i operacjach będących wynikiem powikłań medycznych,</w:t>
      </w:r>
    </w:p>
    <w:p w:rsidR="0032026D" w:rsidRPr="0032026D" w:rsidRDefault="0032026D" w:rsidP="0032026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po niepełnych lub bardzo bolesnych badaniach endoskopowych jelita grubego w przeszłości,</w:t>
      </w:r>
    </w:p>
    <w:p w:rsidR="0032026D" w:rsidRPr="0032026D" w:rsidRDefault="0032026D" w:rsidP="0032026D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zgłaszającym administracji ośrodka duży lęk przed wykonaniem badania.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koszcie znieczulenia należy uwzględnić koszt wykonania ewentualnych badań diagnostycznych, potrzebnych do wykonania badania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kolonoskopowego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w znieczuleniu.</w:t>
      </w:r>
    </w:p>
    <w:p w:rsidR="0032026D" w:rsidRPr="0032026D" w:rsidRDefault="0032026D" w:rsidP="0032026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USG ginekologiczne.</w:t>
      </w:r>
    </w:p>
    <w:p w:rsidR="0032026D" w:rsidRPr="0032026D" w:rsidRDefault="0032026D" w:rsidP="0032026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Oznaczenie stężenia CA125,</w:t>
      </w:r>
    </w:p>
    <w:p w:rsidR="0032026D" w:rsidRPr="0032026D" w:rsidRDefault="0032026D" w:rsidP="0032026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Dodatkowa wizyta konsultacyjna.</w:t>
      </w:r>
    </w:p>
    <w:p w:rsidR="0032026D" w:rsidRPr="0032026D" w:rsidRDefault="0032026D" w:rsidP="0032026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lastRenderedPageBreak/>
        <w:t xml:space="preserve">Dla rodzin z zespołem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Peutza-Jeghersa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dodatkowo zalecane jest:</w:t>
      </w:r>
    </w:p>
    <w:p w:rsidR="0032026D" w:rsidRPr="0032026D" w:rsidRDefault="0032026D" w:rsidP="0032026D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USG i/lub mammografia i/lub MRI piersi.</w:t>
      </w:r>
    </w:p>
    <w:p w:rsidR="0032026D" w:rsidRPr="0032026D" w:rsidRDefault="0032026D" w:rsidP="0032026D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Badanie jelita cienkiego (pasaż jelita cienkiego).</w:t>
      </w:r>
    </w:p>
    <w:p w:rsidR="0032026D" w:rsidRPr="0032026D" w:rsidRDefault="0032026D" w:rsidP="0032026D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USG jamy brzusznej.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Badania dla rodzin z zespołem JPS finansowane są w ramach AOS ze środków NFZ.</w:t>
      </w:r>
    </w:p>
    <w:p w:rsidR="0032026D" w:rsidRPr="0032026D" w:rsidRDefault="0032026D" w:rsidP="0032026D">
      <w:pPr>
        <w:spacing w:before="120" w:after="12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Spośród wszystkich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raka jelita grubego i odbytnicy rozpoznawanych co roku w Polsce, 10-15%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jest uwarunkowanych zwiększonym ryzykiem rodzinnym. Podobne uwarunkowania występują w około 150 spośród 3 500 corocznych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raka błony śluzowej trzonu macicy. Co najmniej kilkakrotnie zwiększone ryzyko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te nowotwory występuje w populacji obejmującej 50 000 – 100 000 osób w wieku od 20 do 70 lat, w tym około 10 000-15 000 osób należy do grupy najwyższego ryzyka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nowotwory dziedziczne. Dziedziczne uwarunkowania występują szczególnie często w 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zachorowaniach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raki jelita grubego. Skutkiem nosicielstwa genów silnych predyspozycji do rozwoju tych nowotworów jest także wysokie ryzyko zachorowania na nowotwory złośliwe w niektórych innych umiejscowieniach, w tym na nowotwory trzonu macicy, jajników, jelita cienkiego, nerki, żołądka, trzustki, dróg moczowych i dróg żółciowych.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Rak jelita grubego u pacjentów z zespołem Lyncha ma odrębny przebieg kliniczny i charakteryzuje się odmienną wrażliwością na leczenie chemiczne w porównaniu do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sporadycznych na ten  nowotwór. Stworzenie rejestru chorych na raka jelita grubego z zespołem Lyncha umożliwi wieloletnią obserwację tych pacjentów, analizę danych klinicznych, a w przyszłości modyfikację postępowania terapeutycznego u tych chorych.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32026D">
        <w:rPr>
          <w:rFonts w:ascii="Times New Roman" w:eastAsia="SimSun" w:hAnsi="Times New Roman" w:cs="Times New Roman"/>
          <w:b/>
          <w:lang w:eastAsia="zh-CN"/>
        </w:rPr>
        <w:t xml:space="preserve">Opis działań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Pacjentów do programu kwalifikuje lekarz poradni genetycznej na podstawie dokładnego wywiadu rodzinnego (dane o wszystkich krewnych 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– wiek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 typ/umiejscowienie nowotworów wśród tych krewnych oraz dane krewnych, którzy nie zachorowali na nowotwory; wiek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 typ/umiejscowienie nowotworów u wszystkich krewnych II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i ewentualnie dalszych stopni).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Zespół rodzinnej </w:t>
      </w:r>
      <w:proofErr w:type="spellStart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>gruczolakowatej</w:t>
      </w:r>
      <w:proofErr w:type="spellEnd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 polipowatości jelit (FAP)</w:t>
      </w:r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Podstawą rozpoznania jest obciążenie rodzinne i stwierdzenie licznych polipów w jelicie grubym oraz innych fenotypowych cech tego zespołu (kostniaki, polipy dwunastnicy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itp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). Badanie mutacji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 xml:space="preserve"> jest pomocne dla potwierdzenia/wykluczenia nosicielstwa a identyfikacja mutacji (obok historii obciążenia rodzinnego) jest potwierdzeniem rozpoznania klinicznego, oszacowania ryzyka i przybliżonego wieku zachorowania na raka jelita grubego oraz nowotwory w innych umiejscowieniach.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 krewnych 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osób chorych, u których rozpoznano nosicielstwo mutacji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APC,</w:t>
      </w:r>
      <w:r w:rsidRPr="0032026D">
        <w:rPr>
          <w:rFonts w:ascii="Times New Roman" w:eastAsia="SimSun" w:hAnsi="Times New Roman" w:cs="Times New Roman"/>
          <w:lang w:eastAsia="zh-CN"/>
        </w:rPr>
        <w:t xml:space="preserve"> zaleca się wykonanie badania endoskopowego jelit (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rektosigmoidoskopia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 już na początku 2 dekady życia, ponieważ istnieje prawdopodobieństwo wykrycia raka jelita grubego nawet u młodych pacjentów.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Badanie nosicielstwa mutacji w genie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APC </w:t>
      </w:r>
      <w:r w:rsidRPr="0032026D">
        <w:rPr>
          <w:rFonts w:ascii="Times New Roman" w:eastAsia="SimSun" w:hAnsi="Times New Roman" w:cs="Times New Roman"/>
          <w:lang w:eastAsia="zh-CN"/>
        </w:rPr>
        <w:t xml:space="preserve">jest uzasadnione u osób niepełnoletnich z rodzin z FAP lub dzieci z objawami FAP – </w:t>
      </w:r>
      <w:r w:rsidRPr="0032026D">
        <w:rPr>
          <w:rFonts w:ascii="Times New Roman" w:eastAsia="SimSun" w:hAnsi="Times New Roman" w:cs="Times New Roman"/>
          <w:i/>
          <w:lang w:eastAsia="zh-CN"/>
        </w:rPr>
        <w:t>vide</w:t>
      </w:r>
      <w:r w:rsidRPr="0032026D">
        <w:rPr>
          <w:rFonts w:ascii="Times New Roman" w:eastAsia="SimSun" w:hAnsi="Times New Roman" w:cs="Times New Roman"/>
          <w:lang w:eastAsia="zh-CN"/>
        </w:rPr>
        <w:t xml:space="preserve"> wytyczne ESHG. Takie podejście umożliwia dzieciom z rodzin z FAP, u </w:t>
      </w:r>
      <w:r w:rsidRPr="0032026D">
        <w:rPr>
          <w:rFonts w:ascii="Times New Roman" w:eastAsia="SimSun" w:hAnsi="Times New Roman" w:cs="Times New Roman"/>
          <w:lang w:eastAsia="zh-CN"/>
        </w:rPr>
        <w:lastRenderedPageBreak/>
        <w:t xml:space="preserve">których wykluczono nosicielstwo mutacji markerowej, uniknięcie licznych  niepotrzebnych inwazyjnych badań endoskopowych, natomiast potwierdzenie nosicielstwa mutacji markerowej przekłada się na lepsze przestrzeganie zasad nadzoru endoskopowego i dzięki temu zmniejsza się ryzyko raka we wczesnym wieku. Pełnoletnim osobom z rodzin, w których ustalono mutację markerową odpowiedzialną za FAP, u których w badaniach endoskopowych nie stwierdza się polipów, należy zaproponować badanie genetyczne, mające na celu wykluczenie nosicielstwa mutacji w obrębie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 xml:space="preserve">. Jeśli u danego pacjenta nie stwierdza się markerowej dla danej rodziny mutacji w tym genie, może on zostać zwolniony z nadzoru endoskopowego i innych badań z programu opieki.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Zalecenia dotyczące opieki nad członkami rodzin, w których stwierdzono polipy w jelicie grubym lub wykryto mutację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 xml:space="preserve">: </w:t>
      </w:r>
    </w:p>
    <w:p w:rsidR="0032026D" w:rsidRPr="0032026D" w:rsidRDefault="0032026D" w:rsidP="0032026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Wykonywanie badań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kolonoskopowych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w odstępach co 18 miesięcy począwszy od 18 roku życia, a</w:t>
      </w:r>
      <w:r w:rsidRPr="0032026D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r w:rsidRPr="0032026D">
        <w:rPr>
          <w:rFonts w:ascii="Times New Roman" w:eastAsia="SimSun" w:hAnsi="Times New Roman" w:cs="Times New Roman"/>
          <w:lang w:eastAsia="zh-CN"/>
        </w:rPr>
        <w:t xml:space="preserve">w rodzinach w których raki występują wcześnie należy zalecić wykonanie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sigmoidoskopii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od wieku o 10 lat niższego niż wiek zachorowania najmłodszej osoby w rodzinie lub od 12 r.ż.,</w:t>
      </w:r>
    </w:p>
    <w:p w:rsidR="0032026D" w:rsidRPr="0032026D" w:rsidRDefault="0032026D" w:rsidP="0032026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Od momentu stwierdzenia polipów w jelicie grubym zaleca się wykonywanie gastroskopii w odstępach 12-36 miesięcy (pomocnicze znaczenie dla ustalenia terminu kolejnej endoskopii górnego odcinka przewodu pokarmowego ma klasyfikacja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Spiegelmana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)</w:t>
      </w:r>
    </w:p>
    <w:p w:rsidR="0032026D" w:rsidRPr="0032026D" w:rsidRDefault="0032026D" w:rsidP="0032026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przypadku stwierdzenia mnogich polipów w jelicie grubym, których nie można usunąć doszczętnie endoskopowo, pacjentowi należy zaproponować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, ponieważ ryzyko rozwoju raka w jelicie grubym w tej grupie wynosi blisko 100% a zabieg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jest jedynym skutecznym sposobem zapobiegania temu zachorowaniu, </w:t>
      </w:r>
    </w:p>
    <w:p w:rsidR="0032026D" w:rsidRPr="0032026D" w:rsidRDefault="0032026D" w:rsidP="0032026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Po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należy wykonywać co roku badanie endoskopowe pozostawionego odcinka jelita grubego - jeśli zabieg był subtotalny - lub wytworzonego zbiornika jelitowego,</w:t>
      </w:r>
    </w:p>
    <w:p w:rsidR="0032026D" w:rsidRPr="0032026D" w:rsidRDefault="0032026D" w:rsidP="0032026D">
      <w:pPr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 przypadku podejrzenia u pacjenta z FAP obecności zmian w jelicie cienkim, których nie można ocenić/usunąć w czasie badania endoskopowego górnego odcinka przewodu pokarmowego, pacjenta należy skierować do oddziału gastroenterologicznego mającego doświadczenie w opiece nad rodzinami z tym zespołem.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Należy poinformować pacjenta z FAP o wskazaniach do wykonywania co 6-12 miesięcy badania USG wątroby i oznaczenia stężenia AFP w osoczu w wieku od 0,5 roku życia, ze względu na ryzyko zachorowania na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wątrobiaka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zarodkowego (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hepatoblastoma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Prawdopodobieństwo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wątrobiaka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zarodkowego w grupie tych dzieci wynosi 1/300 (a w grupie nosicieli mutacji 1/150). Nowotwór wątroby u dzieci wcześnie wykryty jest wyleczalny, zaś proponowana metoda badań przesiewowych jest małoinwazyjna.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Powyższa opieka jest dostępna w ramach ambulatoryjnej opieki specjalistycznej w onkologicznych lub gastroenterologicznych poradniach dziecięcych.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Dzieci z rodzin z FAP od początku 2 dekady życia powinny być pod opieką poradni gastroenterologicznej dla dzieci i mieć zapewniony nadzór endoskopowy.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lastRenderedPageBreak/>
        <w:t xml:space="preserve">Zespół </w:t>
      </w:r>
      <w:proofErr w:type="spellStart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>gruczolakowatej</w:t>
      </w:r>
      <w:proofErr w:type="spellEnd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 polipowatości rodzinnej o opóźnionej ekspresji (AFAP – </w:t>
      </w:r>
      <w:proofErr w:type="spellStart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>attenuated</w:t>
      </w:r>
      <w:proofErr w:type="spellEnd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 FAP).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Zalecenia dotyczące osób z AFAP: </w:t>
      </w:r>
    </w:p>
    <w:p w:rsidR="0032026D" w:rsidRPr="0032026D" w:rsidRDefault="0032026D" w:rsidP="0032026D">
      <w:pPr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, którą należy rozpocząć od 20 roku życia. Sugerowany odstęp między badaniami – około 24 miesięcy; jeżeli stwierdzono polipy – badania wraz z 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polipektomiami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należy wykonywać co około 12-18 miesięcy.</w:t>
      </w:r>
    </w:p>
    <w:p w:rsidR="0032026D" w:rsidRPr="0032026D" w:rsidRDefault="0032026D" w:rsidP="0032026D">
      <w:pPr>
        <w:numPr>
          <w:ilvl w:val="0"/>
          <w:numId w:val="7"/>
        </w:numPr>
        <w:spacing w:after="0" w:line="360" w:lineRule="auto"/>
        <w:ind w:left="567" w:hanging="578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Od momentu wykrycia polipów w jelicie grubym należy pacjentom zaproponować gastroskopię co 1-3 lata.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Przyjmuje się, że leczenie operacyjne (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) powinno być podjęte w momencie wykrycia mnogich gruczolaków w jelicie grubym. Zakres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zależy od zasięgu zmian. Po leczeniu operacyjnym obowiązuje nadzór endoskopowy nad pozostawioną częścią jelita grubego.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Pełnoletnim osobom z rodzin, w których stwierdzono lub podejrzewa się zespół łagodnej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gruczolakowatej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polipowatości rodzinnej, należy zaproponować badanie genetyczne, mające na celu wykluczenie nosicielstwa mutacji w obrębie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 xml:space="preserve">. Jeśli u danego pacjenta nie stwierdza się markerowej dla danej rodziny mutacji w obrębie genu </w:t>
      </w:r>
      <w:r w:rsidRPr="0032026D">
        <w:rPr>
          <w:rFonts w:ascii="Times New Roman" w:eastAsia="SimSun" w:hAnsi="Times New Roman" w:cs="Times New Roman"/>
          <w:i/>
          <w:lang w:eastAsia="zh-CN"/>
        </w:rPr>
        <w:t>APC</w:t>
      </w:r>
      <w:r w:rsidRPr="0032026D">
        <w:rPr>
          <w:rFonts w:ascii="Times New Roman" w:eastAsia="SimSun" w:hAnsi="Times New Roman" w:cs="Times New Roman"/>
          <w:lang w:eastAsia="zh-CN"/>
        </w:rPr>
        <w:t>, może on zostać zwolniony z nadzoru endoskopowego.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Zespół Lyncha (dziedziczny rak jelita grubego bez polipowatości (HNPCC).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Do badania ekspresji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MLH1, MSH2, MSH6, PMS2</w:t>
      </w:r>
      <w:r w:rsidRPr="0032026D">
        <w:rPr>
          <w:rFonts w:ascii="Times New Roman" w:eastAsia="SimSun" w:hAnsi="Times New Roman" w:cs="Times New Roman"/>
          <w:lang w:eastAsia="zh-CN"/>
        </w:rPr>
        <w:t xml:space="preserve"> metodą immunohistochemiczną w tkance guza kwalifikują się wszyscy chorzy, którzy odpowiadają kryteriom z Bethesdy. Brak ekspresji jednego lub kilku genów kwalifikuje do badania molekularnego – poszukiwanie mutacji 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germinalnej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w DNA krwi obwodowej lub innej tkanki pacjenta.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przypadku gdy wykonanie badania immunohistochemicznego ekspresji genów w guzie nie jest możliwe (np. gdy dotyczy to zdrowych probantów z obciążonych rodzin, gdy nie można uzyskać skrawka guza od krewnego, który wcześniej zachorował) – zaleca się badanie nosicielstwa mutacji u probantów z rodzin spełniających kryteria Bethesda: 1. rozpoznanie raka jelita grubego przed 50rż, 2. wystąpienie synchroniczne lub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metachroniczne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raka jelita grubego lub raka ze spectrum zespołu Lyncha (rak żołądka, pęcherza moczowego, dróg żółciowych, jelita cienkiego), niezależnie od wieku, 3.raka jelita grubego z wysoką niestabilnością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mikrosatelitarną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przed 60r. życia, 4. raka jelita grubego i jednego lub więcej krewnych z rakiem jelita grubego lub innym rakiem ze spektrum HNPCC (przynajmniej u jednej osoby rozpoznanie musi być postawione przed 50 r.ż.),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Zalecenia dotyczące osób z zespołem Lyncha obejmują: 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Od 20-25 roku życia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co 1-2 lata w przypadku nosicielstwa mutacji w genach </w:t>
      </w:r>
      <w:r w:rsidRPr="0032026D">
        <w:rPr>
          <w:rFonts w:ascii="Times New Roman" w:eastAsia="SimSun" w:hAnsi="Times New Roman" w:cs="Times New Roman"/>
          <w:i/>
          <w:lang w:eastAsia="zh-CN"/>
        </w:rPr>
        <w:t>MLH1, MSH2,</w:t>
      </w:r>
      <w:r w:rsidRPr="0032026D">
        <w:rPr>
          <w:rFonts w:ascii="Times New Roman" w:eastAsia="SimSun" w:hAnsi="Times New Roman" w:cs="Times New Roman"/>
          <w:lang w:eastAsia="zh-CN"/>
        </w:rPr>
        <w:t xml:space="preserve"> a od 25–30 roku życia u nosicieli mutacji w genie </w:t>
      </w:r>
      <w:r w:rsidRPr="0032026D">
        <w:rPr>
          <w:rFonts w:ascii="Times New Roman" w:eastAsia="SimSun" w:hAnsi="Times New Roman" w:cs="Times New Roman"/>
          <w:i/>
          <w:lang w:eastAsia="zh-CN"/>
        </w:rPr>
        <w:t>PMS2, EPCAM</w:t>
      </w:r>
      <w:r w:rsidRPr="0032026D">
        <w:rPr>
          <w:rFonts w:ascii="Times New Roman" w:eastAsia="SimSun" w:hAnsi="Times New Roman" w:cs="Times New Roman"/>
          <w:lang w:eastAsia="zh-CN"/>
        </w:rPr>
        <w:t xml:space="preserve"> lub </w:t>
      </w:r>
      <w:r w:rsidRPr="0032026D">
        <w:rPr>
          <w:rFonts w:ascii="Times New Roman" w:eastAsia="SimSun" w:hAnsi="Times New Roman" w:cs="Times New Roman"/>
          <w:i/>
          <w:lang w:eastAsia="zh-CN"/>
        </w:rPr>
        <w:t>MSH6.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przypadku wykrycia raka w jelicie grubym zalecanym sposobem leczenia chirurgicznego, z uwagi na wysokie ryzyko rozwoju synchronicznych lub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metachroniczych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zmian nowotworowych, jest subtotalna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kolektomia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.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lastRenderedPageBreak/>
        <w:t>Po zabiegu należy prowadzić badania endoskopowe pozostawionej części jelita grubego - nie rzadziej niż co 2 lata.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U kobiet, od 30 roku życia należy zalecać corocznie badania USG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przezpochwowe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mające na celu wczesne wykrycie raka błony śluzowej trzonu macicy i ewentualnie raka jajnika oraz oznaczanie stężenia CA125 w surowicy krwi.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U kobiet od 30 roku życia – każde nieprawidłowe krwawienie z dróg rodnych u kobiety z zespołem Lyncha powinno być wskazaniem do starannej diagnostyki w kierunku raka błony śluzowej trzonu macicy (histeroskopia). </w:t>
      </w:r>
    </w:p>
    <w:p w:rsidR="0032026D" w:rsidRPr="0032026D" w:rsidRDefault="0032026D" w:rsidP="0032026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U kobiet nosicielek mutacji </w:t>
      </w:r>
      <w:r w:rsidRPr="0032026D">
        <w:rPr>
          <w:rFonts w:ascii="Times New Roman" w:eastAsia="SimSun" w:hAnsi="Times New Roman" w:cs="Times New Roman"/>
          <w:i/>
          <w:lang w:eastAsia="zh-CN"/>
        </w:rPr>
        <w:t>MLH1, MSH2, MSH6,</w:t>
      </w:r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r w:rsidRPr="0032026D">
        <w:rPr>
          <w:rFonts w:ascii="Times New Roman" w:eastAsia="SimSun" w:hAnsi="Times New Roman" w:cs="Times New Roman"/>
          <w:i/>
          <w:lang w:eastAsia="zh-CN"/>
        </w:rPr>
        <w:t>PMS2,</w:t>
      </w:r>
      <w:r w:rsidRPr="0032026D">
        <w:rPr>
          <w:rFonts w:ascii="Times New Roman" w:eastAsia="SimSun" w:hAnsi="Times New Roman" w:cs="Times New Roman"/>
          <w:lang w:eastAsia="zh-CN"/>
        </w:rPr>
        <w:t xml:space="preserve"> które zrealizowały plany macierzyńskie, zalecana jest opcja profilaktycznej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histerektomii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z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adneksektomią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od 35 r.ż. w związku z wysokim ryzykiem raka błony śluzowej trzonu macicy i raka jajnika.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>Rodzinne raki jelita grubego i błony śluzowej trzonu macicy.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Do tej grupy włącza się rodziny: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Spełniające kryteria z Bethesdy, u których nie stwierdzono zaburzeń ekspresji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MLH1, MSH2</w:t>
      </w:r>
      <w:r w:rsidRPr="0032026D">
        <w:rPr>
          <w:rFonts w:ascii="Times New Roman" w:eastAsia="SimSun" w:hAnsi="Times New Roman" w:cs="Times New Roman"/>
          <w:lang w:eastAsia="zh-CN"/>
        </w:rPr>
        <w:t xml:space="preserve"> i </w:t>
      </w:r>
      <w:r w:rsidRPr="0032026D">
        <w:rPr>
          <w:rFonts w:ascii="Times New Roman" w:eastAsia="SimSun" w:hAnsi="Times New Roman" w:cs="Times New Roman"/>
          <w:i/>
          <w:lang w:eastAsia="zh-CN"/>
        </w:rPr>
        <w:t>MSH6</w:t>
      </w:r>
      <w:r w:rsidRPr="0032026D">
        <w:rPr>
          <w:rFonts w:ascii="Times New Roman" w:eastAsia="SimSun" w:hAnsi="Times New Roman" w:cs="Times New Roman"/>
          <w:lang w:eastAsia="zh-CN"/>
        </w:rPr>
        <w:t xml:space="preserve"> i nosicielstwa mutacji tych genów,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 których u 2 krewnych I lub II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wystąpiły zachorowania na raka jelita grubego, niezależnie od wieku tych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,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których wśród krewnych I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 wystąpiło 3 lub więcej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łącznie na raka jelita grubego i odbytnicy, błony śluzowej trzonu macicy, jajnika, żołądka i nerki – niezależnie od wieku zachorowania,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których wśród krewnych I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i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II</w:t>
      </w:r>
      <w:r w:rsidRPr="0032026D">
        <w:rPr>
          <w:rFonts w:ascii="Times New Roman" w:eastAsia="SimSun" w:hAnsi="Times New Roman" w:cs="Times New Roman"/>
          <w:vertAlign w:val="superscript"/>
          <w:lang w:eastAsia="zh-CN"/>
        </w:rPr>
        <w:t>0</w:t>
      </w:r>
      <w:r w:rsidRPr="0032026D">
        <w:rPr>
          <w:rFonts w:ascii="Times New Roman" w:eastAsia="SimSun" w:hAnsi="Times New Roman" w:cs="Times New Roman"/>
          <w:lang w:eastAsia="zh-CN"/>
        </w:rPr>
        <w:t xml:space="preserve"> wystąpiło 3 lub więcej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zachorowań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na nowotwory ze spektrum zespołu Lyncha w umiejscowieniach pozajelitowych tj. raki błony śluzowej trzonu macicy, jajnika, żołądka i nerki.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Zalecenia dotyczące ww. osób obejmują: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od 40 roku życia (lub od wieku o 10 lat wcześniejszego niż wiek najwcześniejszego zachorowania na raka jelita grubego w rodzinie, w zależności od tego, co przypada wcześniej) w odstępach nie rzadziej niż 5-letnich, </w:t>
      </w:r>
    </w:p>
    <w:p w:rsidR="0032026D" w:rsidRPr="0032026D" w:rsidRDefault="0032026D" w:rsidP="0032026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 kobiet badanie ginekologiczne w tym USG ginekologiczne oraz badanie CA125 od 35 roku życia co roku.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Zespół </w:t>
      </w:r>
      <w:proofErr w:type="spellStart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Peutza</w:t>
      </w:r>
      <w:proofErr w:type="spellEnd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Jeghersa</w:t>
      </w:r>
      <w:proofErr w:type="spellEnd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(PJS </w:t>
      </w:r>
      <w:proofErr w:type="spellStart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Peutz</w:t>
      </w:r>
      <w:proofErr w:type="spellEnd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Jeghers</w:t>
      </w:r>
      <w:proofErr w:type="spellEnd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Syndrome</w:t>
      </w:r>
      <w:proofErr w:type="spellEnd"/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)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bCs/>
          <w:lang w:eastAsia="zh-CN"/>
        </w:rPr>
        <w:t xml:space="preserve">Zespół uwarunkowany jest mutacjami w genie </w:t>
      </w:r>
      <w:r w:rsidRPr="0032026D">
        <w:rPr>
          <w:rFonts w:ascii="Times New Roman" w:eastAsia="SimSun" w:hAnsi="Times New Roman" w:cs="Times New Roman"/>
          <w:bCs/>
          <w:i/>
          <w:lang w:eastAsia="zh-CN"/>
        </w:rPr>
        <w:t xml:space="preserve">STK11 </w:t>
      </w:r>
      <w:r w:rsidRPr="0032026D">
        <w:rPr>
          <w:rFonts w:ascii="Times New Roman" w:eastAsia="SimSun" w:hAnsi="Times New Roman" w:cs="Times New Roman"/>
          <w:bCs/>
          <w:lang w:eastAsia="zh-CN"/>
        </w:rPr>
        <w:t>(OMIM</w:t>
      </w:r>
      <w:r w:rsidRPr="0032026D">
        <w:rPr>
          <w:rFonts w:ascii="Times New Roman" w:eastAsia="SimSun" w:hAnsi="Times New Roman" w:cs="Times New Roman"/>
          <w:lang w:eastAsia="zh-CN"/>
        </w:rPr>
        <w:t xml:space="preserve"> 602216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Serine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>/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Threonine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Protein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Kinase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11</w:t>
      </w:r>
      <w:r w:rsidRPr="0032026D">
        <w:rPr>
          <w:rFonts w:ascii="Times New Roman" w:eastAsia="SimSun" w:hAnsi="Times New Roman" w:cs="Times New Roman"/>
          <w:bCs/>
          <w:lang w:eastAsia="zh-CN"/>
        </w:rPr>
        <w:t>)</w:t>
      </w:r>
      <w:r w:rsidRPr="0032026D">
        <w:rPr>
          <w:rFonts w:ascii="Times New Roman" w:eastAsia="SimSun" w:hAnsi="Times New Roman" w:cs="Times New Roman"/>
          <w:lang w:eastAsia="zh-CN"/>
        </w:rPr>
        <w:t xml:space="preserve"> 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położonym w regionie 19.13.3. Zespół </w:t>
      </w:r>
      <w:proofErr w:type="spellStart"/>
      <w:r w:rsidRPr="0032026D">
        <w:rPr>
          <w:rFonts w:ascii="Times New Roman" w:eastAsia="SimSun" w:hAnsi="Times New Roman" w:cs="Times New Roman"/>
          <w:bCs/>
          <w:lang w:eastAsia="zh-CN"/>
        </w:rPr>
        <w:t>Peutza</w:t>
      </w:r>
      <w:proofErr w:type="spellEnd"/>
      <w:r w:rsidRPr="0032026D">
        <w:rPr>
          <w:rFonts w:ascii="Times New Roman" w:eastAsia="SimSun" w:hAnsi="Times New Roman" w:cs="Times New Roman"/>
          <w:bCs/>
          <w:lang w:eastAsia="zh-CN"/>
        </w:rPr>
        <w:t xml:space="preserve"> i </w:t>
      </w:r>
      <w:proofErr w:type="spellStart"/>
      <w:r w:rsidRPr="0032026D">
        <w:rPr>
          <w:rFonts w:ascii="Times New Roman" w:eastAsia="SimSun" w:hAnsi="Times New Roman" w:cs="Times New Roman"/>
          <w:bCs/>
          <w:lang w:eastAsia="zh-CN"/>
        </w:rPr>
        <w:t>Jeghersa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(PJS OMIM 175200) 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jest dziedziczony autosomalnie dominująco. Częstość występowania choroby waha się od </w:t>
      </w:r>
      <w:r w:rsidRPr="0032026D">
        <w:rPr>
          <w:rFonts w:ascii="Times New Roman" w:eastAsia="SimSun" w:hAnsi="Times New Roman" w:cs="Times New Roman"/>
          <w:lang w:eastAsia="zh-CN"/>
        </w:rPr>
        <w:t xml:space="preserve">1/29 000 do 1/120 000 nowych urodzeń. Zmiany barwnikowe pojawiają się bardzo wcześnie a charakterystyczne polipy jelita pojawiają się podczas drugiej i trzeciej dekady życia u 80-100% pacjentów. Pacjenci z PJS są obciążenie podwyższonym ryzykiem wystąpienia przede wszystkim nowotworu trzustki, sutka i jelita grubego.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Kryteria rozpoznania: </w:t>
      </w:r>
    </w:p>
    <w:p w:rsidR="0032026D" w:rsidRPr="0032026D" w:rsidRDefault="0032026D" w:rsidP="003202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lastRenderedPageBreak/>
        <w:t>występowanie trzech lub więcej charakterystycznych dla PJS polipów potwierdzonych pod względem histologicznym,</w:t>
      </w:r>
    </w:p>
    <w:p w:rsidR="0032026D" w:rsidRPr="0032026D" w:rsidRDefault="0032026D" w:rsidP="003202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występowanie jakiejkolwiek liczby polipów charakterystycznych dla PJS u pacjentów z obciążonym wywiadem rodzinnym,</w:t>
      </w:r>
    </w:p>
    <w:p w:rsidR="0032026D" w:rsidRPr="0032026D" w:rsidRDefault="0032026D" w:rsidP="003202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występowanie charakterystycznych zmiany barwnikowo skórno-śluzówkowych u pacjentów z obciążonym wywiadem rodzinnym,</w:t>
      </w:r>
    </w:p>
    <w:p w:rsidR="0032026D" w:rsidRPr="0032026D" w:rsidRDefault="0032026D" w:rsidP="0032026D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występowanie jakiejkolwiek liczby polipów charakterystycznych dla PJS u pacjentów z typowymi zmianami barwnikowymi skórno-śluzówkowymi.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Zalecenia diagnostyczne:</w:t>
      </w:r>
    </w:p>
    <w:p w:rsidR="0032026D" w:rsidRPr="0032026D" w:rsidRDefault="0032026D" w:rsidP="0032026D">
      <w:pPr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dla obu płci zalecane jest:</w:t>
      </w:r>
    </w:p>
    <w:p w:rsidR="0032026D" w:rsidRPr="0032026D" w:rsidRDefault="0032026D" w:rsidP="0032026D">
      <w:pPr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badanie jelita cienkiego (pasaż jelita cienkiego) od 8 roku życia raz na 2 - 3 lata,</w:t>
      </w:r>
    </w:p>
    <w:p w:rsidR="0032026D" w:rsidRPr="0032026D" w:rsidRDefault="0032026D" w:rsidP="0032026D">
      <w:pPr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co 2-3 lata od 18 roku życia (w ramach opieki gastroenterologa, pod opieką którego powinien być taki chory),</w:t>
      </w:r>
    </w:p>
    <w:p w:rsidR="0032026D" w:rsidRPr="0032026D" w:rsidRDefault="0032026D" w:rsidP="0032026D">
      <w:pPr>
        <w:numPr>
          <w:ilvl w:val="1"/>
          <w:numId w:val="11"/>
        </w:numPr>
        <w:spacing w:after="0" w:line="360" w:lineRule="auto"/>
        <w:ind w:left="709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badanie USG trzustki raz na 1-2 lata od 24 roku życia;</w:t>
      </w:r>
    </w:p>
    <w:p w:rsidR="0032026D" w:rsidRPr="0032026D" w:rsidRDefault="0032026D" w:rsidP="0032026D">
      <w:pPr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dla chorych płci żeńskiej:</w:t>
      </w:r>
    </w:p>
    <w:p w:rsidR="0032026D" w:rsidRPr="0032026D" w:rsidRDefault="0032026D" w:rsidP="0032026D">
      <w:pPr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badanie piersi od 18 roku życia, samokontrola raz w miesiącu. Od 24 roku życia coroczne kontrolne badania obrazowe USG, w razie wykrycia nieprawidłowości z poszerzeniem badań o MRI lub mammografię,</w:t>
      </w:r>
    </w:p>
    <w:p w:rsidR="0032026D" w:rsidRPr="0032026D" w:rsidRDefault="0032026D" w:rsidP="0032026D">
      <w:pPr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USG jajników zaleca się przeprowadzać raz na rok począwszy od urodzenia do 12 roku życia, a następnie od 21 r.ż., </w:t>
      </w:r>
    </w:p>
    <w:p w:rsidR="0032026D" w:rsidRPr="0032026D" w:rsidRDefault="0032026D" w:rsidP="0032026D">
      <w:pPr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dla chorych płci męskiej:</w:t>
      </w:r>
    </w:p>
    <w:p w:rsidR="0032026D" w:rsidRPr="0032026D" w:rsidRDefault="0032026D" w:rsidP="0032026D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badanie jąder od urodzenia do 12 roku życia</w:t>
      </w:r>
      <w:r w:rsidRPr="0032026D">
        <w:rPr>
          <w:rFonts w:ascii="Times New Roman" w:eastAsia="SimSun" w:hAnsi="Times New Roman" w:cs="Times New Roman"/>
          <w:color w:val="FF0000"/>
          <w:lang w:eastAsia="zh-CN"/>
        </w:rPr>
        <w:t xml:space="preserve"> - </w:t>
      </w:r>
      <w:r w:rsidRPr="0032026D">
        <w:rPr>
          <w:rFonts w:ascii="Times New Roman" w:eastAsia="SimSun" w:hAnsi="Times New Roman" w:cs="Times New Roman"/>
          <w:lang w:eastAsia="zh-CN"/>
        </w:rPr>
        <w:t xml:space="preserve">badanie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palpacyjne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jest możliwe do wykonania na każdym etapie, w przypadku wykrycia niepokojących objawów - skierowanie do dalszej diagnostyki i leczenia specjalistycznego.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 ramach programu planowane jest:</w:t>
      </w:r>
    </w:p>
    <w:p w:rsidR="0032026D" w:rsidRPr="0032026D" w:rsidRDefault="0032026D" w:rsidP="0032026D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Zidentyfikowanie nowych pacjentów z zespołem PJS poprzez badanie genu STK11.</w:t>
      </w:r>
    </w:p>
    <w:p w:rsidR="0032026D" w:rsidRPr="0032026D" w:rsidRDefault="0032026D" w:rsidP="0032026D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Wykonywanie badania nosicielstwa mutacji genu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STK11 </w:t>
      </w:r>
      <w:r w:rsidRPr="0032026D">
        <w:rPr>
          <w:rFonts w:ascii="Times New Roman" w:eastAsia="SimSun" w:hAnsi="Times New Roman" w:cs="Times New Roman"/>
          <w:lang w:eastAsia="zh-CN"/>
        </w:rPr>
        <w:t>w rodzinach z rozpoznaną mutacją markerową tego genu.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Polipowatość młodzieńcza (JPS ang. </w:t>
      </w:r>
      <w:proofErr w:type="spellStart"/>
      <w:r w:rsidRPr="0032026D">
        <w:rPr>
          <w:rFonts w:ascii="Times New Roman" w:eastAsia="SimSun" w:hAnsi="Times New Roman" w:cs="Times New Roman"/>
          <w:b/>
          <w:i/>
          <w:u w:val="single"/>
          <w:lang w:eastAsia="zh-CN"/>
        </w:rPr>
        <w:t>juvenile</w:t>
      </w:r>
      <w:proofErr w:type="spellEnd"/>
      <w:r w:rsidRPr="0032026D">
        <w:rPr>
          <w:rFonts w:ascii="Times New Roman" w:eastAsia="SimSun" w:hAnsi="Times New Roman" w:cs="Times New Roman"/>
          <w:b/>
          <w:i/>
          <w:u w:val="single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/>
          <w:i/>
          <w:u w:val="single"/>
          <w:lang w:eastAsia="zh-CN"/>
        </w:rPr>
        <w:t>polyposis</w:t>
      </w:r>
      <w:proofErr w:type="spellEnd"/>
      <w:r w:rsidRPr="0032026D">
        <w:rPr>
          <w:rFonts w:ascii="Times New Roman" w:eastAsia="SimSun" w:hAnsi="Times New Roman" w:cs="Times New Roman"/>
          <w:b/>
          <w:i/>
          <w:u w:val="single"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/>
          <w:i/>
          <w:u w:val="single"/>
          <w:lang w:eastAsia="zh-CN"/>
        </w:rPr>
        <w:t>syndrome</w:t>
      </w:r>
      <w:proofErr w:type="spellEnd"/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>)</w:t>
      </w:r>
      <w:r w:rsidRPr="0032026D">
        <w:rPr>
          <w:rFonts w:ascii="Times New Roman" w:eastAsia="SimSun" w:hAnsi="Times New Roman" w:cs="Times New Roman"/>
          <w:u w:val="single"/>
          <w:lang w:eastAsia="zh-CN"/>
        </w:rPr>
        <w:t xml:space="preserve">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JPS (OMIM 174900) jest rzadką chorobą dziedziczoną w sposób autosomalny dominujący i występuje 1 na 100000 nowych urodzeń.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Za wystąpienie polipowatości młodzieńczej odpowiedzialne są mutacje w genach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 SMAD4 </w:t>
      </w:r>
      <w:r w:rsidRPr="0032026D">
        <w:rPr>
          <w:rFonts w:ascii="Times New Roman" w:eastAsia="SimSun" w:hAnsi="Times New Roman" w:cs="Times New Roman"/>
          <w:lang w:eastAsia="zh-CN"/>
        </w:rPr>
        <w:t>i </w:t>
      </w:r>
      <w:r w:rsidRPr="0032026D">
        <w:rPr>
          <w:rFonts w:ascii="Times New Roman" w:eastAsia="SimSun" w:hAnsi="Times New Roman" w:cs="Times New Roman"/>
          <w:i/>
          <w:lang w:eastAsia="zh-CN"/>
        </w:rPr>
        <w:t>BMPR1A</w:t>
      </w:r>
      <w:r w:rsidRPr="0032026D">
        <w:rPr>
          <w:rFonts w:ascii="Times New Roman" w:eastAsia="SimSun" w:hAnsi="Times New Roman" w:cs="Times New Roman"/>
          <w:lang w:eastAsia="zh-CN"/>
        </w:rPr>
        <w:t xml:space="preserve">. Gen </w:t>
      </w:r>
      <w:r w:rsidRPr="0032026D">
        <w:rPr>
          <w:rFonts w:ascii="Times New Roman" w:eastAsia="SimSun" w:hAnsi="Times New Roman" w:cs="Times New Roman"/>
          <w:i/>
          <w:lang w:eastAsia="zh-CN"/>
        </w:rPr>
        <w:t>BMPR1A</w:t>
      </w:r>
      <w:r w:rsidRPr="0032026D">
        <w:rPr>
          <w:rFonts w:ascii="Times New Roman" w:eastAsia="SimSun" w:hAnsi="Times New Roman" w:cs="Times New Roman"/>
          <w:lang w:eastAsia="zh-CN"/>
        </w:rPr>
        <w:t xml:space="preserve"> (OMIM 601299; ang. </w:t>
      </w:r>
      <w:proofErr w:type="spellStart"/>
      <w:r w:rsidRPr="0032026D">
        <w:rPr>
          <w:rFonts w:ascii="Times New Roman" w:eastAsia="SimSun" w:hAnsi="Times New Roman" w:cs="Times New Roman"/>
          <w:bCs/>
          <w:i/>
          <w:lang w:eastAsia="zh-CN"/>
        </w:rPr>
        <w:t>Bone</w:t>
      </w:r>
      <w:proofErr w:type="spellEnd"/>
      <w:r w:rsidRPr="0032026D">
        <w:rPr>
          <w:rFonts w:ascii="Times New Roman" w:eastAsia="SimSun" w:hAnsi="Times New Roman" w:cs="Times New Roman"/>
          <w:bCs/>
          <w:i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bCs/>
          <w:i/>
          <w:lang w:eastAsia="zh-CN"/>
        </w:rPr>
        <w:t>Morphogenetic</w:t>
      </w:r>
      <w:proofErr w:type="spellEnd"/>
      <w:r w:rsidRPr="0032026D">
        <w:rPr>
          <w:rFonts w:ascii="Times New Roman" w:eastAsia="SimSun" w:hAnsi="Times New Roman" w:cs="Times New Roman"/>
          <w:bCs/>
          <w:i/>
          <w:lang w:eastAsia="zh-CN"/>
        </w:rPr>
        <w:t xml:space="preserve"> Protein Receptor, </w:t>
      </w:r>
      <w:proofErr w:type="spellStart"/>
      <w:r w:rsidRPr="0032026D">
        <w:rPr>
          <w:rFonts w:ascii="Times New Roman" w:eastAsia="SimSun" w:hAnsi="Times New Roman" w:cs="Times New Roman"/>
          <w:bCs/>
          <w:i/>
          <w:lang w:eastAsia="zh-CN"/>
        </w:rPr>
        <w:t>Type</w:t>
      </w:r>
      <w:proofErr w:type="spellEnd"/>
      <w:r w:rsidRPr="0032026D">
        <w:rPr>
          <w:rFonts w:ascii="Times New Roman" w:eastAsia="SimSun" w:hAnsi="Times New Roman" w:cs="Times New Roman"/>
          <w:bCs/>
          <w:i/>
          <w:lang w:eastAsia="zh-CN"/>
        </w:rPr>
        <w:t xml:space="preserve"> IA</w:t>
      </w:r>
      <w:r w:rsidRPr="0032026D">
        <w:rPr>
          <w:rFonts w:ascii="Times New Roman" w:eastAsia="SimSun" w:hAnsi="Times New Roman" w:cs="Times New Roman"/>
          <w:lang w:eastAsia="zh-CN"/>
        </w:rPr>
        <w:t xml:space="preserve">) znajduje się w chromosomie 10q22-23. Gen </w:t>
      </w:r>
      <w:r w:rsidRPr="0032026D">
        <w:rPr>
          <w:rFonts w:ascii="Times New Roman" w:eastAsia="SimSun" w:hAnsi="Times New Roman" w:cs="Times New Roman"/>
          <w:i/>
          <w:lang w:eastAsia="zh-CN"/>
        </w:rPr>
        <w:t>SMAD4</w:t>
      </w:r>
      <w:r w:rsidRPr="0032026D">
        <w:rPr>
          <w:rFonts w:ascii="Times New Roman" w:eastAsia="SimSun" w:hAnsi="Times New Roman" w:cs="Times New Roman"/>
          <w:lang w:eastAsia="zh-CN"/>
        </w:rPr>
        <w:t xml:space="preserve"> (OMIM 600993; ang. </w:t>
      </w:r>
      <w:proofErr w:type="spellStart"/>
      <w:r w:rsidRPr="0032026D">
        <w:rPr>
          <w:rFonts w:ascii="Times New Roman" w:eastAsia="SimSun" w:hAnsi="Times New Roman" w:cs="Times New Roman"/>
          <w:i/>
          <w:iCs/>
          <w:lang w:eastAsia="zh-CN"/>
        </w:rPr>
        <w:t>mothers</w:t>
      </w:r>
      <w:proofErr w:type="spellEnd"/>
      <w:r w:rsidRPr="0032026D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i/>
          <w:iCs/>
          <w:lang w:eastAsia="zh-CN"/>
        </w:rPr>
        <w:t>against</w:t>
      </w:r>
      <w:proofErr w:type="spellEnd"/>
      <w:r w:rsidRPr="0032026D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32026D">
        <w:rPr>
          <w:rFonts w:ascii="Times New Roman" w:eastAsia="SimSun" w:hAnsi="Times New Roman" w:cs="Times New Roman"/>
          <w:i/>
          <w:iCs/>
          <w:lang w:eastAsia="zh-CN"/>
        </w:rPr>
        <w:t>decapentaplegic</w:t>
      </w:r>
      <w:proofErr w:type="spellEnd"/>
      <w:r w:rsidRPr="0032026D">
        <w:rPr>
          <w:rFonts w:ascii="Times New Roman" w:eastAsia="SimSun" w:hAnsi="Times New Roman" w:cs="Times New Roman"/>
          <w:i/>
          <w:iCs/>
          <w:lang w:eastAsia="zh-CN"/>
        </w:rPr>
        <w:t xml:space="preserve">, </w:t>
      </w:r>
      <w:proofErr w:type="spellStart"/>
      <w:r w:rsidRPr="0032026D">
        <w:rPr>
          <w:rFonts w:ascii="Times New Roman" w:eastAsia="SimSun" w:hAnsi="Times New Roman" w:cs="Times New Roman"/>
          <w:i/>
          <w:iCs/>
          <w:lang w:eastAsia="zh-CN"/>
        </w:rPr>
        <w:t>drosophila</w:t>
      </w:r>
      <w:proofErr w:type="spellEnd"/>
      <w:r w:rsidRPr="0032026D">
        <w:rPr>
          <w:rFonts w:ascii="Times New Roman" w:eastAsia="SimSun" w:hAnsi="Times New Roman" w:cs="Times New Roman"/>
          <w:i/>
          <w:iCs/>
          <w:lang w:eastAsia="zh-CN"/>
        </w:rPr>
        <w:t>, homolog of, 4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) </w:t>
      </w:r>
      <w:r w:rsidRPr="0032026D">
        <w:rPr>
          <w:rFonts w:ascii="Times New Roman" w:eastAsia="SimSun" w:hAnsi="Times New Roman" w:cs="Times New Roman"/>
          <w:lang w:eastAsia="zh-CN"/>
        </w:rPr>
        <w:t xml:space="preserve">zlokalizowany jest na chromosomie 18q21.1. Diagnoza choroby opiera się na stwierdzeniu występowania polipów, które pod względem histopatologicznym są określane jako młodzieńcze. Polipy te nie maja wysokiego potencjału do rozwoju w kierunku nowotworu złośliwego, </w:t>
      </w:r>
      <w:r w:rsidRPr="0032026D">
        <w:rPr>
          <w:rFonts w:ascii="Times New Roman" w:eastAsia="SimSun" w:hAnsi="Times New Roman" w:cs="Times New Roman"/>
          <w:lang w:eastAsia="zh-CN"/>
        </w:rPr>
        <w:lastRenderedPageBreak/>
        <w:t xml:space="preserve">jednak ryzyko wystąpienia nowotworu jelita u nosicieli mutacji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SMAD4, BMPR1A </w:t>
      </w:r>
      <w:r w:rsidRPr="0032026D">
        <w:rPr>
          <w:rFonts w:ascii="Times New Roman" w:eastAsia="SimSun" w:hAnsi="Times New Roman" w:cs="Times New Roman"/>
          <w:lang w:eastAsia="zh-CN"/>
        </w:rPr>
        <w:t>w ciągu życia sięga 80% a żołądka 21%.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Kryteria rozpoznania:</w:t>
      </w:r>
    </w:p>
    <w:p w:rsidR="0032026D" w:rsidRPr="0032026D" w:rsidRDefault="0032026D" w:rsidP="003202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gastroduodenoskopia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 od 15 roku życia; jeśli w badaniu endoskopowym zaobserwowano polipy, należy je usunąć i w takiej sytuacji badanie oraz usuwanie powtarzać corocznie; gdy polipów nie obserwuje się, badanie może być wykonywane raz na 3 lata;</w:t>
      </w:r>
    </w:p>
    <w:p w:rsidR="0032026D" w:rsidRPr="0032026D" w:rsidRDefault="0032026D" w:rsidP="0032026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od 15 roku życia; jeśli w badaniu endoskopowym zaobserwowano polipy, należy je usunąć i w takiej sytuacji badanie oraz usuwanie powtarzać corocznie; gdy polipów nie obserwuje się, badanie może być wykonywane raz na 3 lata.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Zalecenia diagnostyczne:</w:t>
      </w:r>
    </w:p>
    <w:p w:rsidR="0032026D" w:rsidRPr="0032026D" w:rsidRDefault="0032026D" w:rsidP="0032026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coroczna konsultacja medyczna </w:t>
      </w:r>
    </w:p>
    <w:p w:rsidR="0032026D" w:rsidRPr="0032026D" w:rsidRDefault="0032026D" w:rsidP="0032026D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 polipowatości młodzieńczej opieka nad chorymi skupia się na kontrolowaniu układu pokarmowego. Jednak w kilku rodzinach obserwowano współwystępowanie naczyniakowatości krwotocznej w przypadku mutacji w genie </w:t>
      </w:r>
      <w:r w:rsidRPr="0032026D">
        <w:rPr>
          <w:rFonts w:ascii="Times New Roman" w:eastAsia="SimSun" w:hAnsi="Times New Roman" w:cs="Times New Roman"/>
          <w:i/>
          <w:lang w:eastAsia="zh-CN"/>
        </w:rPr>
        <w:t>SMAD4</w:t>
      </w:r>
      <w:r w:rsidRPr="0032026D">
        <w:rPr>
          <w:rFonts w:ascii="Times New Roman" w:eastAsia="SimSun" w:hAnsi="Times New Roman" w:cs="Times New Roman"/>
          <w:lang w:eastAsia="zh-CN"/>
        </w:rPr>
        <w:t xml:space="preserve">, więc zaburzenia rozwoju naczyń również są możliwe. Należy zwracać uwagę na występowanie u chorych krwawień, anemii, bólów brzucha, biegunek lub zmian w kształcie lub kolorze stolca. Występowanie takich objawów jest wskazaniem do dalszych badań obejmujących również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. </w:t>
      </w:r>
    </w:p>
    <w:p w:rsidR="0032026D" w:rsidRPr="0032026D" w:rsidRDefault="0032026D" w:rsidP="0032026D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u chorych bez dolegliwości - badania endoskopowe</w:t>
      </w:r>
    </w:p>
    <w:p w:rsidR="0032026D" w:rsidRPr="0032026D" w:rsidRDefault="0032026D" w:rsidP="0032026D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Gastroduodenoskopię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i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kolonoskopię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rozpoczynać się powinno od 15 roku życia. Jeśli w badaniu endoskopowym zaobserwowano polipy, należy je usunąć i w takiej sytuacji badanie oraz usuwanie powtarzać corocznie. Gdy polipów nie obserwuje się, badanie może być wykonywane raz na 3 lata.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W ramach programu planowane jest:</w:t>
      </w:r>
    </w:p>
    <w:p w:rsidR="0032026D" w:rsidRPr="0032026D" w:rsidRDefault="0032026D" w:rsidP="0032026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zidentyfikowanie nowych pacjentów z zespołem polipowatości młodzieńczej poprzez badanie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SMAD4 i BMPR1A</w:t>
      </w:r>
      <w:r w:rsidRPr="0032026D">
        <w:rPr>
          <w:rFonts w:ascii="Times New Roman" w:eastAsia="SimSun" w:hAnsi="Times New Roman" w:cs="Times New Roman"/>
          <w:lang w:eastAsia="zh-CN"/>
        </w:rPr>
        <w:t xml:space="preserve"> u osób z wysokim ryzykiem wystąpienia choroby, czyli spełniających kryteria rozpoznania JPS,</w:t>
      </w:r>
    </w:p>
    <w:p w:rsidR="0032026D" w:rsidRPr="0032026D" w:rsidRDefault="0032026D" w:rsidP="0032026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badanie nosicielstwa mutacji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SMAD4 i BMPR1A</w:t>
      </w:r>
      <w:r w:rsidRPr="0032026D">
        <w:rPr>
          <w:rFonts w:ascii="Times New Roman" w:eastAsia="SimSun" w:hAnsi="Times New Roman" w:cs="Times New Roman"/>
          <w:lang w:eastAsia="zh-CN"/>
        </w:rPr>
        <w:t xml:space="preserve"> w rodzinach z rozpoznanymi mutacjami markerowymi tych genów,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Pacjenci, u których nie stwierdzono mutacji genów </w:t>
      </w:r>
      <w:r w:rsidRPr="0032026D">
        <w:rPr>
          <w:rFonts w:ascii="Times New Roman" w:eastAsia="SimSun" w:hAnsi="Times New Roman" w:cs="Times New Roman"/>
          <w:i/>
          <w:lang w:eastAsia="zh-CN"/>
        </w:rPr>
        <w:t>SMAD4 i BMPR1A</w:t>
      </w:r>
      <w:r w:rsidRPr="0032026D">
        <w:rPr>
          <w:rFonts w:ascii="Times New Roman" w:eastAsia="SimSun" w:hAnsi="Times New Roman" w:cs="Times New Roman"/>
          <w:lang w:eastAsia="zh-CN"/>
        </w:rPr>
        <w:t xml:space="preserve"> musza zostać skierowani do lekarza genetyka klinicznego w poradni genetycznej, celem wykonania badania genu </w:t>
      </w:r>
      <w:r w:rsidRPr="0032026D">
        <w:rPr>
          <w:rFonts w:ascii="Times New Roman" w:eastAsia="SimSun" w:hAnsi="Times New Roman" w:cs="Times New Roman"/>
          <w:i/>
          <w:lang w:eastAsia="zh-CN"/>
        </w:rPr>
        <w:t>PTEN</w:t>
      </w:r>
      <w:r w:rsidRPr="0032026D">
        <w:rPr>
          <w:rFonts w:ascii="Times New Roman" w:eastAsia="SimSun" w:hAnsi="Times New Roman" w:cs="Times New Roman"/>
          <w:lang w:eastAsia="zh-CN"/>
        </w:rPr>
        <w:t xml:space="preserve"> oraz ustalenia schematu optymalnej opieki nad pacjentem i rodziną. </w:t>
      </w:r>
    </w:p>
    <w:p w:rsidR="0032026D" w:rsidRPr="0032026D" w:rsidRDefault="0032026D" w:rsidP="0032026D">
      <w:pPr>
        <w:spacing w:before="240" w:after="0" w:line="360" w:lineRule="auto"/>
        <w:jc w:val="both"/>
        <w:rPr>
          <w:rFonts w:ascii="Times New Roman" w:eastAsia="SimSun" w:hAnsi="Times New Roman" w:cs="Times New Roman"/>
          <w:b/>
          <w:bCs/>
          <w:u w:val="single"/>
          <w:lang w:eastAsia="zh-CN"/>
        </w:rPr>
      </w:pPr>
      <w:r w:rsidRPr="0032026D">
        <w:rPr>
          <w:rFonts w:ascii="Times New Roman" w:eastAsia="SimSun" w:hAnsi="Times New Roman" w:cs="Times New Roman"/>
          <w:b/>
          <w:u w:val="single"/>
          <w:lang w:eastAsia="zh-CN"/>
        </w:rPr>
        <w:t xml:space="preserve">Zespół </w:t>
      </w:r>
      <w:r w:rsidRPr="0032026D">
        <w:rPr>
          <w:rFonts w:ascii="Times New Roman" w:eastAsia="SimSun" w:hAnsi="Times New Roman" w:cs="Times New Roman"/>
          <w:b/>
          <w:bCs/>
          <w:u w:val="single"/>
          <w:lang w:eastAsia="zh-CN"/>
        </w:rPr>
        <w:t>Polipowatości Recesywnej, MAP (</w:t>
      </w:r>
      <w:r w:rsidRPr="0032026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>MUTYH–</w:t>
      </w:r>
      <w:proofErr w:type="spellStart"/>
      <w:r w:rsidRPr="0032026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>associated</w:t>
      </w:r>
      <w:proofErr w:type="spellEnd"/>
      <w:r w:rsidRPr="0032026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 xml:space="preserve"> </w:t>
      </w:r>
      <w:proofErr w:type="spellStart"/>
      <w:r w:rsidRPr="0032026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>polyposis</w:t>
      </w:r>
      <w:proofErr w:type="spellEnd"/>
      <w:r w:rsidRPr="0032026D">
        <w:rPr>
          <w:rFonts w:ascii="Times New Roman" w:eastAsia="Calibri" w:hAnsi="Times New Roman" w:cs="Times New Roman"/>
          <w:b/>
          <w:u w:val="single"/>
          <w:shd w:val="clear" w:color="auto" w:fill="FFFFFF"/>
        </w:rPr>
        <w:t>)</w:t>
      </w:r>
    </w:p>
    <w:p w:rsidR="0032026D" w:rsidRPr="0032026D" w:rsidRDefault="0032026D" w:rsidP="0032026D">
      <w:pPr>
        <w:spacing w:before="240" w:after="0" w:line="36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2026D">
        <w:rPr>
          <w:rFonts w:ascii="Times New Roman" w:eastAsia="SimSun" w:hAnsi="Times New Roman" w:cs="Times New Roman"/>
          <w:bCs/>
          <w:lang w:eastAsia="zh-CN"/>
        </w:rPr>
        <w:t xml:space="preserve">Zespół Polipowatości Recesywnej </w:t>
      </w:r>
      <w:r w:rsidRPr="0032026D">
        <w:rPr>
          <w:rFonts w:ascii="Times New Roman" w:eastAsia="SimSun" w:hAnsi="Times New Roman" w:cs="Times New Roman"/>
          <w:lang w:eastAsia="zh-CN"/>
        </w:rPr>
        <w:t xml:space="preserve">(OMIM 608456) 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warunkowany jest mutacjami w genie </w:t>
      </w:r>
      <w:r w:rsidRPr="0032026D">
        <w:rPr>
          <w:rFonts w:ascii="Times New Roman" w:eastAsia="SimSun" w:hAnsi="Times New Roman" w:cs="Times New Roman"/>
          <w:bCs/>
          <w:i/>
          <w:lang w:eastAsia="zh-CN"/>
        </w:rPr>
        <w:t xml:space="preserve">MUTYH 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(OMIM </w:t>
      </w:r>
      <w:r w:rsidRPr="0032026D">
        <w:rPr>
          <w:rFonts w:ascii="Times New Roman" w:eastAsia="SimSun" w:hAnsi="Times New Roman" w:cs="Times New Roman"/>
          <w:lang w:eastAsia="zh-CN"/>
        </w:rPr>
        <w:t>604933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) zlokalizowanym na chromosomie 1p34.3-32.1 i dziedziczony w sposób autosomalny </w:t>
      </w:r>
      <w:r w:rsidRPr="0032026D">
        <w:rPr>
          <w:rFonts w:ascii="Times New Roman" w:eastAsia="SimSun" w:hAnsi="Times New Roman" w:cs="Times New Roman"/>
          <w:bCs/>
          <w:lang w:eastAsia="zh-CN"/>
        </w:rPr>
        <w:lastRenderedPageBreak/>
        <w:t xml:space="preserve">recesywny. U nosicieli mutacji na obu allelach genu </w:t>
      </w:r>
      <w:r w:rsidRPr="0032026D">
        <w:rPr>
          <w:rFonts w:ascii="Times New Roman" w:eastAsia="SimSun" w:hAnsi="Times New Roman" w:cs="Times New Roman"/>
          <w:bCs/>
          <w:i/>
          <w:lang w:eastAsia="zh-CN"/>
        </w:rPr>
        <w:t>MUTYH,</w:t>
      </w:r>
      <w:r w:rsidRPr="0032026D">
        <w:rPr>
          <w:rFonts w:ascii="Times New Roman" w:eastAsia="SimSun" w:hAnsi="Times New Roman" w:cs="Times New Roman"/>
          <w:bCs/>
          <w:lang w:eastAsia="zh-CN"/>
        </w:rPr>
        <w:t xml:space="preserve"> obserwuje się zwiększone ryzyko rozwoju raka jelita grubego i raka endometrium. 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Kryteria rozpoznania: </w:t>
      </w:r>
    </w:p>
    <w:p w:rsidR="0032026D" w:rsidRPr="0032026D" w:rsidRDefault="0032026D" w:rsidP="0032026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Występowanie polipów </w:t>
      </w:r>
      <w:proofErr w:type="spellStart"/>
      <w:r w:rsidRPr="0032026D">
        <w:rPr>
          <w:rFonts w:ascii="Times New Roman" w:eastAsia="SimSun" w:hAnsi="Times New Roman" w:cs="Times New Roman"/>
          <w:lang w:eastAsia="zh-CN"/>
        </w:rPr>
        <w:t>gruczolakowatych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jelita grubego, mniej licznych niż w przypadku FAP, w liczbie nieprzekraczającej 100. Obserwuje się zróżnicowanie pod względem występowania objawów. Przy niewielkiej liczbie polipów i nowotworze endometrium, fenotyp MAP podobny jest do zespołu Lyncha.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bCs/>
          <w:lang w:eastAsia="zh-CN"/>
        </w:rPr>
      </w:pPr>
      <w:r w:rsidRPr="0032026D">
        <w:rPr>
          <w:rFonts w:ascii="Times New Roman" w:eastAsia="SimSun" w:hAnsi="Times New Roman" w:cs="Times New Roman"/>
          <w:bCs/>
          <w:lang w:eastAsia="zh-CN"/>
        </w:rPr>
        <w:t>W ramach programu planowane jest:</w:t>
      </w:r>
    </w:p>
    <w:p w:rsidR="0032026D" w:rsidRPr="0032026D" w:rsidRDefault="0032026D" w:rsidP="0032026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>zidentyfikowanie nowych pacjentów z zespołem polipowatości recesywnej poprzez badanie genu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 MUTYH</w:t>
      </w:r>
      <w:r w:rsidRPr="0032026D">
        <w:rPr>
          <w:rFonts w:ascii="Times New Roman" w:eastAsia="SimSun" w:hAnsi="Times New Roman" w:cs="Times New Roman"/>
          <w:lang w:eastAsia="zh-CN"/>
        </w:rPr>
        <w:t xml:space="preserve"> u osób z wysokim ryzykiem wystąpienia choroby, czyli spełniających  kryteria rozpoznania,</w:t>
      </w:r>
    </w:p>
    <w:p w:rsidR="0032026D" w:rsidRPr="0032026D" w:rsidRDefault="0032026D" w:rsidP="0032026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badanie nosicielstwa mutacji genu </w:t>
      </w:r>
      <w:r w:rsidRPr="0032026D">
        <w:rPr>
          <w:rFonts w:ascii="Times New Roman" w:eastAsia="SimSun" w:hAnsi="Times New Roman" w:cs="Times New Roman"/>
          <w:i/>
          <w:lang w:eastAsia="zh-CN"/>
        </w:rPr>
        <w:t xml:space="preserve">MUTYH </w:t>
      </w:r>
      <w:r w:rsidRPr="0032026D">
        <w:rPr>
          <w:rFonts w:ascii="Times New Roman" w:eastAsia="SimSun" w:hAnsi="Times New Roman" w:cs="Times New Roman"/>
          <w:lang w:eastAsia="zh-CN"/>
        </w:rPr>
        <w:t>w rodzinach z rozpoznaną mutacją markerową tego genu,</w:t>
      </w:r>
    </w:p>
    <w:p w:rsidR="0032026D" w:rsidRPr="0032026D" w:rsidRDefault="0032026D" w:rsidP="0032026D">
      <w:p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32026D">
        <w:rPr>
          <w:rFonts w:ascii="Times New Roman" w:eastAsia="SimSun" w:hAnsi="Times New Roman" w:cs="Times New Roman"/>
          <w:lang w:eastAsia="zh-CN"/>
        </w:rPr>
        <w:t xml:space="preserve">Zalecenia diagnostyczne: </w:t>
      </w:r>
    </w:p>
    <w:p w:rsidR="0032026D" w:rsidRPr="0032026D" w:rsidRDefault="0032026D" w:rsidP="0032026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kolonoskopia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co 1-2 lata od 18 roku życia (w ramach opieki gastroenterologa pod opieką którego powinien być taki chory),</w:t>
      </w:r>
    </w:p>
    <w:p w:rsidR="0032026D" w:rsidRPr="0032026D" w:rsidRDefault="0032026D" w:rsidP="0032026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32026D">
        <w:rPr>
          <w:rFonts w:ascii="Times New Roman" w:eastAsia="SimSun" w:hAnsi="Times New Roman" w:cs="Times New Roman"/>
          <w:lang w:eastAsia="zh-CN"/>
        </w:rPr>
        <w:t>gastroduodenoskopia</w:t>
      </w:r>
      <w:proofErr w:type="spellEnd"/>
      <w:r w:rsidRPr="0032026D">
        <w:rPr>
          <w:rFonts w:ascii="Times New Roman" w:eastAsia="SimSun" w:hAnsi="Times New Roman" w:cs="Times New Roman"/>
          <w:lang w:eastAsia="zh-CN"/>
        </w:rPr>
        <w:t xml:space="preserve">  co 1-2 lata od 25 roku życia.</w:t>
      </w:r>
    </w:p>
    <w:p w:rsidR="0032026D" w:rsidRPr="0032026D" w:rsidRDefault="0032026D" w:rsidP="0032026D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realizujące program zobowiązane są do przestrzegania następujących zasad: </w:t>
      </w:r>
    </w:p>
    <w:p w:rsidR="0032026D" w:rsidRPr="0032026D" w:rsidRDefault="0032026D" w:rsidP="0032026D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osób biorących udział w projekcie o celach programu,</w:t>
      </w:r>
    </w:p>
    <w:p w:rsidR="0032026D" w:rsidRPr="0032026D" w:rsidRDefault="0032026D" w:rsidP="0032026D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świadomej zgody od osoby biorącej udział w programie (druk świadomej zgody zgodnie z załącznikiem 6), </w:t>
      </w:r>
    </w:p>
    <w:p w:rsidR="0032026D" w:rsidRPr="0032026D" w:rsidRDefault="0032026D" w:rsidP="0032026D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załączenie zgody do karty pacjenta, w której znajduje się rodowód,</w:t>
      </w:r>
    </w:p>
    <w:p w:rsidR="0032026D" w:rsidRPr="0032026D" w:rsidRDefault="0032026D" w:rsidP="0032026D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pisemnej i ustnej porady genetycznej przez lekarza genetyka klinicznego udzielenia pisemnej i ustnej porady genetycznej przez lekarza specjalistę genetyka klinicznego (lub przez lekarza, który ukończył pierwszy rok specjalizacji z zakresu genetyki klinicznej oraz uzyskał potwierdzenie przez kierownika specjalizacji wiedzy i umiejętności umożliwiających samodzielną pracę w poradni specjalistycznej), każdej osobie biorącej udział w programie</w:t>
      </w:r>
      <w:r w:rsidRPr="0032026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porada musi zawierać, poza danymi rodowodowymi i onkologicznymi pacjenta/osoby chorej na raka w rodzinie, opis rodowodu, interpretację wyniku badania genetycznego, poradę dla rodziny oraz wskazana powinna być współpracująca placówka onkologiczna, gdzie biorący udział w programie wykona badania profilaktyczne. Porada genetyczna dla nosicieli mutacji musi zostać opracowana przez specjalistę z zakresu genetyki klinicznej. </w:t>
      </w:r>
    </w:p>
    <w:p w:rsidR="0032026D" w:rsidRPr="0032026D" w:rsidRDefault="0032026D" w:rsidP="0032026D">
      <w:pPr>
        <w:numPr>
          <w:ilvl w:val="0"/>
          <w:numId w:val="1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przez lekarza specjalistę genetyka klinicznego lub lekarza specjalistę z zakresu onkologii (lub przez lekarza, który ukończył pierwszy rok specjalizacji z zakresu genetyki klinicznej oraz uzyskał potwierdzenie przez kierownika specjalizacji wiedzy i umiejętności umożliwiających samodzielną pracę w poradni specjalistycznej), karty </w:t>
      </w: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osoby biorącej udział w programie z wyznaczonymi terminami kontrolnych badań, odnotowywaniem wyników badań.</w:t>
      </w:r>
    </w:p>
    <w:p w:rsidR="0032026D" w:rsidRPr="0032026D" w:rsidRDefault="0032026D" w:rsidP="0032026D">
      <w:pPr>
        <w:spacing w:after="0" w:line="360" w:lineRule="atLeast"/>
        <w:ind w:left="720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26D" w:rsidRPr="0032026D" w:rsidRDefault="0032026D" w:rsidP="0032026D">
      <w:p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realizacji programu:</w:t>
      </w:r>
    </w:p>
    <w:p w:rsidR="0032026D" w:rsidRPr="0032026D" w:rsidRDefault="0032026D" w:rsidP="0032026D">
      <w:pPr>
        <w:numPr>
          <w:ilvl w:val="0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diagnostyka dziedzicznych predyspozycji: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lekarza, specjalisty z zakresu genetyki klinicznej dla osób ze stwierdzona mutacją - w granicach województwa, właściwego dla danej siedziby Realizatora,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konsultację u specjalisty z zakresu genetyki klinicznej i do lekarza, który ukończył pierwszy rok specjalizacji z zakresu genetyki klinicznej oraz uzyskał potwierdzenie przez kierownika specjalizacji wiedzy i umiejętności umożliwiających samodzielną pracę w poradni specjalistycznej, nie dłuższy niż 3 miesiące,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dostępu osobom biorącym udział w programie do wszystkich badań genetycznych przewidzianych w programie;</w:t>
      </w:r>
    </w:p>
    <w:p w:rsidR="0032026D" w:rsidRPr="0032026D" w:rsidRDefault="0032026D" w:rsidP="0032026D">
      <w:pPr>
        <w:numPr>
          <w:ilvl w:val="0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kontrolne: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lekarza specjalisty z zakresu genetyki klinicznej i/lub onkologii (lub do lekarza, który ukończył pierwszy rok specjalizacji oraz uzyskał potwierdzenie przez kierownika specjalizacji wiedzy i umiejętności umożliwiających samodzielną pracę w poradni specjalistycznej) w granicach województwa,</w:t>
      </w:r>
      <w:r w:rsidRPr="0032026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dla danej siedziby Realizatora,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oczekiwania na pierwszą konsultację i badania u lekarza specjalisty z zakresu genetyki klinicznej i/lub onkologii (lub lekarza, który ukończył pierwszy rok specjalizacji oraz uzyskał potwierdzenie przez kierownika specjalizacji wiedzy i umiejętności umożliwiających samodzielną pracę w poradni specjalistycznej), nie dłuższy niż 3 miesiące,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stałej profilaktycznej opieki genetyczno-onkologicznej dla osób o podwyższonym ryzyku zachorowania na nowotwory, w tym prowadzenie dokumentacji w zakresie objętym programem,</w:t>
      </w:r>
    </w:p>
    <w:p w:rsidR="0032026D" w:rsidRPr="0032026D" w:rsidRDefault="0032026D" w:rsidP="0032026D">
      <w:pPr>
        <w:numPr>
          <w:ilvl w:val="1"/>
          <w:numId w:val="8"/>
        </w:numPr>
        <w:spacing w:after="0" w:line="360" w:lineRule="atLeast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do kolejnych konsultacji i profilaktycznych badań genetyczno-onkologicznych zgodnie z harmonogramem programu (terminy kolejnych badań muszą być określone w karcie osoby biorącej udział w programie).</w:t>
      </w:r>
    </w:p>
    <w:p w:rsidR="006B04BD" w:rsidRDefault="0032026D" w:rsidP="0032026D">
      <w:pPr>
        <w:suppressAutoHyphens/>
        <w:spacing w:after="0" w:line="360" w:lineRule="auto"/>
        <w:jc w:val="both"/>
      </w:pPr>
      <w:r w:rsidRPr="0032026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 onkologiczna realizująca program musi być wyposażona w sprzęt do badań przewidzianych w ramach realizacji programu lub musi zapewnić dostępność do takich badań w granicach województwa, właściwego dla danej siedziby Realizatora (nie dotyczy badań genetycznych w przypadku gdy materiał do testu przesyłany jest do podwykonawcy, bez potrzeby kierowania osoby badanej poza teren województwa, właściwego dla danej siedziby Realizatora).</w:t>
      </w:r>
      <w:bookmarkStart w:id="0" w:name="_GoBack"/>
      <w:bookmarkEnd w:id="0"/>
    </w:p>
    <w:sectPr w:rsidR="006B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05E"/>
    <w:multiLevelType w:val="hybridMultilevel"/>
    <w:tmpl w:val="AB94C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7B4"/>
    <w:multiLevelType w:val="hybridMultilevel"/>
    <w:tmpl w:val="CDC20772"/>
    <w:lvl w:ilvl="0" w:tplc="0415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B3F"/>
    <w:multiLevelType w:val="hybridMultilevel"/>
    <w:tmpl w:val="94BA50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22F"/>
    <w:multiLevelType w:val="hybridMultilevel"/>
    <w:tmpl w:val="71E248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0FC2"/>
    <w:multiLevelType w:val="hybridMultilevel"/>
    <w:tmpl w:val="42BEC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F3717"/>
    <w:multiLevelType w:val="hybridMultilevel"/>
    <w:tmpl w:val="4154A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1F63"/>
    <w:multiLevelType w:val="hybridMultilevel"/>
    <w:tmpl w:val="BB9CF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547020"/>
    <w:multiLevelType w:val="hybridMultilevel"/>
    <w:tmpl w:val="7CF8A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04F2"/>
    <w:multiLevelType w:val="hybridMultilevel"/>
    <w:tmpl w:val="D8FCF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36DD"/>
    <w:multiLevelType w:val="hybridMultilevel"/>
    <w:tmpl w:val="D736B9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F2DE5"/>
    <w:multiLevelType w:val="hybridMultilevel"/>
    <w:tmpl w:val="AAF2BBF4"/>
    <w:lvl w:ilvl="0" w:tplc="5BBAA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03195"/>
    <w:multiLevelType w:val="hybridMultilevel"/>
    <w:tmpl w:val="A2F404CC"/>
    <w:lvl w:ilvl="0" w:tplc="81482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422FB"/>
    <w:multiLevelType w:val="hybridMultilevel"/>
    <w:tmpl w:val="42BEC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432633"/>
    <w:multiLevelType w:val="hybridMultilevel"/>
    <w:tmpl w:val="36F84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325244"/>
    <w:multiLevelType w:val="hybridMultilevel"/>
    <w:tmpl w:val="985EF8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630"/>
    <w:multiLevelType w:val="hybridMultilevel"/>
    <w:tmpl w:val="D4AC68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4494"/>
    <w:multiLevelType w:val="hybridMultilevel"/>
    <w:tmpl w:val="601A4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C02FA2"/>
    <w:multiLevelType w:val="hybridMultilevel"/>
    <w:tmpl w:val="5184C4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B5A3A"/>
    <w:multiLevelType w:val="hybridMultilevel"/>
    <w:tmpl w:val="4686EF10"/>
    <w:lvl w:ilvl="0" w:tplc="0780079E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9" w15:restartNumberingAfterBreak="0">
    <w:nsid w:val="4CAC2EBA"/>
    <w:multiLevelType w:val="hybridMultilevel"/>
    <w:tmpl w:val="BB9CF5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B202621"/>
    <w:multiLevelType w:val="hybridMultilevel"/>
    <w:tmpl w:val="0DBEA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3D50"/>
    <w:multiLevelType w:val="hybridMultilevel"/>
    <w:tmpl w:val="CE4E3B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4D47"/>
    <w:multiLevelType w:val="hybridMultilevel"/>
    <w:tmpl w:val="A880A1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0"/>
  </w:num>
  <w:num w:numId="5">
    <w:abstractNumId w:val="14"/>
  </w:num>
  <w:num w:numId="6">
    <w:abstractNumId w:val="5"/>
  </w:num>
  <w:num w:numId="7">
    <w:abstractNumId w:val="21"/>
  </w:num>
  <w:num w:numId="8">
    <w:abstractNumId w:val="2"/>
  </w:num>
  <w:num w:numId="9">
    <w:abstractNumId w:val="22"/>
  </w:num>
  <w:num w:numId="10">
    <w:abstractNumId w:val="3"/>
  </w:num>
  <w:num w:numId="11">
    <w:abstractNumId w:val="8"/>
  </w:num>
  <w:num w:numId="12">
    <w:abstractNumId w:val="20"/>
  </w:num>
  <w:num w:numId="13">
    <w:abstractNumId w:val="19"/>
  </w:num>
  <w:num w:numId="14">
    <w:abstractNumId w:val="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6D"/>
    <w:rsid w:val="0032026D"/>
    <w:rsid w:val="006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921B-312E-413D-A396-DB13CFB7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3723</Words>
  <Characters>22340</Characters>
  <Application>Microsoft Office Word</Application>
  <DocSecurity>0</DocSecurity>
  <Lines>186</Lines>
  <Paragraphs>52</Paragraphs>
  <ScaleCrop>false</ScaleCrop>
  <Company>Ministerstwo Zdrowia</Company>
  <LinksUpToDate>false</LinksUpToDate>
  <CharactersWithSpaces>26011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1</cp:revision>
  <dcterms:created xsi:type="dcterms:W3CDTF">2018-04-12T15:06:00Z</dcterms:created>
  <dcterms:modified xsi:type="dcterms:W3CDTF">2018-04-12T15:07:00Z</dcterms:modified>
</cp:coreProperties>
</file>