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7ACEE" w14:textId="2FF97E07" w:rsidR="008927DE" w:rsidRPr="008927DE" w:rsidRDefault="008927DE" w:rsidP="008927DE">
      <w:pPr>
        <w:jc w:val="center"/>
        <w:outlineLvl w:val="0"/>
        <w:rPr>
          <w:i/>
        </w:rPr>
      </w:pPr>
    </w:p>
    <w:p w14:paraId="14D1FB6F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"/>
        <w:gridCol w:w="1926"/>
        <w:gridCol w:w="6678"/>
      </w:tblGrid>
      <w:tr w:rsidR="007A0A3D" w:rsidRPr="002450C4" w14:paraId="572ED9A6" w14:textId="77777777" w:rsidTr="00920CE8">
        <w:tc>
          <w:tcPr>
            <w:tcW w:w="480" w:type="dxa"/>
          </w:tcPr>
          <w:p w14:paraId="56A7840D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7381BF6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539A07EC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7B2D6B5B" w14:textId="77777777" w:rsidTr="00920CE8">
        <w:tc>
          <w:tcPr>
            <w:tcW w:w="480" w:type="dxa"/>
          </w:tcPr>
          <w:p w14:paraId="3B60AB3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6963F9F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4D135EEC" w14:textId="36DA418C" w:rsidR="007A0A3D" w:rsidRPr="005A5008" w:rsidRDefault="00C308F0" w:rsidP="00445461">
            <w:pPr>
              <w:jc w:val="both"/>
              <w:rPr>
                <w:iCs/>
                <w:sz w:val="18"/>
                <w:szCs w:val="20"/>
              </w:rPr>
            </w:pPr>
            <w:r w:rsidRPr="005A5008">
              <w:rPr>
                <w:iCs/>
                <w:sz w:val="18"/>
                <w:szCs w:val="20"/>
              </w:rPr>
              <w:t>EZD RP – elektroniczne zarządzanie dokumentacją w administracji publicznej</w:t>
            </w:r>
          </w:p>
        </w:tc>
      </w:tr>
      <w:tr w:rsidR="007A0A3D" w:rsidRPr="002450C4" w14:paraId="550B7889" w14:textId="77777777" w:rsidTr="00920CE8">
        <w:trPr>
          <w:trHeight w:val="265"/>
        </w:trPr>
        <w:tc>
          <w:tcPr>
            <w:tcW w:w="480" w:type="dxa"/>
          </w:tcPr>
          <w:p w14:paraId="187C8A4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CD1A852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12334C86" w14:textId="4632A7EC" w:rsidR="001C611C" w:rsidRPr="005A5008" w:rsidRDefault="006C4EF1" w:rsidP="0092099A">
            <w:pPr>
              <w:jc w:val="both"/>
              <w:rPr>
                <w:iCs/>
                <w:sz w:val="18"/>
                <w:szCs w:val="20"/>
              </w:rPr>
            </w:pPr>
            <w:r w:rsidRPr="005A5008">
              <w:rPr>
                <w:iCs/>
                <w:sz w:val="18"/>
                <w:szCs w:val="20"/>
              </w:rPr>
              <w:t>Naukowa i Akademicka Sieć Komputerowa – Państwowy Instytut Badawczy</w:t>
            </w:r>
          </w:p>
        </w:tc>
      </w:tr>
      <w:tr w:rsidR="007A0A3D" w:rsidRPr="002450C4" w14:paraId="07D1FFBA" w14:textId="77777777" w:rsidTr="00920CE8">
        <w:tc>
          <w:tcPr>
            <w:tcW w:w="480" w:type="dxa"/>
          </w:tcPr>
          <w:p w14:paraId="341C010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1603A8B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53B2A788" w14:textId="60B6F231" w:rsidR="007A0A3D" w:rsidRPr="005A5008" w:rsidRDefault="00E56599" w:rsidP="00FD074F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Skarb państwa - </w:t>
            </w:r>
            <w:r w:rsidR="006C4EF1" w:rsidRPr="005A5008">
              <w:rPr>
                <w:iCs/>
                <w:sz w:val="18"/>
                <w:szCs w:val="20"/>
              </w:rPr>
              <w:t>Podlaski Urząd Wojewódzki w Białymstoku</w:t>
            </w:r>
          </w:p>
        </w:tc>
      </w:tr>
      <w:tr w:rsidR="003B107D" w:rsidRPr="002450C4" w14:paraId="65673D84" w14:textId="77777777" w:rsidTr="00920CE8">
        <w:tc>
          <w:tcPr>
            <w:tcW w:w="480" w:type="dxa"/>
          </w:tcPr>
          <w:p w14:paraId="1E4C2497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A247A29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39D8FA8C" w14:textId="049A9DE0" w:rsidR="00BE0F0A" w:rsidRDefault="00BE0F0A" w:rsidP="006C4EF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Pierwotny p</w:t>
            </w:r>
            <w:r w:rsidR="00ED5861">
              <w:rPr>
                <w:iCs/>
                <w:sz w:val="18"/>
                <w:szCs w:val="20"/>
              </w:rPr>
              <w:t xml:space="preserve">lanowany </w:t>
            </w:r>
            <w:r>
              <w:rPr>
                <w:iCs/>
                <w:sz w:val="18"/>
                <w:szCs w:val="20"/>
              </w:rPr>
              <w:t xml:space="preserve">koszt realizacji projektu: 45 113 838,48 zł </w:t>
            </w:r>
          </w:p>
          <w:p w14:paraId="021B86A6" w14:textId="3AA74456" w:rsidR="00ED5861" w:rsidRDefault="00BE0F0A" w:rsidP="006C4EF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Ostatni planowany koszt realizacji</w:t>
            </w:r>
            <w:r w:rsidR="00ED5861">
              <w:rPr>
                <w:iCs/>
                <w:sz w:val="18"/>
                <w:szCs w:val="20"/>
              </w:rPr>
              <w:t xml:space="preserve"> projektu: </w:t>
            </w:r>
            <w:r w:rsidR="00ED5861" w:rsidRPr="00ED5861">
              <w:rPr>
                <w:iCs/>
                <w:sz w:val="18"/>
                <w:szCs w:val="20"/>
              </w:rPr>
              <w:t xml:space="preserve">49 895 390,98 zł </w:t>
            </w:r>
          </w:p>
          <w:p w14:paraId="1C2B581E" w14:textId="63E48684" w:rsidR="00BE0F0A" w:rsidRPr="006A2D1F" w:rsidRDefault="00BE0F0A" w:rsidP="006C4EF1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Faktyczny </w:t>
            </w:r>
            <w:r w:rsidR="00E01155">
              <w:rPr>
                <w:iCs/>
                <w:sz w:val="18"/>
                <w:szCs w:val="20"/>
              </w:rPr>
              <w:t xml:space="preserve">całkowity </w:t>
            </w:r>
            <w:r>
              <w:rPr>
                <w:iCs/>
                <w:sz w:val="18"/>
                <w:szCs w:val="20"/>
              </w:rPr>
              <w:t>koszt projektu</w:t>
            </w:r>
            <w:r w:rsidRPr="006A2D1F">
              <w:rPr>
                <w:iCs/>
                <w:sz w:val="18"/>
                <w:szCs w:val="20"/>
              </w:rPr>
              <w:t>: 37 158 499,47 zł brutto</w:t>
            </w:r>
            <w:r w:rsidR="00E01155" w:rsidRPr="006A2D1F">
              <w:rPr>
                <w:iCs/>
                <w:sz w:val="18"/>
                <w:szCs w:val="20"/>
              </w:rPr>
              <w:t>, w tym 37 134 974,13 zł wydatki kwalifikowalne)</w:t>
            </w:r>
          </w:p>
          <w:p w14:paraId="0EDAD014" w14:textId="61C3C7A2" w:rsidR="00BE0F0A" w:rsidRPr="006A2D1F" w:rsidRDefault="00BE0F0A" w:rsidP="006C4EF1">
            <w:pPr>
              <w:jc w:val="both"/>
              <w:rPr>
                <w:iCs/>
                <w:sz w:val="18"/>
                <w:szCs w:val="20"/>
              </w:rPr>
            </w:pPr>
            <w:r w:rsidRPr="006A2D1F">
              <w:rPr>
                <w:iCs/>
                <w:sz w:val="18"/>
                <w:szCs w:val="20"/>
              </w:rPr>
              <w:t>Zakontraktowana wartość dofinansowania:</w:t>
            </w:r>
            <w:r w:rsidR="00404E3D" w:rsidRPr="006A2D1F">
              <w:rPr>
                <w:iCs/>
                <w:sz w:val="18"/>
                <w:szCs w:val="20"/>
              </w:rPr>
              <w:t xml:space="preserve"> </w:t>
            </w:r>
            <w:r w:rsidR="00E01155" w:rsidRPr="006A2D1F">
              <w:rPr>
                <w:iCs/>
                <w:sz w:val="18"/>
                <w:szCs w:val="20"/>
              </w:rPr>
              <w:t xml:space="preserve">37 134 974,13 </w:t>
            </w:r>
            <w:r w:rsidR="00990E66" w:rsidRPr="006A2D1F">
              <w:rPr>
                <w:iCs/>
                <w:sz w:val="18"/>
                <w:szCs w:val="20"/>
              </w:rPr>
              <w:t>zł</w:t>
            </w:r>
          </w:p>
          <w:p w14:paraId="75317E13" w14:textId="692F7522" w:rsidR="00ED5861" w:rsidRPr="006A2D1F" w:rsidRDefault="00404E3D" w:rsidP="006C4EF1">
            <w:pPr>
              <w:jc w:val="both"/>
              <w:rPr>
                <w:iCs/>
                <w:sz w:val="18"/>
                <w:szCs w:val="20"/>
              </w:rPr>
            </w:pPr>
            <w:r w:rsidRPr="006A2D1F">
              <w:rPr>
                <w:iCs/>
                <w:sz w:val="18"/>
                <w:szCs w:val="20"/>
              </w:rPr>
              <w:t>Poziom certyfikacji w odniesieniu do zakontraktowanej wartości dofinansowania:</w:t>
            </w:r>
          </w:p>
          <w:p w14:paraId="5CAD7F07" w14:textId="2ECE6AB8" w:rsidR="00404E3D" w:rsidRDefault="00E01155" w:rsidP="006C4EF1">
            <w:pPr>
              <w:jc w:val="both"/>
              <w:rPr>
                <w:iCs/>
                <w:sz w:val="18"/>
                <w:szCs w:val="20"/>
              </w:rPr>
            </w:pPr>
            <w:r w:rsidRPr="006A2D1F">
              <w:rPr>
                <w:iCs/>
                <w:sz w:val="18"/>
                <w:szCs w:val="20"/>
              </w:rPr>
              <w:t>83,07</w:t>
            </w:r>
            <w:r w:rsidR="00990E66" w:rsidRPr="006A2D1F">
              <w:rPr>
                <w:iCs/>
                <w:sz w:val="18"/>
                <w:szCs w:val="20"/>
              </w:rPr>
              <w:t>%</w:t>
            </w:r>
          </w:p>
          <w:p w14:paraId="338E07D0" w14:textId="153A991C" w:rsidR="006C4EF1" w:rsidRPr="00B06D0F" w:rsidRDefault="006C4EF1" w:rsidP="006C4EF1">
            <w:pPr>
              <w:jc w:val="both"/>
              <w:rPr>
                <w:iCs/>
                <w:sz w:val="18"/>
                <w:szCs w:val="20"/>
              </w:rPr>
            </w:pPr>
            <w:r w:rsidRPr="005A5008">
              <w:rPr>
                <w:iCs/>
                <w:sz w:val="18"/>
                <w:szCs w:val="20"/>
              </w:rPr>
              <w:t>1.  warto</w:t>
            </w:r>
            <w:r w:rsidRPr="00B06D0F">
              <w:rPr>
                <w:iCs/>
                <w:sz w:val="18"/>
                <w:szCs w:val="20"/>
              </w:rPr>
              <w:t xml:space="preserve">ść wydatków poniesionych w projekcie w stosunku do </w:t>
            </w:r>
            <w:r w:rsidR="0066657D">
              <w:rPr>
                <w:iCs/>
                <w:sz w:val="18"/>
                <w:szCs w:val="20"/>
              </w:rPr>
              <w:t xml:space="preserve">planowanego </w:t>
            </w:r>
            <w:r w:rsidRPr="00B06D0F">
              <w:rPr>
                <w:iCs/>
                <w:sz w:val="18"/>
                <w:szCs w:val="20"/>
              </w:rPr>
              <w:t xml:space="preserve">całkowitego kosztu projektu – </w:t>
            </w:r>
            <w:r w:rsidR="006A5AFD">
              <w:rPr>
                <w:iCs/>
                <w:sz w:val="18"/>
                <w:szCs w:val="20"/>
              </w:rPr>
              <w:t>74,42</w:t>
            </w:r>
            <w:r w:rsidRPr="00B06D0F">
              <w:rPr>
                <w:iCs/>
                <w:sz w:val="18"/>
                <w:szCs w:val="20"/>
              </w:rPr>
              <w:t>%</w:t>
            </w:r>
          </w:p>
          <w:p w14:paraId="0D1CE3EB" w14:textId="6A887087" w:rsidR="006C4EF1" w:rsidRPr="00B06D0F" w:rsidRDefault="006C4EF1" w:rsidP="006C4EF1">
            <w:pPr>
              <w:jc w:val="both"/>
              <w:rPr>
                <w:iCs/>
                <w:sz w:val="18"/>
                <w:szCs w:val="20"/>
              </w:rPr>
            </w:pPr>
            <w:r w:rsidRPr="00B06D0F">
              <w:rPr>
                <w:iCs/>
                <w:sz w:val="18"/>
                <w:szCs w:val="20"/>
              </w:rPr>
              <w:t xml:space="preserve">2. wartość wydatków kwalifikowalnych wykazanych w zatwierdzonych wnioskach o płatność w stosunku do wartości umowy/porozumienia o dofinansowanie w części środków kwalifikowalnych – </w:t>
            </w:r>
            <w:r w:rsidR="006A5AFD">
              <w:rPr>
                <w:iCs/>
                <w:sz w:val="18"/>
                <w:szCs w:val="20"/>
              </w:rPr>
              <w:t>6</w:t>
            </w:r>
            <w:r w:rsidRPr="00B06D0F">
              <w:rPr>
                <w:iCs/>
                <w:sz w:val="18"/>
                <w:szCs w:val="20"/>
              </w:rPr>
              <w:t>1,</w:t>
            </w:r>
            <w:r w:rsidR="006A5AFD">
              <w:rPr>
                <w:iCs/>
                <w:sz w:val="18"/>
                <w:szCs w:val="20"/>
              </w:rPr>
              <w:t>85</w:t>
            </w:r>
            <w:r w:rsidRPr="00B06D0F">
              <w:rPr>
                <w:iCs/>
                <w:sz w:val="18"/>
                <w:szCs w:val="20"/>
              </w:rPr>
              <w:t>%</w:t>
            </w:r>
          </w:p>
          <w:p w14:paraId="7778B59C" w14:textId="094D677E" w:rsidR="00E42869" w:rsidRPr="00B06D0F" w:rsidRDefault="006C4EF1" w:rsidP="0092099A">
            <w:pPr>
              <w:jc w:val="both"/>
              <w:rPr>
                <w:iCs/>
                <w:sz w:val="18"/>
                <w:szCs w:val="20"/>
              </w:rPr>
            </w:pPr>
            <w:r w:rsidRPr="00B06D0F">
              <w:rPr>
                <w:iCs/>
                <w:sz w:val="18"/>
                <w:szCs w:val="20"/>
              </w:rPr>
              <w:t xml:space="preserve">3.  wartość wydatkowanych kwalifikowalnych poniesionych w projekcie w stosunku do wartości umowy o dofinansowanie w części środków kwalifikowalnych – </w:t>
            </w:r>
            <w:r w:rsidR="006A5AFD">
              <w:rPr>
                <w:iCs/>
                <w:sz w:val="18"/>
                <w:szCs w:val="20"/>
              </w:rPr>
              <w:t>74</w:t>
            </w:r>
            <w:r w:rsidRPr="00B06D0F">
              <w:rPr>
                <w:iCs/>
                <w:sz w:val="18"/>
                <w:szCs w:val="20"/>
              </w:rPr>
              <w:t>,</w:t>
            </w:r>
            <w:r w:rsidR="006A5AFD">
              <w:rPr>
                <w:iCs/>
                <w:sz w:val="18"/>
                <w:szCs w:val="20"/>
              </w:rPr>
              <w:t>41</w:t>
            </w:r>
            <w:r w:rsidRPr="00B06D0F">
              <w:rPr>
                <w:iCs/>
                <w:sz w:val="18"/>
                <w:szCs w:val="20"/>
              </w:rPr>
              <w:t xml:space="preserve">% </w:t>
            </w:r>
          </w:p>
          <w:p w14:paraId="0ADE6A65" w14:textId="45F2E13B" w:rsidR="006C4EF1" w:rsidRPr="005A5008" w:rsidRDefault="00E42869" w:rsidP="0092099A">
            <w:pPr>
              <w:jc w:val="both"/>
              <w:rPr>
                <w:iCs/>
                <w:sz w:val="18"/>
                <w:szCs w:val="20"/>
              </w:rPr>
            </w:pPr>
            <w:r w:rsidRPr="00B06D0F">
              <w:rPr>
                <w:iCs/>
                <w:sz w:val="18"/>
                <w:szCs w:val="20"/>
              </w:rPr>
              <w:t xml:space="preserve">4. </w:t>
            </w:r>
            <w:r w:rsidR="006C4EF1" w:rsidRPr="00B06D0F">
              <w:rPr>
                <w:iCs/>
                <w:sz w:val="18"/>
                <w:szCs w:val="20"/>
              </w:rPr>
              <w:t xml:space="preserve">wartość środków zaangażowanych w projekcie w stosunku do całkowitego kosztu projektu – </w:t>
            </w:r>
            <w:r w:rsidR="006A5AFD">
              <w:rPr>
                <w:iCs/>
                <w:sz w:val="18"/>
                <w:szCs w:val="20"/>
              </w:rPr>
              <w:t>74,47</w:t>
            </w:r>
            <w:r w:rsidR="006C4EF1" w:rsidRPr="00B06D0F">
              <w:rPr>
                <w:iCs/>
                <w:sz w:val="18"/>
                <w:szCs w:val="20"/>
              </w:rPr>
              <w:t>%</w:t>
            </w:r>
          </w:p>
          <w:p w14:paraId="071F8C78" w14:textId="77777777" w:rsidR="006C4EF1" w:rsidRPr="00E42869" w:rsidRDefault="006C4EF1" w:rsidP="0092099A">
            <w:pPr>
              <w:jc w:val="both"/>
              <w:rPr>
                <w:iCs/>
                <w:sz w:val="18"/>
                <w:szCs w:val="20"/>
              </w:rPr>
            </w:pPr>
          </w:p>
          <w:p w14:paraId="212EAF1C" w14:textId="08C650B1" w:rsidR="00ED5861" w:rsidRDefault="00ED5861" w:rsidP="0092099A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Na powyższe wskaźniki wpływ </w:t>
            </w:r>
            <w:r w:rsidR="00F836FE">
              <w:rPr>
                <w:iCs/>
                <w:sz w:val="18"/>
                <w:szCs w:val="20"/>
              </w:rPr>
              <w:t>miały:</w:t>
            </w:r>
          </w:p>
          <w:p w14:paraId="182CBFA0" w14:textId="65763051" w:rsidR="00414A3B" w:rsidRDefault="00414A3B" w:rsidP="0092099A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- niższ</w:t>
            </w:r>
            <w:r w:rsidR="00AA02E3">
              <w:rPr>
                <w:iCs/>
                <w:sz w:val="18"/>
                <w:szCs w:val="20"/>
              </w:rPr>
              <w:t>e</w:t>
            </w:r>
            <w:r>
              <w:rPr>
                <w:iCs/>
                <w:sz w:val="18"/>
                <w:szCs w:val="20"/>
              </w:rPr>
              <w:t xml:space="preserve"> w niektórych przypadkach niż zakładano cen</w:t>
            </w:r>
            <w:r w:rsidR="00E56599">
              <w:rPr>
                <w:iCs/>
                <w:sz w:val="18"/>
                <w:szCs w:val="20"/>
              </w:rPr>
              <w:t>y</w:t>
            </w:r>
            <w:r>
              <w:rPr>
                <w:iCs/>
                <w:sz w:val="18"/>
                <w:szCs w:val="20"/>
              </w:rPr>
              <w:t xml:space="preserve"> zakupu sprzętu i oprogramowania, </w:t>
            </w:r>
          </w:p>
          <w:p w14:paraId="3B124EDF" w14:textId="693E7E76" w:rsidR="00F836FE" w:rsidRDefault="00414A3B" w:rsidP="0092099A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- realizacj</w:t>
            </w:r>
            <w:r w:rsidR="00E56599">
              <w:rPr>
                <w:iCs/>
                <w:sz w:val="18"/>
                <w:szCs w:val="20"/>
              </w:rPr>
              <w:t>a</w:t>
            </w:r>
            <w:r>
              <w:rPr>
                <w:iCs/>
                <w:sz w:val="18"/>
                <w:szCs w:val="20"/>
              </w:rPr>
              <w:t xml:space="preserve"> niektórych produktów cząstkowych w oparciu o rozwiązania open</w:t>
            </w:r>
            <w:r>
              <w:rPr>
                <w:iCs/>
                <w:sz w:val="18"/>
                <w:szCs w:val="20"/>
              </w:rPr>
              <w:noBreakHyphen/>
            </w:r>
            <w:proofErr w:type="spellStart"/>
            <w:r>
              <w:rPr>
                <w:iCs/>
                <w:sz w:val="18"/>
                <w:szCs w:val="20"/>
              </w:rPr>
              <w:t>source</w:t>
            </w:r>
            <w:proofErr w:type="spellEnd"/>
            <w:r>
              <w:rPr>
                <w:iCs/>
                <w:sz w:val="18"/>
                <w:szCs w:val="20"/>
              </w:rPr>
              <w:t>.</w:t>
            </w:r>
          </w:p>
          <w:p w14:paraId="1352AA98" w14:textId="00164333" w:rsidR="003B107D" w:rsidRPr="002450C4" w:rsidRDefault="003B107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1DE2BDEB" w14:textId="77777777" w:rsidTr="00920CE8">
        <w:tc>
          <w:tcPr>
            <w:tcW w:w="480" w:type="dxa"/>
          </w:tcPr>
          <w:p w14:paraId="44AFE8EA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B872B6E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4056613C" w14:textId="4439287B" w:rsidR="00220013" w:rsidRPr="00850976" w:rsidRDefault="00220013" w:rsidP="00220013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E20664">
              <w:rPr>
                <w:bCs/>
                <w:color w:val="000000"/>
              </w:rPr>
              <w:t>01.01.2019 r.</w:t>
            </w:r>
          </w:p>
          <w:p w14:paraId="4CDD1216" w14:textId="6AA3BEC2" w:rsidR="00220013" w:rsidRPr="00850976" w:rsidRDefault="00220013" w:rsidP="00220013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E20664">
              <w:rPr>
                <w:bCs/>
                <w:color w:val="000000"/>
              </w:rPr>
              <w:t>01.01.2019 r.</w:t>
            </w:r>
          </w:p>
          <w:p w14:paraId="580BC748" w14:textId="74158316" w:rsidR="00220013" w:rsidRDefault="00220013" w:rsidP="00220013">
            <w:pPr>
              <w:pStyle w:val="Other0"/>
            </w:pPr>
            <w:r>
              <w:rPr>
                <w:b/>
                <w:bCs/>
                <w:color w:val="000000"/>
              </w:rPr>
              <w:t xml:space="preserve">Faktyczna data rozpoczęcia realizacji projektu: </w:t>
            </w:r>
            <w:r w:rsidR="00E20664">
              <w:rPr>
                <w:b/>
                <w:bCs/>
                <w:color w:val="000000"/>
              </w:rPr>
              <w:t>01.01.2019 r.</w:t>
            </w:r>
          </w:p>
          <w:p w14:paraId="56E90792" w14:textId="4BF4FF15" w:rsidR="00220013" w:rsidRPr="00850976" w:rsidRDefault="00220013" w:rsidP="00220013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E20664">
              <w:rPr>
                <w:bCs/>
                <w:color w:val="000000"/>
              </w:rPr>
              <w:t>31.12.2021 r.</w:t>
            </w:r>
          </w:p>
          <w:p w14:paraId="44D453E4" w14:textId="7117C3AF" w:rsidR="00220013" w:rsidRPr="00850976" w:rsidRDefault="00220013" w:rsidP="00220013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E20664">
              <w:rPr>
                <w:bCs/>
                <w:color w:val="000000"/>
              </w:rPr>
              <w:t>31.03.2022 r.</w:t>
            </w:r>
          </w:p>
          <w:p w14:paraId="20A3223A" w14:textId="19745ECD" w:rsidR="00220013" w:rsidRDefault="00220013" w:rsidP="00220013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="00E20664">
              <w:rPr>
                <w:b/>
                <w:bCs/>
                <w:color w:val="000000"/>
              </w:rPr>
              <w:t>31.03.2022 r.</w:t>
            </w:r>
          </w:p>
          <w:p w14:paraId="64ADC606" w14:textId="77777777" w:rsidR="00220013" w:rsidRDefault="00220013" w:rsidP="00220013">
            <w:pPr>
              <w:pStyle w:val="Other0"/>
              <w:rPr>
                <w:b/>
                <w:bCs/>
                <w:color w:val="000000"/>
              </w:rPr>
            </w:pPr>
          </w:p>
          <w:p w14:paraId="108E896A" w14:textId="77777777" w:rsidR="00220013" w:rsidRDefault="00220013" w:rsidP="00220013">
            <w:pPr>
              <w:pStyle w:val="Other0"/>
            </w:pPr>
          </w:p>
          <w:p w14:paraId="5F62081A" w14:textId="631E5314" w:rsidR="00220013" w:rsidRDefault="00220013" w:rsidP="004315C7">
            <w:pPr>
              <w:pStyle w:val="Other0"/>
              <w:rPr>
                <w:iCs/>
                <w:szCs w:val="2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  <w:r w:rsidR="00E20664">
              <w:rPr>
                <w:b/>
                <w:bCs/>
                <w:color w:val="000000"/>
              </w:rPr>
              <w:t xml:space="preserve"> </w:t>
            </w:r>
            <w:r w:rsidR="00FF3EC5">
              <w:rPr>
                <w:b/>
                <w:bCs/>
                <w:color w:val="000000"/>
              </w:rPr>
              <w:t>wy</w:t>
            </w:r>
            <w:r w:rsidR="00FF3EC5" w:rsidRPr="00FF3EC5">
              <w:rPr>
                <w:b/>
                <w:bCs/>
                <w:color w:val="000000"/>
              </w:rPr>
              <w:t>dłużeni</w:t>
            </w:r>
            <w:r w:rsidR="00FF3EC5">
              <w:rPr>
                <w:b/>
                <w:bCs/>
                <w:color w:val="000000"/>
              </w:rPr>
              <w:t>e</w:t>
            </w:r>
            <w:r w:rsidR="00FF3EC5" w:rsidRPr="00FF3EC5">
              <w:rPr>
                <w:b/>
                <w:bCs/>
                <w:color w:val="000000"/>
              </w:rPr>
              <w:t xml:space="preserve"> terminu zakończenia realizacji projektu o 90 dni zgodnie z zapisami Ustawy z dnia 3 kwietnia 2020 r. o szczególnych rozwiązaniach wspierających realizację programów operacyjnych w związku z wystąpieniem COVID-19 w 2020 r.</w:t>
            </w:r>
            <w:r w:rsidR="00FF3EC5">
              <w:rPr>
                <w:b/>
                <w:bCs/>
                <w:color w:val="000000"/>
              </w:rPr>
              <w:t xml:space="preserve">; </w:t>
            </w:r>
            <w:r w:rsidR="00E20664">
              <w:rPr>
                <w:b/>
                <w:bCs/>
                <w:color w:val="000000"/>
              </w:rPr>
              <w:t>zawar</w:t>
            </w:r>
            <w:r w:rsidR="00FF3EC5">
              <w:rPr>
                <w:b/>
                <w:bCs/>
                <w:color w:val="000000"/>
              </w:rPr>
              <w:t>to</w:t>
            </w:r>
            <w:r w:rsidR="00E20664">
              <w:rPr>
                <w:b/>
                <w:bCs/>
                <w:color w:val="000000"/>
              </w:rPr>
              <w:t xml:space="preserve"> aneks do umowy o dofinansowanie w dniu 17.03.2021 r. </w:t>
            </w:r>
            <w:r w:rsidR="00FF3EC5">
              <w:rPr>
                <w:b/>
                <w:bCs/>
                <w:color w:val="000000"/>
              </w:rPr>
              <w:t>wydłużający</w:t>
            </w:r>
            <w:r w:rsidR="00E20664">
              <w:rPr>
                <w:b/>
                <w:bCs/>
                <w:color w:val="000000"/>
              </w:rPr>
              <w:t xml:space="preserve"> okres realizacji projektu do 31.03.2022 r. </w:t>
            </w:r>
          </w:p>
          <w:p w14:paraId="7D86D285" w14:textId="77777777" w:rsidR="00220013" w:rsidRDefault="00220013" w:rsidP="00220013">
            <w:pPr>
              <w:pStyle w:val="Other0"/>
            </w:pPr>
            <w:r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7D8F4CEB" w14:textId="77777777" w:rsidR="00220013" w:rsidRDefault="00220013" w:rsidP="00E52249">
            <w:pPr>
              <w:jc w:val="both"/>
              <w:rPr>
                <w:iCs/>
                <w:sz w:val="18"/>
                <w:szCs w:val="20"/>
              </w:rPr>
            </w:pPr>
          </w:p>
          <w:p w14:paraId="36BC1658" w14:textId="072A9650" w:rsidR="00414A3B" w:rsidRDefault="008E2308" w:rsidP="00E52249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 xml:space="preserve">Zgodnie z założeniami </w:t>
            </w:r>
            <w:r w:rsidRPr="008E2308">
              <w:rPr>
                <w:iCs/>
                <w:sz w:val="18"/>
                <w:szCs w:val="20"/>
              </w:rPr>
              <w:t>udostępniono dwa produkty</w:t>
            </w:r>
            <w:r>
              <w:rPr>
                <w:iCs/>
                <w:sz w:val="18"/>
                <w:szCs w:val="20"/>
              </w:rPr>
              <w:t xml:space="preserve"> końcowe projektu</w:t>
            </w:r>
            <w:r w:rsidRPr="008E2308">
              <w:rPr>
                <w:iCs/>
                <w:sz w:val="18"/>
                <w:szCs w:val="20"/>
              </w:rPr>
              <w:t xml:space="preserve"> – aplikację EZD RP, jako darmowe narzędzie na rzecz polskiej administracji (w 2022 r. dla wskazanych podmiotów administracji rządowej, od stycznia 2023 </w:t>
            </w:r>
            <w:r w:rsidR="00E56599">
              <w:rPr>
                <w:iCs/>
                <w:sz w:val="18"/>
                <w:szCs w:val="20"/>
              </w:rPr>
              <w:t xml:space="preserve">r. </w:t>
            </w:r>
            <w:r w:rsidRPr="008E2308">
              <w:rPr>
                <w:iCs/>
                <w:sz w:val="18"/>
                <w:szCs w:val="20"/>
              </w:rPr>
              <w:t>powszechnie dostępna) oraz usługę chmurową SaaS EZD RP udostępnianą podmiotom administracji rządowej.</w:t>
            </w:r>
          </w:p>
          <w:p w14:paraId="10A044D9" w14:textId="7D67CBEF" w:rsidR="00414A3B" w:rsidRDefault="00414A3B" w:rsidP="00E52249">
            <w:pPr>
              <w:jc w:val="both"/>
              <w:rPr>
                <w:iCs/>
                <w:sz w:val="18"/>
                <w:szCs w:val="20"/>
              </w:rPr>
            </w:pPr>
          </w:p>
          <w:p w14:paraId="2CB81E0E" w14:textId="77777777" w:rsidR="00220013" w:rsidRDefault="00220013" w:rsidP="00220013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Status realizacji kamieni milowych w projekcie:</w:t>
            </w:r>
          </w:p>
          <w:p w14:paraId="7B23EFEC" w14:textId="77777777" w:rsidR="00220013" w:rsidRDefault="00220013" w:rsidP="00E52249">
            <w:pPr>
              <w:jc w:val="both"/>
              <w:rPr>
                <w:iCs/>
                <w:sz w:val="18"/>
                <w:szCs w:val="20"/>
              </w:rPr>
            </w:pPr>
          </w:p>
          <w:tbl>
            <w:tblPr>
              <w:tblStyle w:val="Tabela-Siatka"/>
              <w:tblW w:w="6123" w:type="dxa"/>
              <w:tblLook w:val="04A0" w:firstRow="1" w:lastRow="0" w:firstColumn="1" w:lastColumn="0" w:noHBand="0" w:noVBand="1"/>
            </w:tblPr>
            <w:tblGrid>
              <w:gridCol w:w="1694"/>
              <w:gridCol w:w="1134"/>
              <w:gridCol w:w="1097"/>
              <w:gridCol w:w="2198"/>
            </w:tblGrid>
            <w:tr w:rsidR="00952A40" w:rsidRPr="00141A92" w14:paraId="44639713" w14:textId="77777777" w:rsidTr="006C6B30">
              <w:trPr>
                <w:tblHeader/>
              </w:trPr>
              <w:tc>
                <w:tcPr>
                  <w:tcW w:w="1694" w:type="dxa"/>
                  <w:shd w:val="clear" w:color="auto" w:fill="D0CECE" w:themeFill="background2" w:themeFillShade="E6"/>
                </w:tcPr>
                <w:p w14:paraId="1026B3F1" w14:textId="77777777" w:rsidR="00952A40" w:rsidRPr="00952A40" w:rsidRDefault="00952A40" w:rsidP="00952A40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</w:tcPr>
                <w:p w14:paraId="0C054BEE" w14:textId="77777777" w:rsidR="00952A40" w:rsidRPr="00952A40" w:rsidRDefault="00952A40" w:rsidP="00952A40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097" w:type="dxa"/>
                  <w:shd w:val="clear" w:color="auto" w:fill="D0CECE" w:themeFill="background2" w:themeFillShade="E6"/>
                </w:tcPr>
                <w:p w14:paraId="423E979E" w14:textId="77777777" w:rsidR="00952A40" w:rsidRPr="00952A40" w:rsidRDefault="00952A40" w:rsidP="00952A40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2198" w:type="dxa"/>
                  <w:shd w:val="clear" w:color="auto" w:fill="D0CECE" w:themeFill="background2" w:themeFillShade="E6"/>
                </w:tcPr>
                <w:p w14:paraId="764B5E0A" w14:textId="77777777" w:rsidR="00952A40" w:rsidRPr="00952A40" w:rsidRDefault="00952A40" w:rsidP="00952A40">
                  <w:pPr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bCs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952A40" w:rsidRPr="00141A92" w14:paraId="5A4EC187" w14:textId="77777777" w:rsidTr="006C6B30">
              <w:tc>
                <w:tcPr>
                  <w:tcW w:w="1694" w:type="dxa"/>
                </w:tcPr>
                <w:p w14:paraId="3BA78E0B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</w:rPr>
                    <w:t>Zamknięta lista funkcjonalności systemu EZD RP</w:t>
                  </w:r>
                </w:p>
              </w:tc>
              <w:tc>
                <w:tcPr>
                  <w:tcW w:w="1134" w:type="dxa"/>
                </w:tcPr>
                <w:p w14:paraId="0FE3C49F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03-2019</w:t>
                  </w:r>
                </w:p>
              </w:tc>
              <w:tc>
                <w:tcPr>
                  <w:tcW w:w="1097" w:type="dxa"/>
                </w:tcPr>
                <w:p w14:paraId="2FFAB120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03-2019</w:t>
                  </w:r>
                </w:p>
              </w:tc>
              <w:tc>
                <w:tcPr>
                  <w:tcW w:w="2198" w:type="dxa"/>
                </w:tcPr>
                <w:p w14:paraId="3F69D64B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952A40" w14:paraId="393718D8" w14:textId="77777777" w:rsidTr="006C6B30">
              <w:tc>
                <w:tcPr>
                  <w:tcW w:w="1694" w:type="dxa"/>
                </w:tcPr>
                <w:p w14:paraId="1A63406C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</w:rPr>
                    <w:t>Przygotowana pierwsza wersja prototypu systemu EZD RP</w:t>
                  </w:r>
                </w:p>
              </w:tc>
              <w:tc>
                <w:tcPr>
                  <w:tcW w:w="1134" w:type="dxa"/>
                </w:tcPr>
                <w:p w14:paraId="7C84D01B" w14:textId="77777777" w:rsidR="00952A40" w:rsidRPr="00952A40" w:rsidRDefault="00952A40" w:rsidP="00952A40">
                  <w:pPr>
                    <w:rPr>
                      <w:rFonts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09-2019</w:t>
                  </w:r>
                </w:p>
              </w:tc>
              <w:tc>
                <w:tcPr>
                  <w:tcW w:w="1097" w:type="dxa"/>
                </w:tcPr>
                <w:p w14:paraId="0E308C6E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09-2019</w:t>
                  </w:r>
                </w:p>
              </w:tc>
              <w:tc>
                <w:tcPr>
                  <w:tcW w:w="2198" w:type="dxa"/>
                </w:tcPr>
                <w:p w14:paraId="77880BBC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952A40" w:rsidRPr="006E50B4" w14:paraId="08ABE71A" w14:textId="77777777" w:rsidTr="006C6B30">
              <w:tc>
                <w:tcPr>
                  <w:tcW w:w="1694" w:type="dxa"/>
                </w:tcPr>
                <w:p w14:paraId="11C0DF87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lastRenderedPageBreak/>
                    <w:t>Przygotowany i przetestowany prototyp EZD RP</w:t>
                  </w:r>
                </w:p>
              </w:tc>
              <w:tc>
                <w:tcPr>
                  <w:tcW w:w="1134" w:type="dxa"/>
                </w:tcPr>
                <w:p w14:paraId="100FE665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09-2020</w:t>
                  </w:r>
                </w:p>
              </w:tc>
              <w:tc>
                <w:tcPr>
                  <w:tcW w:w="1097" w:type="dxa"/>
                </w:tcPr>
                <w:p w14:paraId="4D0677B9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09-2020</w:t>
                  </w:r>
                </w:p>
              </w:tc>
              <w:tc>
                <w:tcPr>
                  <w:tcW w:w="2198" w:type="dxa"/>
                </w:tcPr>
                <w:p w14:paraId="0C2BD58B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osiągnięty</w:t>
                  </w:r>
                </w:p>
              </w:tc>
            </w:tr>
            <w:tr w:rsidR="00952A40" w:rsidRPr="006E50B4" w14:paraId="1083BE98" w14:textId="77777777" w:rsidTr="006C6B30">
              <w:tc>
                <w:tcPr>
                  <w:tcW w:w="1694" w:type="dxa"/>
                </w:tcPr>
                <w:p w14:paraId="45CD8D5D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Zakończony pilotaż systemu EZD RP</w:t>
                  </w:r>
                </w:p>
              </w:tc>
              <w:tc>
                <w:tcPr>
                  <w:tcW w:w="1134" w:type="dxa"/>
                </w:tcPr>
                <w:p w14:paraId="2E527B65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03-2021</w:t>
                  </w:r>
                </w:p>
              </w:tc>
              <w:tc>
                <w:tcPr>
                  <w:tcW w:w="1097" w:type="dxa"/>
                </w:tcPr>
                <w:p w14:paraId="2D54A8D6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03-2021</w:t>
                  </w:r>
                </w:p>
              </w:tc>
              <w:tc>
                <w:tcPr>
                  <w:tcW w:w="2198" w:type="dxa"/>
                </w:tcPr>
                <w:p w14:paraId="23DDD6BC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osiągnięty</w:t>
                  </w:r>
                </w:p>
              </w:tc>
            </w:tr>
            <w:tr w:rsidR="00952A40" w:rsidRPr="006E50B4" w14:paraId="0E3FF41C" w14:textId="77777777" w:rsidTr="006C6B30">
              <w:tc>
                <w:tcPr>
                  <w:tcW w:w="1694" w:type="dxa"/>
                </w:tcPr>
                <w:p w14:paraId="29338DF5" w14:textId="6BD51FEC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Zatwierdzony raport z pilotażu i zmian wprowadzonych do systemu</w:t>
                  </w:r>
                </w:p>
              </w:tc>
              <w:tc>
                <w:tcPr>
                  <w:tcW w:w="1134" w:type="dxa"/>
                </w:tcPr>
                <w:p w14:paraId="72C53947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05-2021</w:t>
                  </w:r>
                </w:p>
              </w:tc>
              <w:tc>
                <w:tcPr>
                  <w:tcW w:w="1097" w:type="dxa"/>
                </w:tcPr>
                <w:p w14:paraId="133342F8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05-2021</w:t>
                  </w:r>
                </w:p>
              </w:tc>
              <w:tc>
                <w:tcPr>
                  <w:tcW w:w="2198" w:type="dxa"/>
                </w:tcPr>
                <w:p w14:paraId="309CE668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osiągnięty</w:t>
                  </w:r>
                </w:p>
              </w:tc>
            </w:tr>
            <w:tr w:rsidR="00952A40" w14:paraId="39786D2C" w14:textId="77777777" w:rsidTr="006C6B30">
              <w:tc>
                <w:tcPr>
                  <w:tcW w:w="1694" w:type="dxa"/>
                </w:tcPr>
                <w:p w14:paraId="46847EDC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Przygotowana i przetestowana infrastruktura sprzętowo-programowa chmury</w:t>
                  </w:r>
                </w:p>
              </w:tc>
              <w:tc>
                <w:tcPr>
                  <w:tcW w:w="1134" w:type="dxa"/>
                </w:tcPr>
                <w:p w14:paraId="76C29DF4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09-2021</w:t>
                  </w:r>
                </w:p>
              </w:tc>
              <w:tc>
                <w:tcPr>
                  <w:tcW w:w="1097" w:type="dxa"/>
                </w:tcPr>
                <w:p w14:paraId="23327EA5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09-2021</w:t>
                  </w:r>
                </w:p>
              </w:tc>
              <w:tc>
                <w:tcPr>
                  <w:tcW w:w="2198" w:type="dxa"/>
                </w:tcPr>
                <w:p w14:paraId="63315416" w14:textId="39B42109" w:rsid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</w:t>
                  </w: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siągnięty</w:t>
                  </w:r>
                </w:p>
                <w:p w14:paraId="4E2D4337" w14:textId="2D5E92E2" w:rsidR="00952A40" w:rsidRPr="006C6B30" w:rsidRDefault="00952A40" w:rsidP="006C6B3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pierwotny termin osiągnięcia kamienia </w:t>
                  </w:r>
                  <w:r w:rsidR="001E75A6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–</w:t>
                  </w: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 </w:t>
                  </w:r>
                  <w:r w:rsidR="001E75A6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09.2020; </w:t>
                  </w: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zawarto Aneks nr 4 do </w:t>
                  </w:r>
                  <w:proofErr w:type="spellStart"/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UoD</w:t>
                  </w:r>
                  <w:proofErr w:type="spellEnd"/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, którym zmieniono datę realizacji kamienia milowego do 30.09.2021 r.</w:t>
                  </w:r>
                </w:p>
              </w:tc>
            </w:tr>
            <w:tr w:rsidR="00952A40" w:rsidRPr="001C7F83" w14:paraId="40F1A037" w14:textId="77777777" w:rsidTr="006C6B30">
              <w:tc>
                <w:tcPr>
                  <w:tcW w:w="1694" w:type="dxa"/>
                </w:tcPr>
                <w:p w14:paraId="5C0102CE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Przygotowana i przetestowana docelowa wersja systemu EZD RP</w:t>
                  </w:r>
                </w:p>
              </w:tc>
              <w:tc>
                <w:tcPr>
                  <w:tcW w:w="1134" w:type="dxa"/>
                </w:tcPr>
                <w:p w14:paraId="72A2913D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12-2021</w:t>
                  </w:r>
                </w:p>
              </w:tc>
              <w:tc>
                <w:tcPr>
                  <w:tcW w:w="1097" w:type="dxa"/>
                </w:tcPr>
                <w:p w14:paraId="61AAC406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01-2022</w:t>
                  </w:r>
                </w:p>
              </w:tc>
              <w:tc>
                <w:tcPr>
                  <w:tcW w:w="2198" w:type="dxa"/>
                </w:tcPr>
                <w:p w14:paraId="6F2F058D" w14:textId="606E5BB0" w:rsid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osiągnięty,</w:t>
                  </w:r>
                </w:p>
                <w:p w14:paraId="41B3AAEB" w14:textId="2CE5C1C7" w:rsidR="006C6B30" w:rsidRPr="00952A40" w:rsidRDefault="006C6B30" w:rsidP="006C6B3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pierwotny termin osiągnięcia kamienia – 06.2021; </w:t>
                  </w:r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zawarto Aneks nr 6 do </w:t>
                  </w:r>
                  <w:proofErr w:type="spellStart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UoD</w:t>
                  </w:r>
                  <w:proofErr w:type="spellEnd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, którym zmieniono datę realizacji kamienia milowego do 31.12.2021 r.</w:t>
                  </w:r>
                </w:p>
                <w:p w14:paraId="79F4D739" w14:textId="48C892F3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termin udostepnienia systemu został dotrzymany, nastąpiło opóźnienie w wykonaniu testów i opracowania raportów </w:t>
                  </w:r>
                  <w:r w:rsid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p</w:t>
                  </w: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otwierdzających jakość i bezpieczeństwo systemu (zadań tych nie udało się zakończyć w planowanym terminie)  </w:t>
                  </w:r>
                </w:p>
              </w:tc>
            </w:tr>
            <w:tr w:rsidR="00952A40" w:rsidRPr="006E50B4" w14:paraId="3B5592D1" w14:textId="77777777" w:rsidTr="006C6B30">
              <w:tc>
                <w:tcPr>
                  <w:tcW w:w="1694" w:type="dxa"/>
                </w:tcPr>
                <w:p w14:paraId="109C3739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Uruchomiona infrastruktura sprzętowo-programowa SaaS</w:t>
                  </w:r>
                </w:p>
              </w:tc>
              <w:tc>
                <w:tcPr>
                  <w:tcW w:w="1134" w:type="dxa"/>
                </w:tcPr>
                <w:p w14:paraId="032D1BA3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12-2021</w:t>
                  </w:r>
                </w:p>
              </w:tc>
              <w:tc>
                <w:tcPr>
                  <w:tcW w:w="1097" w:type="dxa"/>
                </w:tcPr>
                <w:p w14:paraId="7489E114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01-2022</w:t>
                  </w:r>
                </w:p>
              </w:tc>
              <w:tc>
                <w:tcPr>
                  <w:tcW w:w="2198" w:type="dxa"/>
                </w:tcPr>
                <w:p w14:paraId="688CA431" w14:textId="53F1CCDE" w:rsid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osiągnięty,</w:t>
                  </w:r>
                </w:p>
                <w:p w14:paraId="7E4D322B" w14:textId="4654217B" w:rsidR="006C6B30" w:rsidRDefault="006C6B3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pierwotny termin osiągnięcia kamienia – 06.2021</w:t>
                  </w:r>
                </w:p>
                <w:p w14:paraId="325A675C" w14:textId="30BCBED5" w:rsidR="006C6B30" w:rsidRPr="00952A40" w:rsidRDefault="006C6B3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zawarto Aneks nr 6 do </w:t>
                  </w:r>
                  <w:proofErr w:type="spellStart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UoD</w:t>
                  </w:r>
                  <w:proofErr w:type="spellEnd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, którym zmieniono datę realizacji kamienia milowego do 31.12.2021 r.</w:t>
                  </w:r>
                </w:p>
                <w:p w14:paraId="7683DA2B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termin udostepnienia usługi chmurowej SaaS EZD RP został dotrzymany, nastąpiło opóźnienie w wykonaniu testów i opracowania raportów potwierdzających jakość i bezpieczeństwo systemu (zadań tych nie udało się zakończyć w planowanym terminie)</w:t>
                  </w:r>
                </w:p>
              </w:tc>
            </w:tr>
            <w:tr w:rsidR="00952A40" w14:paraId="36051ED4" w14:textId="77777777" w:rsidTr="006C6B30">
              <w:tc>
                <w:tcPr>
                  <w:tcW w:w="1694" w:type="dxa"/>
                </w:tcPr>
                <w:p w14:paraId="5CEE24AE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</w:rPr>
                    <w:t>Zakończona realizacja warsztatów i szkoleń użytkowników</w:t>
                  </w:r>
                </w:p>
              </w:tc>
              <w:tc>
                <w:tcPr>
                  <w:tcW w:w="1134" w:type="dxa"/>
                </w:tcPr>
                <w:p w14:paraId="681C1004" w14:textId="77777777" w:rsidR="00952A40" w:rsidRPr="00952A40" w:rsidRDefault="00952A40" w:rsidP="00952A40">
                  <w:pPr>
                    <w:rPr>
                      <w:rFonts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03-2022</w:t>
                  </w:r>
                </w:p>
              </w:tc>
              <w:tc>
                <w:tcPr>
                  <w:tcW w:w="1097" w:type="dxa"/>
                </w:tcPr>
                <w:p w14:paraId="179F4ACA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03-2022</w:t>
                  </w:r>
                </w:p>
              </w:tc>
              <w:tc>
                <w:tcPr>
                  <w:tcW w:w="2198" w:type="dxa"/>
                </w:tcPr>
                <w:p w14:paraId="0D009E36" w14:textId="2486BFE4" w:rsidR="00952A40" w:rsidRDefault="006C6B30" w:rsidP="00952A40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</w:t>
                  </w:r>
                  <w:r w:rsidR="00952A40"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siągnięty</w:t>
                  </w:r>
                </w:p>
                <w:p w14:paraId="5504D8FC" w14:textId="47D43287" w:rsidR="006C6B30" w:rsidRPr="00952A40" w:rsidRDefault="006C6B3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pierwotny termin osiągnięcia kamienia – 12.2021; </w:t>
                  </w:r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zawarto Aneks nr 4 do </w:t>
                  </w:r>
                  <w:proofErr w:type="spellStart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UoD</w:t>
                  </w:r>
                  <w:proofErr w:type="spellEnd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, którym zmieniono datę realizacji kamienia milowego do 31.03.2022 r.</w:t>
                  </w:r>
                </w:p>
              </w:tc>
            </w:tr>
            <w:tr w:rsidR="00952A40" w14:paraId="3510F213" w14:textId="77777777" w:rsidTr="006C6B30">
              <w:tc>
                <w:tcPr>
                  <w:tcW w:w="1694" w:type="dxa"/>
                </w:tcPr>
                <w:p w14:paraId="7D7C7857" w14:textId="77777777" w:rsidR="00952A40" w:rsidRPr="00952A40" w:rsidRDefault="00952A4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</w:rPr>
                    <w:t>Uruchomiony system EZD RP</w:t>
                  </w:r>
                </w:p>
              </w:tc>
              <w:tc>
                <w:tcPr>
                  <w:tcW w:w="1134" w:type="dxa"/>
                </w:tcPr>
                <w:p w14:paraId="2BA47294" w14:textId="77777777" w:rsidR="00952A40" w:rsidRPr="00952A40" w:rsidRDefault="00952A40" w:rsidP="00952A40">
                  <w:pPr>
                    <w:rPr>
                      <w:rFonts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03-2022</w:t>
                  </w:r>
                </w:p>
              </w:tc>
              <w:tc>
                <w:tcPr>
                  <w:tcW w:w="1097" w:type="dxa"/>
                </w:tcPr>
                <w:p w14:paraId="5ECC6F35" w14:textId="77777777" w:rsidR="00952A40" w:rsidRPr="00952A40" w:rsidRDefault="00952A40" w:rsidP="00952A40">
                  <w:pPr>
                    <w:pStyle w:val="Akapitzlist"/>
                    <w:ind w:left="7"/>
                    <w:rPr>
                      <w:rFonts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03-2022</w:t>
                  </w:r>
                </w:p>
              </w:tc>
              <w:tc>
                <w:tcPr>
                  <w:tcW w:w="2198" w:type="dxa"/>
                </w:tcPr>
                <w:p w14:paraId="7CE0C357" w14:textId="1D7DB0BA" w:rsidR="00952A40" w:rsidRDefault="006C6B30" w:rsidP="00952A40">
                  <w:pP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o</w:t>
                  </w:r>
                  <w:r w:rsidR="00952A40" w:rsidRPr="00952A4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siągnięty</w:t>
                  </w:r>
                </w:p>
                <w:p w14:paraId="63D31D1E" w14:textId="5AA46711" w:rsidR="006C6B30" w:rsidRPr="00952A40" w:rsidRDefault="006C6B30" w:rsidP="00952A40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pierwotny termin osiągnięcia kamienia – 12.2021; </w:t>
                  </w:r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 xml:space="preserve">zawarto Aneks nr 4 do </w:t>
                  </w:r>
                  <w:proofErr w:type="spellStart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UoD</w:t>
                  </w:r>
                  <w:proofErr w:type="spellEnd"/>
                  <w:r w:rsidRPr="006C6B30">
                    <w:rPr>
                      <w:rFonts w:ascii="Arial" w:hAnsi="Arial" w:cs="Arial"/>
                      <w:sz w:val="16"/>
                      <w:szCs w:val="16"/>
                      <w:lang w:eastAsia="pl-PL"/>
                    </w:rPr>
                    <w:t>, którym zmieniono datę realizacji kamienia milowego do 31.03.2022 r.</w:t>
                  </w:r>
                </w:p>
              </w:tc>
            </w:tr>
          </w:tbl>
          <w:p w14:paraId="5B31BB13" w14:textId="711CB06D" w:rsidR="002450C4" w:rsidRPr="006C6B30" w:rsidRDefault="002450C4" w:rsidP="006C6B30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708F6DE0" w14:textId="77777777" w:rsidTr="00920CE8">
        <w:tc>
          <w:tcPr>
            <w:tcW w:w="480" w:type="dxa"/>
          </w:tcPr>
          <w:p w14:paraId="1E9C9712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85C57F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693715E2" w14:textId="1D3ACE0A" w:rsidR="003C755E" w:rsidRDefault="003C755E" w:rsidP="003C755E">
            <w:pPr>
              <w:jc w:val="both"/>
              <w:rPr>
                <w:iCs/>
                <w:sz w:val="18"/>
                <w:szCs w:val="20"/>
              </w:rPr>
            </w:pPr>
            <w:r w:rsidRPr="003C755E">
              <w:rPr>
                <w:iCs/>
                <w:sz w:val="18"/>
                <w:szCs w:val="20"/>
              </w:rPr>
              <w:t xml:space="preserve">Projekt prowadzi do zwiększenia stopnia i jakości informatyzacji administracji publicznej, co w </w:t>
            </w:r>
            <w:r w:rsidR="00F05F53">
              <w:rPr>
                <w:iCs/>
                <w:sz w:val="18"/>
                <w:szCs w:val="20"/>
              </w:rPr>
              <w:t>konsekwencji</w:t>
            </w:r>
            <w:r w:rsidRPr="003C755E">
              <w:rPr>
                <w:iCs/>
                <w:sz w:val="18"/>
                <w:szCs w:val="20"/>
              </w:rPr>
              <w:t xml:space="preserve"> przyczyni się do zwiększenia wykorzystania </w:t>
            </w:r>
            <w:r w:rsidR="00F05F53">
              <w:rPr>
                <w:iCs/>
                <w:sz w:val="18"/>
                <w:szCs w:val="20"/>
              </w:rPr>
              <w:t>komunikacji</w:t>
            </w:r>
            <w:r w:rsidRPr="003C755E">
              <w:rPr>
                <w:iCs/>
                <w:sz w:val="18"/>
                <w:szCs w:val="20"/>
              </w:rPr>
              <w:t xml:space="preserve"> elektronicznej przy </w:t>
            </w:r>
            <w:r w:rsidR="00F05F53">
              <w:rPr>
                <w:iCs/>
                <w:sz w:val="18"/>
                <w:szCs w:val="20"/>
              </w:rPr>
              <w:t xml:space="preserve">wymianie korespondencji i </w:t>
            </w:r>
            <w:r w:rsidRPr="003C755E">
              <w:rPr>
                <w:iCs/>
                <w:sz w:val="18"/>
                <w:szCs w:val="20"/>
              </w:rPr>
              <w:t xml:space="preserve">udostępnianiu dokumentacji, pośrednio wpłynie na podniesienie konkurencyjności polskiej gospodarki. Dzięki realizacji projektu nastąpi </w:t>
            </w:r>
            <w:r w:rsidRPr="003C755E">
              <w:rPr>
                <w:iCs/>
                <w:sz w:val="18"/>
                <w:szCs w:val="20"/>
              </w:rPr>
              <w:lastRenderedPageBreak/>
              <w:t>usprawnienie i ustandaryzowanie procedur administracyjnych (</w:t>
            </w:r>
            <w:r w:rsidR="00F05F53">
              <w:rPr>
                <w:iCs/>
                <w:sz w:val="18"/>
                <w:szCs w:val="20"/>
              </w:rPr>
              <w:t xml:space="preserve">m.in. </w:t>
            </w:r>
            <w:r w:rsidRPr="003C755E">
              <w:rPr>
                <w:iCs/>
                <w:sz w:val="18"/>
                <w:szCs w:val="20"/>
              </w:rPr>
              <w:t xml:space="preserve">dzięki procesowości), z których korzystają </w:t>
            </w:r>
            <w:r w:rsidR="00F05F53">
              <w:rPr>
                <w:iCs/>
                <w:sz w:val="18"/>
                <w:szCs w:val="20"/>
              </w:rPr>
              <w:t xml:space="preserve">obywatele i </w:t>
            </w:r>
            <w:r w:rsidRPr="003C755E">
              <w:rPr>
                <w:iCs/>
                <w:sz w:val="18"/>
                <w:szCs w:val="20"/>
              </w:rPr>
              <w:t>przedsiębiorcy. Udostępnienie urzędnikom przez EZD RP zasobów informacyjnych Państwa (gromadzonych w systemach państwowych) odciąży obywateli od przenoszenia tych informacji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3C755E">
              <w:rPr>
                <w:iCs/>
                <w:sz w:val="18"/>
                <w:szCs w:val="20"/>
              </w:rPr>
              <w:t>i dokumentów pomiędzy urzędami. Zwiększenie stopnia cyfryzacji obsługi klientów urzędów spowoduje spadek ponoszonych przez nich kosztów oraz oszczędność czasu, co w konsekwencji doprowadzi do ułatwienia prowadzenia działalności gospodarczej.</w:t>
            </w:r>
          </w:p>
          <w:p w14:paraId="7A497EB9" w14:textId="74A93413"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14:paraId="129804C1" w14:textId="77777777" w:rsidTr="00920CE8">
        <w:tc>
          <w:tcPr>
            <w:tcW w:w="480" w:type="dxa"/>
          </w:tcPr>
          <w:p w14:paraId="49770F27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78D30D8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50C21A93" w14:textId="42252BB2" w:rsidR="00EF36B9" w:rsidRDefault="00EF36B9" w:rsidP="002F3D8D">
            <w:pPr>
              <w:jc w:val="both"/>
              <w:rPr>
                <w:iCs/>
                <w:sz w:val="18"/>
                <w:szCs w:val="20"/>
              </w:rPr>
            </w:pPr>
            <w:r w:rsidRPr="00EF36B9">
              <w:rPr>
                <w:b/>
                <w:bCs/>
                <w:iCs/>
                <w:sz w:val="18"/>
                <w:szCs w:val="20"/>
                <w:lang w:bidi="pl-PL"/>
              </w:rPr>
              <w:t>Pomiar wpływu zrealizowanego projektu oraz faktyczne wykorzystanie usług/produktów wytworzonych w ramach projektu po realizacji projektu mierzony będzie poprzez kontynuację monitorowania poniższych wskaźników rezultatu</w:t>
            </w:r>
            <w:r>
              <w:rPr>
                <w:b/>
                <w:bCs/>
                <w:iCs/>
                <w:sz w:val="18"/>
                <w:szCs w:val="20"/>
                <w:lang w:bidi="pl-PL"/>
              </w:rPr>
              <w:t>:</w:t>
            </w:r>
          </w:p>
          <w:p w14:paraId="3689CBEC" w14:textId="114F6B48" w:rsidR="001A6E49" w:rsidRDefault="001A6E49" w:rsidP="002F3D8D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Wszystkie zaplanowane wskaźniki zostały osiągnięte:</w:t>
            </w:r>
          </w:p>
          <w:p w14:paraId="23DC44E5" w14:textId="77777777" w:rsidR="00A86EA9" w:rsidRDefault="00A86EA9" w:rsidP="001A6E49">
            <w:pPr>
              <w:pStyle w:val="Akapitzlist"/>
              <w:ind w:left="177"/>
              <w:jc w:val="both"/>
              <w:rPr>
                <w:iCs/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1807"/>
              <w:gridCol w:w="750"/>
              <w:gridCol w:w="1128"/>
              <w:gridCol w:w="1306"/>
              <w:gridCol w:w="1461"/>
            </w:tblGrid>
            <w:tr w:rsidR="00A86EA9" w:rsidRPr="002B50C0" w14:paraId="4006340B" w14:textId="77777777" w:rsidTr="00A86EA9">
              <w:trPr>
                <w:tblHeader/>
              </w:trPr>
              <w:tc>
                <w:tcPr>
                  <w:tcW w:w="0" w:type="auto"/>
                  <w:shd w:val="clear" w:color="auto" w:fill="D0CECE" w:themeFill="background2" w:themeFillShade="E6"/>
                  <w:vAlign w:val="center"/>
                </w:tcPr>
                <w:p w14:paraId="41B5E19F" w14:textId="77777777" w:rsidR="00A86EA9" w:rsidRPr="00141A92" w:rsidRDefault="00A86EA9" w:rsidP="00A86EA9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0" w:type="auto"/>
                  <w:shd w:val="clear" w:color="auto" w:fill="D0CECE" w:themeFill="background2" w:themeFillShade="E6"/>
                  <w:vAlign w:val="center"/>
                </w:tcPr>
                <w:p w14:paraId="799D6008" w14:textId="77777777" w:rsidR="00A86EA9" w:rsidRPr="00141A92" w:rsidRDefault="00A86EA9" w:rsidP="00A86E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Jedn. miary</w:t>
                  </w:r>
                </w:p>
              </w:tc>
              <w:tc>
                <w:tcPr>
                  <w:tcW w:w="0" w:type="auto"/>
                  <w:shd w:val="clear" w:color="auto" w:fill="D0CECE" w:themeFill="background2" w:themeFillShade="E6"/>
                  <w:vAlign w:val="center"/>
                </w:tcPr>
                <w:p w14:paraId="257A19DB" w14:textId="77777777" w:rsidR="00A86EA9" w:rsidRDefault="00A86EA9" w:rsidP="00A86E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</w:t>
                  </w:r>
                </w:p>
                <w:p w14:paraId="583E9F47" w14:textId="77777777" w:rsidR="00A86EA9" w:rsidRPr="00141A92" w:rsidRDefault="00A86EA9" w:rsidP="00A86E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0" w:type="auto"/>
                  <w:shd w:val="clear" w:color="auto" w:fill="D0CECE" w:themeFill="background2" w:themeFillShade="E6"/>
                  <w:vAlign w:val="center"/>
                </w:tcPr>
                <w:p w14:paraId="757153E3" w14:textId="77777777" w:rsidR="00A86EA9" w:rsidRPr="00141A92" w:rsidRDefault="00A86EA9" w:rsidP="00A86E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0" w:type="auto"/>
                  <w:shd w:val="clear" w:color="auto" w:fill="D0CECE" w:themeFill="background2" w:themeFillShade="E6"/>
                  <w:vAlign w:val="center"/>
                </w:tcPr>
                <w:p w14:paraId="17AC174A" w14:textId="77777777" w:rsidR="00A86EA9" w:rsidRPr="00141A92" w:rsidRDefault="00A86EA9" w:rsidP="00A86EA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A86EA9" w:rsidRPr="002B50C0" w14:paraId="0616A771" w14:textId="77777777" w:rsidTr="00A86EA9">
              <w:tc>
                <w:tcPr>
                  <w:tcW w:w="0" w:type="auto"/>
                </w:tcPr>
                <w:p w14:paraId="490772BF" w14:textId="77777777" w:rsidR="00A86EA9" w:rsidRPr="00AD0735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 xml:space="preserve">1. </w:t>
                  </w:r>
                  <w:r w:rsidRPr="00AD0735">
                    <w:rPr>
                      <w:rFonts w:cs="Arial"/>
                      <w:sz w:val="18"/>
                      <w:szCs w:val="18"/>
                      <w:lang w:eastAsia="pl-PL"/>
                    </w:rPr>
                    <w:t>Liczba urzędów, które wdrożyły katalog</w:t>
                  </w:r>
                </w:p>
                <w:p w14:paraId="3DC9E0AE" w14:textId="77777777" w:rsidR="00A86EA9" w:rsidRPr="00AA45B2" w:rsidRDefault="00A86EA9" w:rsidP="00A86EA9">
                  <w:pPr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rekomendacji dotyczących awansu cyfrowego</w:t>
                  </w:r>
                </w:p>
              </w:tc>
              <w:tc>
                <w:tcPr>
                  <w:tcW w:w="0" w:type="auto"/>
                </w:tcPr>
                <w:p w14:paraId="04BD3E25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0" w:type="auto"/>
                </w:tcPr>
                <w:p w14:paraId="6B05B721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0" w:type="auto"/>
                </w:tcPr>
                <w:p w14:paraId="554F54D7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5F768CA7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61FEC69F" w14:textId="03221AB6" w:rsidR="00A86EA9" w:rsidRPr="00590D41" w:rsidRDefault="00A86EA9" w:rsidP="00A86EA9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90D41">
                    <w:rPr>
                      <w:rFonts w:ascii="Arial" w:hAnsi="Arial" w:cs="Arial"/>
                      <w:sz w:val="18"/>
                      <w:szCs w:val="20"/>
                    </w:rPr>
                    <w:t>1</w:t>
                  </w:r>
                </w:p>
              </w:tc>
            </w:tr>
            <w:tr w:rsidR="00A86EA9" w:rsidRPr="002B50C0" w14:paraId="073AE6DB" w14:textId="77777777" w:rsidTr="00A86EA9">
              <w:tc>
                <w:tcPr>
                  <w:tcW w:w="0" w:type="auto"/>
                </w:tcPr>
                <w:p w14:paraId="2E22602F" w14:textId="77777777" w:rsidR="00A86EA9" w:rsidRPr="00AD0735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eastAsia="pl-PL"/>
                    </w:rPr>
                    <w:t xml:space="preserve">2. </w:t>
                  </w:r>
                  <w:r w:rsidRPr="00AD0735">
                    <w:rPr>
                      <w:rFonts w:cs="Arial"/>
                      <w:sz w:val="18"/>
                      <w:szCs w:val="18"/>
                      <w:lang w:eastAsia="pl-PL"/>
                    </w:rPr>
                    <w:t>Liczba uruchomionych systemów</w:t>
                  </w:r>
                </w:p>
                <w:p w14:paraId="77D0C582" w14:textId="77777777" w:rsidR="00A86EA9" w:rsidRPr="00AA45B2" w:rsidRDefault="00A86EA9" w:rsidP="00A86EA9">
                  <w:pPr>
                    <w:contextualSpacing/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teleinformatycznych w podmiotach wykonujących zadania publiczne</w:t>
                  </w:r>
                </w:p>
              </w:tc>
              <w:tc>
                <w:tcPr>
                  <w:tcW w:w="0" w:type="auto"/>
                </w:tcPr>
                <w:p w14:paraId="1F3615A6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cs="Arial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0" w:type="auto"/>
                </w:tcPr>
                <w:p w14:paraId="78E939DF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0" w:type="auto"/>
                </w:tcPr>
                <w:p w14:paraId="265E2589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04D2C6A0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251A910A" w14:textId="624AA300" w:rsidR="00A86EA9" w:rsidRPr="00590D41" w:rsidRDefault="00A86EA9" w:rsidP="00A86EA9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590D41">
                    <w:rPr>
                      <w:rFonts w:ascii="Arial" w:hAnsi="Arial" w:cs="Arial"/>
                      <w:sz w:val="18"/>
                      <w:szCs w:val="20"/>
                    </w:rPr>
                    <w:t>1</w:t>
                  </w:r>
                </w:p>
              </w:tc>
            </w:tr>
            <w:tr w:rsidR="00A86EA9" w:rsidRPr="002B50C0" w14:paraId="45E04129" w14:textId="77777777" w:rsidTr="00A86EA9">
              <w:tc>
                <w:tcPr>
                  <w:tcW w:w="0" w:type="auto"/>
                </w:tcPr>
                <w:p w14:paraId="79B71834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>3. Liczba pracowników IT podmiotów wykonujących zadania publiczne objętych wsparciem szkoleniowym</w:t>
                  </w:r>
                </w:p>
              </w:tc>
              <w:tc>
                <w:tcPr>
                  <w:tcW w:w="0" w:type="auto"/>
                </w:tcPr>
                <w:p w14:paraId="00286906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osoby</w:t>
                  </w:r>
                </w:p>
              </w:tc>
              <w:tc>
                <w:tcPr>
                  <w:tcW w:w="0" w:type="auto"/>
                </w:tcPr>
                <w:p w14:paraId="2951AE79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0" w:type="auto"/>
                </w:tcPr>
                <w:p w14:paraId="3D9F20A4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1CB3FCC9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3FF57041" w14:textId="1C2FF729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</w:t>
                  </w:r>
                </w:p>
              </w:tc>
            </w:tr>
            <w:tr w:rsidR="00A86EA9" w:rsidRPr="002B50C0" w14:paraId="783E1861" w14:textId="77777777" w:rsidTr="00A86EA9">
              <w:tc>
                <w:tcPr>
                  <w:tcW w:w="0" w:type="auto"/>
                </w:tcPr>
                <w:p w14:paraId="473089AD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>4. Liczba pracowników IT podmiotów wykonujących zadania publiczne objętych wsparciem szkoleniowym – kobiety</w:t>
                  </w:r>
                </w:p>
              </w:tc>
              <w:tc>
                <w:tcPr>
                  <w:tcW w:w="0" w:type="auto"/>
                </w:tcPr>
                <w:p w14:paraId="2C1E8C23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osoby</w:t>
                  </w:r>
                </w:p>
              </w:tc>
              <w:tc>
                <w:tcPr>
                  <w:tcW w:w="0" w:type="auto"/>
                </w:tcPr>
                <w:p w14:paraId="2AF2EFD6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0" w:type="auto"/>
                </w:tcPr>
                <w:p w14:paraId="44E7A568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05C15742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653D3599" w14:textId="13015E6D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A86EA9" w:rsidRPr="002B50C0" w14:paraId="0B76A1DE" w14:textId="77777777" w:rsidTr="00A86EA9">
              <w:tc>
                <w:tcPr>
                  <w:tcW w:w="0" w:type="auto"/>
                </w:tcPr>
                <w:p w14:paraId="013A2D5D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>5. Liczba pracowników IT podmiotów wykonujących zadania publiczne objętych wsparciem szkoleniowym – mężczyźni</w:t>
                  </w:r>
                </w:p>
              </w:tc>
              <w:tc>
                <w:tcPr>
                  <w:tcW w:w="0" w:type="auto"/>
                </w:tcPr>
                <w:p w14:paraId="2FEB0075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osoby</w:t>
                  </w:r>
                </w:p>
              </w:tc>
              <w:tc>
                <w:tcPr>
                  <w:tcW w:w="0" w:type="auto"/>
                </w:tcPr>
                <w:p w14:paraId="657D60C5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0" w:type="auto"/>
                </w:tcPr>
                <w:p w14:paraId="15F649DC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247C4874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4EF44136" w14:textId="54E937E2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</w:tr>
            <w:tr w:rsidR="00A86EA9" w:rsidRPr="002B50C0" w14:paraId="1F579E40" w14:textId="77777777" w:rsidTr="00A86EA9">
              <w:tc>
                <w:tcPr>
                  <w:tcW w:w="0" w:type="auto"/>
                </w:tcPr>
                <w:p w14:paraId="612C6EAE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 xml:space="preserve">6. Liczba pracowników podmiotów wykonujących zadania publiczne nie będących pracownikami IT, </w:t>
                  </w: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lastRenderedPageBreak/>
                    <w:t>objętych wsparciem szkoleniowym</w:t>
                  </w:r>
                </w:p>
              </w:tc>
              <w:tc>
                <w:tcPr>
                  <w:tcW w:w="0" w:type="auto"/>
                </w:tcPr>
                <w:p w14:paraId="009EE96C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lastRenderedPageBreak/>
                    <w:t>osoby</w:t>
                  </w:r>
                </w:p>
              </w:tc>
              <w:tc>
                <w:tcPr>
                  <w:tcW w:w="0" w:type="auto"/>
                </w:tcPr>
                <w:p w14:paraId="6B6D9066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261,00</w:t>
                  </w:r>
                </w:p>
              </w:tc>
              <w:tc>
                <w:tcPr>
                  <w:tcW w:w="0" w:type="auto"/>
                </w:tcPr>
                <w:p w14:paraId="654993C9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52B77FA1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64A815C2" w14:textId="06E6FD7B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261</w:t>
                  </w:r>
                </w:p>
              </w:tc>
            </w:tr>
            <w:tr w:rsidR="00A86EA9" w:rsidRPr="002B50C0" w14:paraId="5FFE943E" w14:textId="77777777" w:rsidTr="00A86EA9">
              <w:trPr>
                <w:trHeight w:val="1319"/>
              </w:trPr>
              <w:tc>
                <w:tcPr>
                  <w:tcW w:w="0" w:type="auto"/>
                </w:tcPr>
                <w:p w14:paraId="7F5ED0DE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>7. Liczba pracowników podmiotów wykonujących zadania publiczne nie będących pracownikami IT, objętych wsparciem szkoleniowym – kobiety</w:t>
                  </w:r>
                </w:p>
              </w:tc>
              <w:tc>
                <w:tcPr>
                  <w:tcW w:w="0" w:type="auto"/>
                </w:tcPr>
                <w:p w14:paraId="737FC9C2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osoby</w:t>
                  </w:r>
                </w:p>
              </w:tc>
              <w:tc>
                <w:tcPr>
                  <w:tcW w:w="0" w:type="auto"/>
                </w:tcPr>
                <w:p w14:paraId="086C1416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183,00</w:t>
                  </w:r>
                </w:p>
              </w:tc>
              <w:tc>
                <w:tcPr>
                  <w:tcW w:w="0" w:type="auto"/>
                </w:tcPr>
                <w:p w14:paraId="354B462B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23CF9F9D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6F2B0227" w14:textId="2750BDDF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183</w:t>
                  </w:r>
                </w:p>
              </w:tc>
            </w:tr>
            <w:tr w:rsidR="00A86EA9" w:rsidRPr="002B50C0" w14:paraId="0AC70BA6" w14:textId="77777777" w:rsidTr="00A86EA9">
              <w:tc>
                <w:tcPr>
                  <w:tcW w:w="0" w:type="auto"/>
                </w:tcPr>
                <w:p w14:paraId="4489F4F3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>8. Liczba pracowników podmiotów wykonujących zadania publiczne nie będących pracownikami IT, objętych wsparciem szkoleniowym – mężczyźni</w:t>
                  </w:r>
                </w:p>
              </w:tc>
              <w:tc>
                <w:tcPr>
                  <w:tcW w:w="0" w:type="auto"/>
                </w:tcPr>
                <w:p w14:paraId="7B86F3BA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osoby</w:t>
                  </w:r>
                </w:p>
              </w:tc>
              <w:tc>
                <w:tcPr>
                  <w:tcW w:w="0" w:type="auto"/>
                </w:tcPr>
                <w:p w14:paraId="03412487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D0735">
                    <w:rPr>
                      <w:rFonts w:ascii="Arial" w:hAnsi="Arial" w:cs="Arial"/>
                      <w:sz w:val="18"/>
                      <w:szCs w:val="18"/>
                    </w:rPr>
                    <w:t>78,00</w:t>
                  </w:r>
                </w:p>
              </w:tc>
              <w:tc>
                <w:tcPr>
                  <w:tcW w:w="0" w:type="auto"/>
                </w:tcPr>
                <w:p w14:paraId="75230F8E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5D18A37D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1544C85B" w14:textId="1DB90982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78</w:t>
                  </w:r>
                </w:p>
              </w:tc>
            </w:tr>
            <w:tr w:rsidR="00A86EA9" w:rsidRPr="002B50C0" w14:paraId="06963ED8" w14:textId="77777777" w:rsidTr="00A86EA9">
              <w:tc>
                <w:tcPr>
                  <w:tcW w:w="0" w:type="auto"/>
                </w:tcPr>
                <w:p w14:paraId="1116A8D0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>9. Liczba podmiotów, które usprawniły funkcjonowanie w zakresie objętym katalogiem rekomendacji dotyczących awansu cyfrowego</w:t>
                  </w:r>
                </w:p>
              </w:tc>
              <w:tc>
                <w:tcPr>
                  <w:tcW w:w="0" w:type="auto"/>
                </w:tcPr>
                <w:p w14:paraId="2D56EE4F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0" w:type="auto"/>
                </w:tcPr>
                <w:p w14:paraId="7B010FC2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0" w:type="auto"/>
                </w:tcPr>
                <w:p w14:paraId="72C6751E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4287F29D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74734E78" w14:textId="6A64FAD7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</w:tc>
            </w:tr>
            <w:tr w:rsidR="00A86EA9" w:rsidRPr="002B50C0" w14:paraId="212E71E8" w14:textId="77777777" w:rsidTr="00A86EA9">
              <w:tc>
                <w:tcPr>
                  <w:tcW w:w="0" w:type="auto"/>
                </w:tcPr>
                <w:p w14:paraId="4CF591A6" w14:textId="77777777" w:rsidR="00A86EA9" w:rsidRPr="00AA45B2" w:rsidRDefault="00A86EA9" w:rsidP="00A86EA9">
                  <w:pPr>
                    <w:pStyle w:val="Tekstpodstawowy2"/>
                    <w:suppressAutoHyphens/>
                    <w:spacing w:after="0" w:line="240" w:lineRule="auto"/>
                    <w:contextualSpacing/>
                    <w:rPr>
                      <w:rFonts w:cs="Arial"/>
                      <w:sz w:val="18"/>
                      <w:szCs w:val="18"/>
                      <w:lang w:eastAsia="pl-PL"/>
                    </w:rPr>
                  </w:pP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t xml:space="preserve">10. Liczba urzędów korzystających z systemu </w:t>
                  </w:r>
                  <w:r w:rsidRPr="00AA45B2">
                    <w:rPr>
                      <w:rFonts w:cs="Arial"/>
                      <w:sz w:val="18"/>
                      <w:szCs w:val="18"/>
                      <w:lang w:eastAsia="pl-PL"/>
                    </w:rPr>
                    <w:br/>
                    <w:t>EZD RP</w:t>
                  </w:r>
                </w:p>
              </w:tc>
              <w:tc>
                <w:tcPr>
                  <w:tcW w:w="0" w:type="auto"/>
                </w:tcPr>
                <w:p w14:paraId="03E17B74" w14:textId="77777777" w:rsidR="00A86EA9" w:rsidRPr="006334BF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sz w:val="18"/>
                      <w:szCs w:val="18"/>
                      <w:lang w:eastAsia="pl-PL"/>
                    </w:rPr>
                    <w:t>szt.</w:t>
                  </w:r>
                </w:p>
              </w:tc>
              <w:tc>
                <w:tcPr>
                  <w:tcW w:w="0" w:type="auto"/>
                </w:tcPr>
                <w:p w14:paraId="7C49C510" w14:textId="77777777" w:rsidR="00A86EA9" w:rsidRPr="009F1DC8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16,00</w:t>
                  </w:r>
                </w:p>
              </w:tc>
              <w:tc>
                <w:tcPr>
                  <w:tcW w:w="0" w:type="auto"/>
                </w:tcPr>
                <w:p w14:paraId="3519F24C" w14:textId="77777777" w:rsidR="00A86EA9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03-2022</w:t>
                  </w:r>
                </w:p>
                <w:p w14:paraId="3F710E46" w14:textId="77777777" w:rsidR="00A86EA9" w:rsidRPr="0042694C" w:rsidRDefault="00A86EA9" w:rsidP="00A86EA9">
                  <w:pP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0" w:type="auto"/>
                </w:tcPr>
                <w:p w14:paraId="6F3D63E6" w14:textId="00FF16C8" w:rsidR="00A86EA9" w:rsidRPr="00141A92" w:rsidRDefault="00A86EA9" w:rsidP="00A86EA9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16</w:t>
                  </w:r>
                </w:p>
              </w:tc>
            </w:tr>
          </w:tbl>
          <w:p w14:paraId="7A6DCD78" w14:textId="77777777" w:rsidR="00A86EA9" w:rsidRDefault="00A86EA9" w:rsidP="001A6E49">
            <w:pPr>
              <w:pStyle w:val="Akapitzlist"/>
              <w:ind w:left="177"/>
              <w:jc w:val="both"/>
              <w:rPr>
                <w:iCs/>
                <w:sz w:val="18"/>
                <w:szCs w:val="20"/>
              </w:rPr>
            </w:pPr>
          </w:p>
          <w:p w14:paraId="667C36B2" w14:textId="24F98F4A" w:rsidR="00AA447C" w:rsidRDefault="00AA447C" w:rsidP="003C755E">
            <w:pPr>
              <w:jc w:val="both"/>
              <w:rPr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Urzędy korzystające z systemu EZD RP to:</w:t>
            </w:r>
          </w:p>
          <w:p w14:paraId="0F78AC76" w14:textId="64AB5074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Ochrony Roślin i Nasiennictwa w Łodzi</w:t>
            </w:r>
          </w:p>
          <w:p w14:paraId="237CD7D4" w14:textId="0442FDC1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Ochrony Roślin i Nasiennictwa w Olsztynie</w:t>
            </w:r>
          </w:p>
          <w:p w14:paraId="077092E5" w14:textId="1747BB98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Wojewódzka Stacja Sanitarno-Epidemiologiczna w Olsztynie</w:t>
            </w:r>
          </w:p>
          <w:p w14:paraId="04C01B7C" w14:textId="3EF5441D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Weterynarii w Olsztynie</w:t>
            </w:r>
          </w:p>
          <w:p w14:paraId="58EB11AD" w14:textId="3D585353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Jakości Handlowej Artykułów Rolno-Spożywczych w Olsztynie</w:t>
            </w:r>
          </w:p>
          <w:p w14:paraId="4D120B70" w14:textId="2CE42311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Inspekcji Handlowej w Olsztynie</w:t>
            </w:r>
          </w:p>
          <w:p w14:paraId="484DAF9D" w14:textId="62A12B87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Nadzoru Budowlanego w Olsztynie</w:t>
            </w:r>
          </w:p>
          <w:p w14:paraId="6756F166" w14:textId="2AF61CC2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Transportu Drogowego w Lublinie</w:t>
            </w:r>
          </w:p>
          <w:p w14:paraId="0D77CE51" w14:textId="4EA86B34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Inspekcji Handlowej w Lublinie</w:t>
            </w:r>
          </w:p>
          <w:p w14:paraId="4832C15B" w14:textId="5C3E8922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Wojewódzka Stacja Sanitarno-Epidemiologiczna w Lublinie</w:t>
            </w:r>
          </w:p>
          <w:p w14:paraId="5E30A848" w14:textId="1E6CC985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Jakości Handlowej Artykułów Rolno-Spożywczych w Lublinie</w:t>
            </w:r>
          </w:p>
          <w:p w14:paraId="0BB4C566" w14:textId="0ED07136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Ochrony Roślin i Nasiennictwa w Gorzowie Wielkopolskim</w:t>
            </w:r>
          </w:p>
          <w:p w14:paraId="31059B78" w14:textId="31572893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Wojewódzki Inspektorat Ochrony Roślin i Nasiennictwa w Kielcach</w:t>
            </w:r>
          </w:p>
          <w:p w14:paraId="3F2A1406" w14:textId="15C180E3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Graniczny Inspektorat Weterynarii w Kuźnicy Białostockiej</w:t>
            </w:r>
          </w:p>
          <w:p w14:paraId="4C4F0451" w14:textId="73D13B3B" w:rsidR="00AA447C" w:rsidRP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Graniczny Inspektorat Weterynarii w Warszawie</w:t>
            </w:r>
          </w:p>
          <w:p w14:paraId="5FC7BA75" w14:textId="326D3845" w:rsidR="00AA447C" w:rsidRDefault="00AA447C" w:rsidP="00AA447C">
            <w:pPr>
              <w:pStyle w:val="Akapitzlist"/>
              <w:numPr>
                <w:ilvl w:val="0"/>
                <w:numId w:val="13"/>
              </w:numPr>
              <w:ind w:left="488"/>
              <w:jc w:val="both"/>
              <w:rPr>
                <w:iCs/>
                <w:sz w:val="18"/>
                <w:szCs w:val="20"/>
              </w:rPr>
            </w:pPr>
            <w:r w:rsidRPr="00AA447C">
              <w:rPr>
                <w:iCs/>
                <w:sz w:val="18"/>
                <w:szCs w:val="20"/>
              </w:rPr>
              <w:t>Podlaski Urząd Wojewódzki w Białymstoku</w:t>
            </w:r>
            <w:r w:rsidR="00892521">
              <w:rPr>
                <w:iCs/>
                <w:sz w:val="18"/>
                <w:szCs w:val="20"/>
              </w:rPr>
              <w:t xml:space="preserve"> – na dzień raportu produkcyjnie </w:t>
            </w:r>
            <w:r w:rsidR="00104294">
              <w:rPr>
                <w:iCs/>
                <w:sz w:val="18"/>
                <w:szCs w:val="20"/>
              </w:rPr>
              <w:t xml:space="preserve">w </w:t>
            </w:r>
            <w:r w:rsidR="00892521">
              <w:rPr>
                <w:iCs/>
                <w:sz w:val="18"/>
                <w:szCs w:val="20"/>
              </w:rPr>
              <w:t xml:space="preserve">Biurze Informatyki i Rozwoju Systemów Teleinformatycznych oraz  Biurze Obsługi Urzędu i Kancelarii Ogólnej PUW, w pozostałych wydziałach pilotażowo przed pełnym  wdrożeniem produkcyjnym planowanym na wrzesień br. </w:t>
            </w:r>
          </w:p>
          <w:p w14:paraId="7DFE64CF" w14:textId="77777777" w:rsidR="00AA447C" w:rsidRPr="00AA447C" w:rsidRDefault="00AA447C" w:rsidP="00AA447C">
            <w:pPr>
              <w:pStyle w:val="Akapitzlist"/>
              <w:ind w:left="488"/>
              <w:jc w:val="both"/>
              <w:rPr>
                <w:iCs/>
                <w:sz w:val="18"/>
                <w:szCs w:val="20"/>
              </w:rPr>
            </w:pPr>
          </w:p>
          <w:p w14:paraId="538C20BB" w14:textId="26034509" w:rsidR="003C755E" w:rsidRDefault="00CB70C6" w:rsidP="003C755E">
            <w:pPr>
              <w:jc w:val="both"/>
              <w:rPr>
                <w:iCs/>
                <w:sz w:val="18"/>
                <w:szCs w:val="20"/>
              </w:rPr>
            </w:pPr>
            <w:r w:rsidRPr="00CB70C6">
              <w:rPr>
                <w:iCs/>
                <w:sz w:val="18"/>
                <w:szCs w:val="20"/>
              </w:rPr>
              <w:t xml:space="preserve">W ramach projektu </w:t>
            </w:r>
            <w:r>
              <w:rPr>
                <w:iCs/>
                <w:sz w:val="18"/>
                <w:szCs w:val="20"/>
              </w:rPr>
              <w:t>powstał</w:t>
            </w:r>
            <w:r w:rsidRPr="00CB70C6">
              <w:rPr>
                <w:iCs/>
                <w:sz w:val="18"/>
                <w:szCs w:val="20"/>
              </w:rPr>
              <w:t xml:space="preserve"> system, który w administracji rządowej będzie standardem de facto, obejmując docelowo setki tysięcy użytkowników końcowych. Realizacja projektu stanowi punkt wyjścia do masowych wdrożeń. </w:t>
            </w:r>
          </w:p>
          <w:p w14:paraId="77B6F59B" w14:textId="77777777" w:rsidR="003C755E" w:rsidRDefault="003C755E" w:rsidP="005A4344">
            <w:pPr>
              <w:jc w:val="both"/>
              <w:rPr>
                <w:iCs/>
                <w:sz w:val="18"/>
                <w:szCs w:val="20"/>
              </w:rPr>
            </w:pPr>
          </w:p>
          <w:p w14:paraId="3E256E98" w14:textId="57B68B64" w:rsidR="00CB70C6" w:rsidRDefault="00CB70C6" w:rsidP="005A4344">
            <w:pPr>
              <w:jc w:val="both"/>
              <w:rPr>
                <w:iCs/>
                <w:sz w:val="18"/>
                <w:szCs w:val="20"/>
              </w:rPr>
            </w:pPr>
            <w:r w:rsidRPr="00CB70C6">
              <w:rPr>
                <w:iCs/>
                <w:sz w:val="18"/>
                <w:szCs w:val="20"/>
              </w:rPr>
              <w:lastRenderedPageBreak/>
              <w:t>Mając na względzie założenia Programu Zintegrowanej Informatyzacji Państwa system EZD-RP będzie (po zakończeniu projektu) dostępny bezpłatnie dla podmiotów realizujących zadania publiczne, zainteresowanych wdrożeniem i dostosowaniem do specyficznych potrzeb we własnym zakresie.</w:t>
            </w:r>
            <w:r>
              <w:rPr>
                <w:iCs/>
                <w:sz w:val="18"/>
                <w:szCs w:val="20"/>
              </w:rPr>
              <w:t xml:space="preserve"> </w:t>
            </w:r>
          </w:p>
          <w:p w14:paraId="110E62BB" w14:textId="008A3E2C" w:rsidR="00453C69" w:rsidRPr="00CB70C6" w:rsidRDefault="00453C69" w:rsidP="00453C69">
            <w:pPr>
              <w:jc w:val="both"/>
              <w:rPr>
                <w:iCs/>
                <w:sz w:val="18"/>
                <w:szCs w:val="20"/>
              </w:rPr>
            </w:pPr>
            <w:r w:rsidRPr="00453C69">
              <w:rPr>
                <w:iCs/>
                <w:sz w:val="18"/>
                <w:szCs w:val="20"/>
              </w:rPr>
              <w:t>Projekt wychodzi także naprzeciw potrzebie ujednolicenia kluczowych systemów i interfejsów zgodnie z modelem cyfryzacji urzędów, zawartym w opracowanym przez ministra właściwego ds. informatyzacji Katalogu Rekomendacji Cyfrowego Urzędu.</w:t>
            </w:r>
          </w:p>
          <w:p w14:paraId="46A5655B" w14:textId="77777777" w:rsidR="003C755E" w:rsidRDefault="003C755E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20007536" w14:textId="77777777" w:rsidR="00453C69" w:rsidRPr="00453C69" w:rsidRDefault="00453C69" w:rsidP="00453C69">
            <w:pPr>
              <w:jc w:val="both"/>
              <w:rPr>
                <w:iCs/>
                <w:sz w:val="18"/>
                <w:szCs w:val="20"/>
              </w:rPr>
            </w:pPr>
            <w:r w:rsidRPr="00453C69">
              <w:rPr>
                <w:iCs/>
                <w:sz w:val="18"/>
                <w:szCs w:val="20"/>
              </w:rPr>
              <w:t>Cele strategiczne, w które wpisuje się projekt:</w:t>
            </w:r>
          </w:p>
          <w:p w14:paraId="4C9D6904" w14:textId="5F9EE9E7" w:rsidR="00453C69" w:rsidRPr="00453C69" w:rsidRDefault="00453C69" w:rsidP="00453C69">
            <w:pPr>
              <w:jc w:val="both"/>
              <w:rPr>
                <w:iCs/>
                <w:sz w:val="18"/>
                <w:szCs w:val="20"/>
              </w:rPr>
            </w:pPr>
            <w:r w:rsidRPr="00453C69">
              <w:rPr>
                <w:iCs/>
                <w:sz w:val="18"/>
                <w:szCs w:val="20"/>
              </w:rPr>
              <w:t>1.</w:t>
            </w:r>
            <w:r w:rsidR="00445461">
              <w:rPr>
                <w:iCs/>
                <w:sz w:val="18"/>
                <w:szCs w:val="20"/>
              </w:rPr>
              <w:t xml:space="preserve"> </w:t>
            </w:r>
            <w:r w:rsidRPr="00453C69">
              <w:rPr>
                <w:iCs/>
                <w:sz w:val="18"/>
                <w:szCs w:val="20"/>
              </w:rPr>
              <w:t>Projekt wychodzi naprzeciw koncepcji usprawnienia państwa za pomocą nowoczesnych rozwiązań, opisanej w Strategii Sprawne Państwo 2020.</w:t>
            </w:r>
          </w:p>
          <w:p w14:paraId="4DD29478" w14:textId="6E802B97" w:rsidR="00453C69" w:rsidRPr="00453C69" w:rsidRDefault="00453C69" w:rsidP="00453C69">
            <w:pPr>
              <w:jc w:val="both"/>
              <w:rPr>
                <w:iCs/>
                <w:sz w:val="18"/>
                <w:szCs w:val="20"/>
              </w:rPr>
            </w:pPr>
            <w:r w:rsidRPr="00453C69">
              <w:rPr>
                <w:iCs/>
                <w:sz w:val="18"/>
                <w:szCs w:val="20"/>
              </w:rPr>
              <w:t>2.</w:t>
            </w:r>
            <w:r w:rsidR="00445461">
              <w:rPr>
                <w:iCs/>
                <w:sz w:val="18"/>
                <w:szCs w:val="20"/>
              </w:rPr>
              <w:t xml:space="preserve"> </w:t>
            </w:r>
            <w:r w:rsidRPr="00453C69">
              <w:rPr>
                <w:iCs/>
                <w:sz w:val="18"/>
                <w:szCs w:val="20"/>
              </w:rPr>
              <w:t xml:space="preserve">Projekt wpisuje się w kierunki interwencji objęte Programem Zintegrowanej Informatyzacji Państwa </w:t>
            </w:r>
          </w:p>
          <w:p w14:paraId="098B6657" w14:textId="0E7A0D90" w:rsidR="00453C69" w:rsidRPr="00453C69" w:rsidRDefault="00453C69" w:rsidP="00453C69">
            <w:pPr>
              <w:jc w:val="both"/>
              <w:rPr>
                <w:iCs/>
                <w:sz w:val="18"/>
                <w:szCs w:val="20"/>
              </w:rPr>
            </w:pPr>
            <w:r w:rsidRPr="00453C69">
              <w:rPr>
                <w:iCs/>
                <w:sz w:val="18"/>
                <w:szCs w:val="20"/>
              </w:rPr>
              <w:t>– sprawny system elektronicznego zarządzania dokumentacją w administracji, realizując jeden z filarów PDMC – system EZD RP.</w:t>
            </w:r>
          </w:p>
          <w:p w14:paraId="37EF999B" w14:textId="399C8CF0" w:rsidR="00453C69" w:rsidRPr="00453C69" w:rsidRDefault="00453C69" w:rsidP="00453C69">
            <w:pPr>
              <w:jc w:val="both"/>
              <w:rPr>
                <w:iCs/>
                <w:sz w:val="18"/>
                <w:szCs w:val="20"/>
              </w:rPr>
            </w:pPr>
            <w:r w:rsidRPr="00453C69">
              <w:rPr>
                <w:iCs/>
                <w:sz w:val="18"/>
                <w:szCs w:val="20"/>
              </w:rPr>
              <w:t>3.</w:t>
            </w:r>
            <w:r w:rsidR="00445461">
              <w:rPr>
                <w:iCs/>
                <w:sz w:val="18"/>
                <w:szCs w:val="20"/>
              </w:rPr>
              <w:t xml:space="preserve"> </w:t>
            </w:r>
            <w:r w:rsidRPr="00453C69">
              <w:rPr>
                <w:iCs/>
                <w:sz w:val="18"/>
                <w:szCs w:val="20"/>
              </w:rPr>
              <w:t xml:space="preserve">Projekt wpisuje się w działanie 2.2 Programu Operacyjnego Polska Cyfrowa na lata 2014-2020, którego celem szczegółowym jest usprawnienie administracji rządowej poprzez cyfryzację procesów </w:t>
            </w:r>
            <w:proofErr w:type="spellStart"/>
            <w:r w:rsidRPr="00453C69">
              <w:rPr>
                <w:iCs/>
                <w:sz w:val="18"/>
                <w:szCs w:val="20"/>
              </w:rPr>
              <w:t>back-office</w:t>
            </w:r>
            <w:proofErr w:type="spellEnd"/>
            <w:r w:rsidRPr="00453C69">
              <w:rPr>
                <w:iCs/>
                <w:sz w:val="18"/>
                <w:szCs w:val="20"/>
              </w:rPr>
              <w:t xml:space="preserve"> w obszarze systemów użytkowych, np. EZD. W ramach projektu EZD RP zosta</w:t>
            </w:r>
            <w:r w:rsidR="00AC6278">
              <w:rPr>
                <w:iCs/>
                <w:sz w:val="18"/>
                <w:szCs w:val="20"/>
              </w:rPr>
              <w:t>ły</w:t>
            </w:r>
            <w:r w:rsidRPr="00453C69">
              <w:rPr>
                <w:iCs/>
                <w:sz w:val="18"/>
                <w:szCs w:val="20"/>
              </w:rPr>
              <w:t xml:space="preserve"> opracowane i wdrożone innowacyjne rozwiązania teleinformatyczne oraz umożliwiona wymiana najlepszych praktyk pomiędzy urzędami.</w:t>
            </w:r>
          </w:p>
          <w:p w14:paraId="1DEC702C" w14:textId="1A3FB504" w:rsidR="00920CE8" w:rsidRPr="002450C4" w:rsidRDefault="00920CE8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644045BC" w14:textId="77777777" w:rsidTr="00920CE8">
        <w:tc>
          <w:tcPr>
            <w:tcW w:w="480" w:type="dxa"/>
          </w:tcPr>
          <w:p w14:paraId="6CFB1F8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8F464F6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3F560F86" w14:textId="70CB0F55" w:rsidR="00307E9F" w:rsidRPr="004E0FF5" w:rsidRDefault="004E0FF5" w:rsidP="00BC120E">
            <w:pPr>
              <w:jc w:val="both"/>
              <w:rPr>
                <w:iCs/>
                <w:sz w:val="18"/>
                <w:szCs w:val="20"/>
              </w:rPr>
            </w:pPr>
            <w:r w:rsidRPr="004E0FF5">
              <w:rPr>
                <w:iCs/>
                <w:sz w:val="18"/>
                <w:szCs w:val="20"/>
              </w:rPr>
              <w:t xml:space="preserve">Istotne ryzyka jakie wystąpiły w projekcie oraz sposób ich </w:t>
            </w:r>
            <w:proofErr w:type="spellStart"/>
            <w:r w:rsidRPr="004E0FF5">
              <w:rPr>
                <w:iCs/>
                <w:sz w:val="18"/>
                <w:szCs w:val="20"/>
              </w:rPr>
              <w:t>mitygacji</w:t>
            </w:r>
            <w:proofErr w:type="spellEnd"/>
            <w:r w:rsidRPr="004E0FF5">
              <w:rPr>
                <w:iCs/>
                <w:sz w:val="18"/>
                <w:szCs w:val="20"/>
              </w:rPr>
              <w:t xml:space="preserve"> </w:t>
            </w:r>
            <w:r w:rsidR="000E1858">
              <w:rPr>
                <w:iCs/>
                <w:sz w:val="18"/>
                <w:szCs w:val="20"/>
              </w:rPr>
              <w:t>lub</w:t>
            </w:r>
            <w:r w:rsidRPr="004E0FF5">
              <w:rPr>
                <w:iCs/>
                <w:sz w:val="18"/>
                <w:szCs w:val="20"/>
              </w:rPr>
              <w:t xml:space="preserve"> reakcji na wystąpienie:</w:t>
            </w:r>
          </w:p>
          <w:p w14:paraId="1CE0BC86" w14:textId="5C23060A" w:rsidR="004E0FF5" w:rsidRDefault="004E0FF5" w:rsidP="00EB68FD">
            <w:pPr>
              <w:pStyle w:val="Akapitzlist"/>
              <w:numPr>
                <w:ilvl w:val="0"/>
                <w:numId w:val="11"/>
              </w:numPr>
              <w:ind w:left="319" w:hanging="142"/>
              <w:jc w:val="both"/>
              <w:rPr>
                <w:iCs/>
                <w:sz w:val="18"/>
                <w:szCs w:val="20"/>
              </w:rPr>
            </w:pPr>
            <w:r w:rsidRPr="00EB68FD">
              <w:rPr>
                <w:iCs/>
                <w:sz w:val="18"/>
                <w:szCs w:val="18"/>
              </w:rPr>
              <w:t>Ograniczone możliwości zaangażowania niektórych jednostek pilotażowych w pilotaż systemu</w:t>
            </w:r>
            <w:r w:rsidR="00EB68FD" w:rsidRPr="00EB68FD">
              <w:rPr>
                <w:iCs/>
                <w:sz w:val="18"/>
                <w:szCs w:val="18"/>
              </w:rPr>
              <w:t xml:space="preserve">, </w:t>
            </w:r>
            <w:r w:rsidRPr="00EB68FD">
              <w:rPr>
                <w:iCs/>
                <w:sz w:val="18"/>
                <w:szCs w:val="18"/>
              </w:rPr>
              <w:t xml:space="preserve">ze względu na </w:t>
            </w:r>
            <w:r w:rsidR="00AC6278" w:rsidRPr="00EB68FD">
              <w:rPr>
                <w:iCs/>
                <w:sz w:val="18"/>
                <w:szCs w:val="18"/>
              </w:rPr>
              <w:t>inne</w:t>
            </w:r>
            <w:r w:rsidR="00AC6278">
              <w:rPr>
                <w:iCs/>
                <w:sz w:val="18"/>
                <w:szCs w:val="18"/>
              </w:rPr>
              <w:t>,</w:t>
            </w:r>
            <w:r w:rsidR="00AC6278" w:rsidRPr="00EB68FD">
              <w:rPr>
                <w:iCs/>
                <w:sz w:val="18"/>
                <w:szCs w:val="18"/>
              </w:rPr>
              <w:t xml:space="preserve"> </w:t>
            </w:r>
            <w:r w:rsidRPr="00EB68FD">
              <w:rPr>
                <w:iCs/>
                <w:sz w:val="18"/>
                <w:szCs w:val="18"/>
              </w:rPr>
              <w:t>priorytetowe obowiązki związane z pandemią COVID-19. Zaplanowano dodatkowe wsparcie, dostosowano się do terminów proponowanych przez jednostki pilotażowe. Zaplanowano i zrealizowano  szkole</w:t>
            </w:r>
            <w:r w:rsidR="00EB68FD" w:rsidRPr="00EB68FD">
              <w:rPr>
                <w:iCs/>
                <w:sz w:val="18"/>
                <w:szCs w:val="18"/>
              </w:rPr>
              <w:t xml:space="preserve">nia </w:t>
            </w:r>
            <w:r w:rsidRPr="00EB68FD">
              <w:rPr>
                <w:iCs/>
                <w:sz w:val="18"/>
                <w:szCs w:val="18"/>
              </w:rPr>
              <w:t>i realiz</w:t>
            </w:r>
            <w:r w:rsidR="00EB68FD" w:rsidRPr="00EB68FD">
              <w:rPr>
                <w:iCs/>
                <w:sz w:val="18"/>
                <w:szCs w:val="18"/>
              </w:rPr>
              <w:t xml:space="preserve">owano </w:t>
            </w:r>
            <w:r w:rsidRPr="00EB68FD">
              <w:rPr>
                <w:iCs/>
                <w:sz w:val="18"/>
                <w:szCs w:val="18"/>
              </w:rPr>
              <w:t>zada</w:t>
            </w:r>
            <w:r w:rsidR="00EB68FD" w:rsidRPr="00EB68FD">
              <w:rPr>
                <w:iCs/>
                <w:sz w:val="18"/>
                <w:szCs w:val="18"/>
              </w:rPr>
              <w:t>nia</w:t>
            </w:r>
            <w:r w:rsidRPr="00EB68FD">
              <w:rPr>
                <w:iCs/>
                <w:sz w:val="18"/>
                <w:szCs w:val="20"/>
              </w:rPr>
              <w:t xml:space="preserve"> w dodatkowych terminach.</w:t>
            </w:r>
          </w:p>
          <w:p w14:paraId="5685FD56" w14:textId="3CC6C6A6" w:rsidR="00EB68FD" w:rsidRDefault="00EB68FD" w:rsidP="00EB68FD">
            <w:pPr>
              <w:pStyle w:val="Akapitzlist"/>
              <w:numPr>
                <w:ilvl w:val="0"/>
                <w:numId w:val="11"/>
              </w:numPr>
              <w:ind w:left="319" w:hanging="142"/>
              <w:jc w:val="both"/>
              <w:rPr>
                <w:iCs/>
                <w:sz w:val="18"/>
                <w:szCs w:val="18"/>
              </w:rPr>
            </w:pPr>
            <w:r w:rsidRPr="000E1858">
              <w:rPr>
                <w:iCs/>
                <w:sz w:val="18"/>
                <w:szCs w:val="18"/>
              </w:rPr>
              <w:t xml:space="preserve">Niestabilne otoczenie techniczne – część systemów planowanych do zintegrowania nadal jest w trakcie realizacji a </w:t>
            </w:r>
            <w:r w:rsidR="000E1858" w:rsidRPr="000E1858">
              <w:rPr>
                <w:iCs/>
                <w:sz w:val="18"/>
                <w:szCs w:val="18"/>
              </w:rPr>
              <w:t>docelowe proces</w:t>
            </w:r>
            <w:r w:rsidR="00AC6278">
              <w:rPr>
                <w:iCs/>
                <w:sz w:val="18"/>
                <w:szCs w:val="18"/>
              </w:rPr>
              <w:t>y</w:t>
            </w:r>
            <w:r w:rsidR="000E1858" w:rsidRPr="000E1858">
              <w:rPr>
                <w:iCs/>
                <w:sz w:val="18"/>
                <w:szCs w:val="18"/>
              </w:rPr>
              <w:t xml:space="preserve"> i interfejsy są </w:t>
            </w:r>
            <w:r w:rsidRPr="000E1858">
              <w:rPr>
                <w:iCs/>
                <w:sz w:val="18"/>
                <w:szCs w:val="18"/>
              </w:rPr>
              <w:t>zmieniane</w:t>
            </w:r>
            <w:r w:rsidR="000E1858" w:rsidRPr="000E1858">
              <w:rPr>
                <w:iCs/>
                <w:sz w:val="18"/>
                <w:szCs w:val="18"/>
              </w:rPr>
              <w:t xml:space="preserve"> - </w:t>
            </w:r>
            <w:r w:rsidRPr="000E1858">
              <w:rPr>
                <w:iCs/>
                <w:sz w:val="18"/>
                <w:szCs w:val="18"/>
              </w:rPr>
              <w:t>Monitorowanie zmian na etapie ich planowania, uzgodnienia z podmiotami planującymi lub dokonującymi modyfikacji. Zastąpienie referencyjności kopiowaniem danych</w:t>
            </w:r>
            <w:r w:rsidR="000E1858" w:rsidRPr="000E1858">
              <w:rPr>
                <w:iCs/>
                <w:sz w:val="18"/>
                <w:szCs w:val="18"/>
              </w:rPr>
              <w:t xml:space="preserve">. </w:t>
            </w:r>
            <w:r w:rsidR="000E1858">
              <w:rPr>
                <w:iCs/>
                <w:sz w:val="18"/>
                <w:szCs w:val="18"/>
              </w:rPr>
              <w:t>C</w:t>
            </w:r>
            <w:r w:rsidRPr="000E1858">
              <w:rPr>
                <w:iCs/>
                <w:sz w:val="18"/>
                <w:szCs w:val="18"/>
              </w:rPr>
              <w:t>zęść zaplanowanych specjalistycznych integracji zostanie zrealizowana w okresie utrzymania i eksploatacji systemu.</w:t>
            </w:r>
          </w:p>
          <w:p w14:paraId="74AD2B3B" w14:textId="53C2FE0A" w:rsidR="004E0FF5" w:rsidRPr="004E0FF5" w:rsidRDefault="000E1858" w:rsidP="000E1858">
            <w:pPr>
              <w:pStyle w:val="Akapitzlist"/>
              <w:numPr>
                <w:ilvl w:val="0"/>
                <w:numId w:val="11"/>
              </w:numPr>
              <w:ind w:left="319" w:hanging="142"/>
              <w:jc w:val="both"/>
              <w:rPr>
                <w:i/>
                <w:sz w:val="18"/>
                <w:szCs w:val="20"/>
              </w:rPr>
            </w:pPr>
            <w:r w:rsidRPr="000E1858">
              <w:rPr>
                <w:iCs/>
                <w:sz w:val="18"/>
                <w:szCs w:val="18"/>
              </w:rPr>
              <w:t>Rotacja personelu uczestniczącego w projekcie</w:t>
            </w:r>
            <w:r>
              <w:rPr>
                <w:iCs/>
                <w:sz w:val="18"/>
                <w:szCs w:val="18"/>
              </w:rPr>
              <w:t xml:space="preserve"> - </w:t>
            </w:r>
            <w:r w:rsidRPr="000E1858">
              <w:rPr>
                <w:iCs/>
                <w:sz w:val="18"/>
                <w:szCs w:val="18"/>
              </w:rPr>
              <w:t>Zapewnienie odpowiedniej liczby pracowników wnioskodawcy zaangażowanych w realizację projektu. Zabezpieczenie w budżecie projektu odpowiednich wydatków na wynagrodzenia osób zaangażowanych w projekt. Odpowiednia motywacja pracowników.</w:t>
            </w:r>
            <w:r>
              <w:rPr>
                <w:iCs/>
                <w:sz w:val="18"/>
                <w:szCs w:val="18"/>
              </w:rPr>
              <w:t xml:space="preserve"> </w:t>
            </w:r>
          </w:p>
          <w:p w14:paraId="32606C5F" w14:textId="77777777" w:rsidR="004E0FF5" w:rsidRPr="004E0FF5" w:rsidRDefault="004E0FF5" w:rsidP="004E0FF5">
            <w:pPr>
              <w:jc w:val="both"/>
              <w:rPr>
                <w:i/>
                <w:sz w:val="18"/>
                <w:szCs w:val="20"/>
              </w:rPr>
            </w:pPr>
          </w:p>
          <w:p w14:paraId="09EA00C7" w14:textId="419CFC64" w:rsidR="004E0FF5" w:rsidRPr="00AC6278" w:rsidRDefault="004E0FF5" w:rsidP="004E0FF5">
            <w:pPr>
              <w:jc w:val="both"/>
              <w:rPr>
                <w:iCs/>
                <w:sz w:val="18"/>
                <w:szCs w:val="20"/>
              </w:rPr>
            </w:pPr>
            <w:r w:rsidRPr="00AC6278">
              <w:rPr>
                <w:iCs/>
                <w:sz w:val="18"/>
                <w:szCs w:val="20"/>
              </w:rPr>
              <w:t>W związku z zakończeniem rzeczowej realizacji projektu – ryzyk</w:t>
            </w:r>
            <w:r w:rsidR="00AC6278">
              <w:rPr>
                <w:iCs/>
                <w:sz w:val="18"/>
                <w:szCs w:val="20"/>
              </w:rPr>
              <w:t>a</w:t>
            </w:r>
            <w:r w:rsidRPr="00AC6278">
              <w:rPr>
                <w:iCs/>
                <w:sz w:val="18"/>
                <w:szCs w:val="20"/>
              </w:rPr>
              <w:t xml:space="preserve"> zamknięte i nieaktywne.</w:t>
            </w:r>
          </w:p>
          <w:p w14:paraId="52D22E1F" w14:textId="19101486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2BBDFA13" w14:textId="77777777" w:rsidTr="00813FEF">
        <w:tc>
          <w:tcPr>
            <w:tcW w:w="480" w:type="dxa"/>
          </w:tcPr>
          <w:p w14:paraId="10C01B69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4E84404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65A55282" w14:textId="2CE8FA10" w:rsidR="0065133B" w:rsidRDefault="0065133B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iCs/>
                <w:sz w:val="18"/>
                <w:szCs w:val="20"/>
              </w:rPr>
              <w:t>Produkty projektu u</w:t>
            </w:r>
            <w:r w:rsidRPr="003C755E">
              <w:rPr>
                <w:iCs/>
                <w:sz w:val="18"/>
                <w:szCs w:val="20"/>
              </w:rPr>
              <w:t>sprawni</w:t>
            </w:r>
            <w:r>
              <w:rPr>
                <w:iCs/>
                <w:sz w:val="18"/>
                <w:szCs w:val="20"/>
              </w:rPr>
              <w:t>ą</w:t>
            </w:r>
            <w:r w:rsidRPr="003C755E">
              <w:rPr>
                <w:iCs/>
                <w:sz w:val="18"/>
                <w:szCs w:val="20"/>
              </w:rPr>
              <w:t xml:space="preserve"> i ustandaryz</w:t>
            </w:r>
            <w:r>
              <w:rPr>
                <w:iCs/>
                <w:sz w:val="18"/>
                <w:szCs w:val="20"/>
              </w:rPr>
              <w:t>ują</w:t>
            </w:r>
            <w:r w:rsidRPr="003C755E">
              <w:rPr>
                <w:iCs/>
                <w:sz w:val="18"/>
                <w:szCs w:val="20"/>
              </w:rPr>
              <w:t xml:space="preserve"> procedur</w:t>
            </w:r>
            <w:r>
              <w:rPr>
                <w:iCs/>
                <w:sz w:val="18"/>
                <w:szCs w:val="20"/>
              </w:rPr>
              <w:t>y</w:t>
            </w:r>
            <w:r w:rsidRPr="003C755E">
              <w:rPr>
                <w:iCs/>
                <w:sz w:val="18"/>
                <w:szCs w:val="20"/>
              </w:rPr>
              <w:t xml:space="preserve"> administracyjn</w:t>
            </w:r>
            <w:r>
              <w:rPr>
                <w:iCs/>
                <w:sz w:val="18"/>
                <w:szCs w:val="20"/>
              </w:rPr>
              <w:t>e</w:t>
            </w:r>
            <w:r w:rsidRPr="003C755E">
              <w:rPr>
                <w:iCs/>
                <w:sz w:val="18"/>
                <w:szCs w:val="20"/>
              </w:rPr>
              <w:t xml:space="preserve">, z których korzystają </w:t>
            </w:r>
            <w:r>
              <w:rPr>
                <w:iCs/>
                <w:sz w:val="18"/>
                <w:szCs w:val="20"/>
              </w:rPr>
              <w:t xml:space="preserve">obywatele i </w:t>
            </w:r>
            <w:r w:rsidRPr="003C755E">
              <w:rPr>
                <w:iCs/>
                <w:sz w:val="18"/>
                <w:szCs w:val="20"/>
              </w:rPr>
              <w:t>przedsiębiorcy. Udostępnienie urzędnikom przez EZD RP zasobów informacyjnych Państwa (gromadzonych w systemach państwowych) odciąży obywateli od przenoszenia tych informacji</w:t>
            </w:r>
            <w:r>
              <w:rPr>
                <w:iCs/>
                <w:sz w:val="18"/>
                <w:szCs w:val="20"/>
              </w:rPr>
              <w:t xml:space="preserve"> </w:t>
            </w:r>
            <w:r w:rsidRPr="003C755E">
              <w:rPr>
                <w:iCs/>
                <w:sz w:val="18"/>
                <w:szCs w:val="20"/>
              </w:rPr>
              <w:t>i dokumentów pomiędzy urzędami. Zwiększenie stopnia cyfryzacji obsługi klientów urzędów spowoduje spadek ponoszonych przez nich kosztów oraz oszczędność czasu, co w konsekwencji doprowadzi do ułatwienia prowadzenia działalności gospodarczej.</w:t>
            </w:r>
            <w:r>
              <w:rPr>
                <w:iCs/>
                <w:sz w:val="18"/>
                <w:szCs w:val="20"/>
              </w:rPr>
              <w:t xml:space="preserve"> </w:t>
            </w:r>
          </w:p>
          <w:p w14:paraId="4D591A1F" w14:textId="77777777" w:rsidR="0065133B" w:rsidRDefault="0065133B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5D3B0EE2" w14:textId="125B22F7" w:rsidR="007E68FD" w:rsidRDefault="007E68FD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W </w:t>
            </w:r>
            <w:r w:rsidR="00AA02E3">
              <w:rPr>
                <w:bCs/>
                <w:iCs/>
                <w:sz w:val="18"/>
                <w:szCs w:val="20"/>
              </w:rPr>
              <w:t>okresie eksploatacji produktów projektu</w:t>
            </w:r>
            <w:r>
              <w:rPr>
                <w:bCs/>
                <w:iCs/>
                <w:sz w:val="18"/>
                <w:szCs w:val="20"/>
              </w:rPr>
              <w:t xml:space="preserve"> raportowane i publikowane będą m.in. wskaźniki:</w:t>
            </w:r>
          </w:p>
          <w:p w14:paraId="6B196A06" w14:textId="1EF38A03" w:rsidR="007E68FD" w:rsidRDefault="007E68FD" w:rsidP="007E68FD">
            <w:pPr>
              <w:pStyle w:val="Akapitzlist"/>
              <w:numPr>
                <w:ilvl w:val="0"/>
                <w:numId w:val="11"/>
              </w:numPr>
              <w:ind w:left="319" w:hanging="14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liczba podmiotów publicznych korzystających z systemu,</w:t>
            </w:r>
          </w:p>
          <w:p w14:paraId="6754CAE3" w14:textId="77777777" w:rsidR="007E68FD" w:rsidRDefault="007E68FD" w:rsidP="007E68FD">
            <w:pPr>
              <w:pStyle w:val="Akapitzlist"/>
              <w:numPr>
                <w:ilvl w:val="0"/>
                <w:numId w:val="11"/>
              </w:numPr>
              <w:ind w:left="319" w:hanging="14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>liczba urzędników administracji publicznej korzystających z systemu,</w:t>
            </w:r>
          </w:p>
          <w:p w14:paraId="000252AF" w14:textId="20827387" w:rsidR="007E68FD" w:rsidRPr="007E68FD" w:rsidRDefault="007E68FD" w:rsidP="007E68FD">
            <w:pPr>
              <w:pStyle w:val="Akapitzlist"/>
              <w:numPr>
                <w:ilvl w:val="0"/>
                <w:numId w:val="11"/>
              </w:numPr>
              <w:ind w:left="319" w:hanging="142"/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liczba obsłużonych zgłoszeń </w:t>
            </w:r>
            <w:r w:rsidR="00AA02E3">
              <w:rPr>
                <w:bCs/>
                <w:iCs/>
                <w:sz w:val="18"/>
                <w:szCs w:val="20"/>
              </w:rPr>
              <w:t>w zakresie wsparcia wdrożeniowego.</w:t>
            </w:r>
          </w:p>
          <w:p w14:paraId="4E263B4E" w14:textId="18F029C1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0D99D28C" w14:textId="77777777" w:rsidTr="00813FEF">
        <w:tc>
          <w:tcPr>
            <w:tcW w:w="480" w:type="dxa"/>
          </w:tcPr>
          <w:p w14:paraId="322F8378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3D360E4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3F5CDF45" w14:textId="242DEF80" w:rsidR="00680E95" w:rsidRPr="00680E95" w:rsidRDefault="00680E95" w:rsidP="00680E95">
            <w:pPr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 xml:space="preserve">Zrealizowano integrację EZD RP z następującymi e-usługami, systemami i rejestrami: </w:t>
            </w:r>
          </w:p>
          <w:p w14:paraId="68EE2B5D" w14:textId="1805866D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>Krajowy Węzeł Identyfikacji Elektronicznej (KWIE); dostawca tożsamości i uwierzytelnianie; eksploatowany;</w:t>
            </w:r>
          </w:p>
          <w:p w14:paraId="14026BB3" w14:textId="215D2808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 xml:space="preserve">Profil Zaufany (PZ) wykorzystanie tzw. podpisu zaufanego; eksploatowany; </w:t>
            </w:r>
          </w:p>
          <w:p w14:paraId="3BEA6E7F" w14:textId="10CD0C2E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proofErr w:type="spellStart"/>
            <w:r w:rsidRPr="00680E95">
              <w:rPr>
                <w:iCs/>
                <w:sz w:val="18"/>
                <w:szCs w:val="18"/>
              </w:rPr>
              <w:t>ePUAP</w:t>
            </w:r>
            <w:proofErr w:type="spellEnd"/>
            <w:r w:rsidRPr="00680E95">
              <w:rPr>
                <w:iCs/>
                <w:sz w:val="18"/>
                <w:szCs w:val="18"/>
              </w:rPr>
              <w:t>: wysyłanie i pobieranie dokumentów w trybie UPP oraz UPD; eksploatowany;</w:t>
            </w:r>
          </w:p>
          <w:p w14:paraId="5F0F1F09" w14:textId="77777777" w:rsidR="00680E95" w:rsidRPr="00680E95" w:rsidRDefault="00680E95" w:rsidP="00680E95">
            <w:pPr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>Do implementacji w ramach dalszego rozwoju i eksploatacji Systemu EZD RP:</w:t>
            </w:r>
          </w:p>
          <w:p w14:paraId="62269773" w14:textId="2B7B1918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 xml:space="preserve">Platforma e-Doręczenia; wymiana dokumentów elektronicznych, wykorzystanie bazy adresów elektronicznych BAE; implementowanie; </w:t>
            </w:r>
          </w:p>
          <w:p w14:paraId="7D8D084A" w14:textId="79A75399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lastRenderedPageBreak/>
              <w:t xml:space="preserve">Platforma Elektronicznego Fakturowania (PEF); przekazywanie faktur; implementowanie; </w:t>
            </w:r>
          </w:p>
          <w:p w14:paraId="26840635" w14:textId="43B18FED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>Platforma e-Zamówienia; wymiana dokumentów; projektowanie;</w:t>
            </w:r>
          </w:p>
          <w:p w14:paraId="31EED487" w14:textId="42B4FCC8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P</w:t>
            </w:r>
            <w:r w:rsidRPr="00680E95">
              <w:rPr>
                <w:iCs/>
                <w:sz w:val="18"/>
                <w:szCs w:val="18"/>
              </w:rPr>
              <w:t>latforma widok.gov.pl; publikacja statystyk z e-usług; implementowanie;</w:t>
            </w:r>
          </w:p>
          <w:p w14:paraId="325C1E81" w14:textId="580B53C8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>Otwarte dane (danepubliczne.gov.pl); publikacja danych publicznych; projektowanie;</w:t>
            </w:r>
          </w:p>
          <w:p w14:paraId="130AFE14" w14:textId="6B0CF0AC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>Archiwum Dokumentów Elektronicznych ADE; przekazywanie archiwalnych dokumentów elektronicznych; implementowanie;</w:t>
            </w:r>
          </w:p>
          <w:p w14:paraId="701324E5" w14:textId="5F0028E6" w:rsidR="00680E95" w:rsidRPr="00680E95" w:rsidRDefault="00680E95" w:rsidP="00680E95">
            <w:pPr>
              <w:pStyle w:val="Akapitzlist"/>
              <w:numPr>
                <w:ilvl w:val="0"/>
                <w:numId w:val="9"/>
              </w:numPr>
              <w:ind w:left="319" w:hanging="284"/>
              <w:jc w:val="both"/>
              <w:rPr>
                <w:iCs/>
                <w:sz w:val="18"/>
                <w:szCs w:val="18"/>
              </w:rPr>
            </w:pPr>
            <w:r w:rsidRPr="00680E95">
              <w:rPr>
                <w:iCs/>
                <w:sz w:val="18"/>
                <w:szCs w:val="18"/>
              </w:rPr>
              <w:t>Katalogi Administracji Publicznej (KAP); wykorzystanie KPP oraz KWD; projektowanie.</w:t>
            </w:r>
          </w:p>
          <w:p w14:paraId="0957EFDE" w14:textId="507E991E" w:rsidR="00F82254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1FD04D5B" w14:textId="77777777" w:rsidTr="00813FEF">
        <w:tc>
          <w:tcPr>
            <w:tcW w:w="480" w:type="dxa"/>
          </w:tcPr>
          <w:p w14:paraId="612EEF7E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0A69C2C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15398140" w14:textId="03F1E1A5" w:rsidR="004108F9" w:rsidRPr="00DA1ED6" w:rsidRDefault="004108F9" w:rsidP="004108F9">
            <w:pPr>
              <w:jc w:val="both"/>
              <w:rPr>
                <w:bCs/>
                <w:iCs/>
                <w:sz w:val="18"/>
                <w:szCs w:val="20"/>
              </w:rPr>
            </w:pPr>
            <w:r w:rsidRPr="004108F9">
              <w:rPr>
                <w:bCs/>
                <w:iCs/>
                <w:sz w:val="18"/>
                <w:szCs w:val="20"/>
              </w:rPr>
              <w:t xml:space="preserve">Utrzymanie i rozwój systemu EZD RP w okresie trwałości zostały uwzględnione przez Wnioskodawcę, a ich finansowanie zostanie zapewnione z budżetu </w:t>
            </w:r>
            <w:r>
              <w:rPr>
                <w:bCs/>
                <w:iCs/>
                <w:sz w:val="18"/>
                <w:szCs w:val="20"/>
              </w:rPr>
              <w:t>Kancelarii Prezesa Rady Ministrów</w:t>
            </w:r>
            <w:r w:rsidRPr="004108F9">
              <w:rPr>
                <w:bCs/>
                <w:iCs/>
                <w:sz w:val="18"/>
                <w:szCs w:val="20"/>
              </w:rPr>
              <w:t xml:space="preserve"> jako jednostki administracji publicznej</w:t>
            </w:r>
            <w:r w:rsidRPr="00DA1ED6">
              <w:rPr>
                <w:bCs/>
                <w:iCs/>
                <w:sz w:val="18"/>
                <w:szCs w:val="20"/>
              </w:rPr>
              <w:t>.</w:t>
            </w:r>
            <w:r w:rsidR="00DA1ED6" w:rsidRPr="00DA1ED6">
              <w:rPr>
                <w:bCs/>
                <w:iCs/>
                <w:sz w:val="18"/>
                <w:szCs w:val="20"/>
              </w:rPr>
              <w:t xml:space="preserve"> W celu utrzymania kompetencji użytkowników i rozwoju systemu EZD RP w okresie trwałości przygotowano odpowiednią strukturę zarządzania.</w:t>
            </w:r>
            <w:r w:rsidR="00DA1ED6">
              <w:rPr>
                <w:bCs/>
                <w:iCs/>
                <w:sz w:val="18"/>
                <w:szCs w:val="20"/>
              </w:rPr>
              <w:t xml:space="preserve"> </w:t>
            </w:r>
            <w:r w:rsidR="00DA1ED6" w:rsidRPr="00DA1ED6">
              <w:rPr>
                <w:bCs/>
                <w:iCs/>
                <w:sz w:val="18"/>
                <w:szCs w:val="20"/>
              </w:rPr>
              <w:t>W skład zespołu utrzymaniowo - wdrożeniowego wchodzić będą osoby merytoryczne oraz techniczne – administratorzy, inżynierowie ds. sieci, bezpieczeństwa chmury, architekci, programiści, analitycy i wdrożeniowcy. Do zadań zespołu należeć będzie pełnienie funkcji Helpdesku oraz zespołu szkoleniowego celem zapewnienia grupom docelowym – użytkownikom systemu właściwą jego eksploatację. Zaplanowane szkolenia oraz materiały szkoleniowe dostosowane będą do poszczególnych grup użytkowników systemu (kierownictwo, pracownicy punktów kancelaryjnych, osoby merytoryczne, administratorzy). W przypadku rozwoju systemu i ewentualnych zmian przepisów prawa materiały dydaktyczne, opracowane w ramach realizacji Projektu będą na bieżąco uzupełniane o opis i sposób zastosowania nowych funkcjonalności</w:t>
            </w:r>
            <w:r w:rsidR="00DA1ED6">
              <w:rPr>
                <w:bCs/>
                <w:iCs/>
                <w:sz w:val="18"/>
                <w:szCs w:val="20"/>
              </w:rPr>
              <w:t>.</w:t>
            </w:r>
          </w:p>
          <w:p w14:paraId="72C2374C" w14:textId="23C50318" w:rsidR="007C54F9" w:rsidRDefault="007C54F9" w:rsidP="007C54F9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D3D41" w:rsidRPr="002450C4" w14:paraId="2FCC01F1" w14:textId="77777777" w:rsidTr="00813FEF">
        <w:tc>
          <w:tcPr>
            <w:tcW w:w="480" w:type="dxa"/>
          </w:tcPr>
          <w:p w14:paraId="15346185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58DED68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7FEDB081" w14:textId="63A10811" w:rsidR="00307E9F" w:rsidRDefault="0065133B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W realizację projektu i uzgodnienie zakresu funkcjonalnego zaangażowano </w:t>
            </w:r>
            <w:r w:rsidR="00081460">
              <w:rPr>
                <w:bCs/>
                <w:iCs/>
                <w:sz w:val="18"/>
                <w:szCs w:val="20"/>
              </w:rPr>
              <w:t xml:space="preserve">od samego początku projektu </w:t>
            </w:r>
            <w:r>
              <w:rPr>
                <w:bCs/>
                <w:iCs/>
                <w:sz w:val="18"/>
                <w:szCs w:val="20"/>
              </w:rPr>
              <w:t xml:space="preserve">liczną grupę interesariuszy reprezentujących docelowych użytkowników. Dzięki temu oraz </w:t>
            </w:r>
            <w:r w:rsidR="00081460">
              <w:rPr>
                <w:bCs/>
                <w:iCs/>
                <w:sz w:val="18"/>
                <w:szCs w:val="20"/>
              </w:rPr>
              <w:t xml:space="preserve">iteracyjnemu rozwijaniu systemu w metodyce zwinnej osiągnięto wysoką użyteczność i funkcjonalność dopasowaną do potrzeb i specyfiki. To kluczowe, aby przy wytwarzaniu systemów i e-usług we współpracę angażować i ewaluować wytwarzane produkty z użytkownikami końcowymi. </w:t>
            </w:r>
          </w:p>
          <w:p w14:paraId="2DA551BA" w14:textId="05174C5F" w:rsidR="00081460" w:rsidRDefault="00081460" w:rsidP="009D3D41">
            <w:pPr>
              <w:jc w:val="both"/>
              <w:rPr>
                <w:bCs/>
                <w:iCs/>
                <w:sz w:val="18"/>
                <w:szCs w:val="20"/>
              </w:rPr>
            </w:pPr>
          </w:p>
          <w:p w14:paraId="54CF74A5" w14:textId="1097E130" w:rsidR="00081460" w:rsidRPr="000E1858" w:rsidRDefault="00081460" w:rsidP="009D3D41">
            <w:pPr>
              <w:jc w:val="both"/>
              <w:rPr>
                <w:bCs/>
                <w:iCs/>
                <w:sz w:val="18"/>
                <w:szCs w:val="20"/>
              </w:rPr>
            </w:pPr>
            <w:r>
              <w:rPr>
                <w:bCs/>
                <w:iCs/>
                <w:sz w:val="18"/>
                <w:szCs w:val="20"/>
              </w:rPr>
              <w:t xml:space="preserve">Przez większość okresu realizacji projektu występowały trudności w uzupełnieniu zespołu projektowego wysokokwalifikowanymi specjalistami, w szczególności na stanowiskach developerów, </w:t>
            </w:r>
            <w:proofErr w:type="spellStart"/>
            <w:r>
              <w:rPr>
                <w:bCs/>
                <w:iCs/>
                <w:sz w:val="18"/>
                <w:szCs w:val="20"/>
              </w:rPr>
              <w:t>devops</w:t>
            </w:r>
            <w:proofErr w:type="spellEnd"/>
            <w:r>
              <w:rPr>
                <w:bCs/>
                <w:iCs/>
                <w:sz w:val="18"/>
                <w:szCs w:val="20"/>
              </w:rPr>
              <w:t xml:space="preserve"> jak i </w:t>
            </w:r>
            <w:r w:rsidR="00583089">
              <w:rPr>
                <w:bCs/>
                <w:iCs/>
                <w:sz w:val="18"/>
                <w:szCs w:val="20"/>
              </w:rPr>
              <w:t>bezpieczeństwa. Wynikało to w dużej mierze z sytuacji na rynku pracy w sektorze IT. Sytuację komplikowały też decyzje o realizacji innych projektów (powodowały konieczność alokowania osób do innych projektów, jak i decyzje biznesowe dotyczące polityki zatrudnienia i wynagrodzeń. Ważne jest, aby cele i budżety priorytetowych projektów nie napotykały barier uniemożliwiających skuteczne rek</w:t>
            </w:r>
            <w:r w:rsidR="00C226BC">
              <w:rPr>
                <w:bCs/>
                <w:iCs/>
                <w:sz w:val="18"/>
                <w:szCs w:val="20"/>
              </w:rPr>
              <w:t>r</w:t>
            </w:r>
            <w:r w:rsidR="00583089">
              <w:rPr>
                <w:bCs/>
                <w:iCs/>
                <w:sz w:val="18"/>
                <w:szCs w:val="20"/>
              </w:rPr>
              <w:t>utacje</w:t>
            </w:r>
            <w:r w:rsidR="00C226BC">
              <w:rPr>
                <w:bCs/>
                <w:iCs/>
                <w:sz w:val="18"/>
                <w:szCs w:val="20"/>
              </w:rPr>
              <w:t>, oraz aby priorytety ustalać w dłuższym horyzoncie czasowym (co pozwoli na stabilne alokowania zatrudnionych specjalistów i efektywną realizację zadań).</w:t>
            </w:r>
          </w:p>
          <w:p w14:paraId="00D96A34" w14:textId="5D7DD214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4073451B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3103B" w14:textId="77777777" w:rsidR="00B926D5" w:rsidRDefault="00B926D5" w:rsidP="00952A40">
      <w:pPr>
        <w:spacing w:after="0" w:line="240" w:lineRule="auto"/>
      </w:pPr>
      <w:r>
        <w:separator/>
      </w:r>
    </w:p>
  </w:endnote>
  <w:endnote w:type="continuationSeparator" w:id="0">
    <w:p w14:paraId="74837C10" w14:textId="77777777" w:rsidR="00B926D5" w:rsidRDefault="00B926D5" w:rsidP="00952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3B076" w14:textId="77777777" w:rsidR="00B926D5" w:rsidRDefault="00B926D5" w:rsidP="00952A40">
      <w:pPr>
        <w:spacing w:after="0" w:line="240" w:lineRule="auto"/>
      </w:pPr>
      <w:r>
        <w:separator/>
      </w:r>
    </w:p>
  </w:footnote>
  <w:footnote w:type="continuationSeparator" w:id="0">
    <w:p w14:paraId="3522306A" w14:textId="77777777" w:rsidR="00B926D5" w:rsidRDefault="00B926D5" w:rsidP="00952A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33F7B"/>
    <w:multiLevelType w:val="hybridMultilevel"/>
    <w:tmpl w:val="128A9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9A755A"/>
    <w:multiLevelType w:val="hybridMultilevel"/>
    <w:tmpl w:val="7088945A"/>
    <w:lvl w:ilvl="0" w:tplc="8FA06BFE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B54578"/>
    <w:multiLevelType w:val="hybridMultilevel"/>
    <w:tmpl w:val="AD6EC5DC"/>
    <w:lvl w:ilvl="0" w:tplc="145C86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601C73"/>
    <w:multiLevelType w:val="hybridMultilevel"/>
    <w:tmpl w:val="DEF0435E"/>
    <w:lvl w:ilvl="0" w:tplc="B1FA58B8">
      <w:start w:val="11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E693C"/>
    <w:multiLevelType w:val="hybridMultilevel"/>
    <w:tmpl w:val="C07E2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00C80"/>
    <w:multiLevelType w:val="hybridMultilevel"/>
    <w:tmpl w:val="92763D90"/>
    <w:lvl w:ilvl="0" w:tplc="145C86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34FF0"/>
    <w:multiLevelType w:val="hybridMultilevel"/>
    <w:tmpl w:val="BE6A8922"/>
    <w:lvl w:ilvl="0" w:tplc="145C86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7"/>
  </w:num>
  <w:num w:numId="6">
    <w:abstractNumId w:val="13"/>
  </w:num>
  <w:num w:numId="7">
    <w:abstractNumId w:val="2"/>
  </w:num>
  <w:num w:numId="8">
    <w:abstractNumId w:val="12"/>
  </w:num>
  <w:num w:numId="9">
    <w:abstractNumId w:val="11"/>
  </w:num>
  <w:num w:numId="10">
    <w:abstractNumId w:val="9"/>
  </w:num>
  <w:num w:numId="11">
    <w:abstractNumId w:val="5"/>
  </w:num>
  <w:num w:numId="12">
    <w:abstractNumId w:val="4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51171"/>
    <w:rsid w:val="00081460"/>
    <w:rsid w:val="000A27DB"/>
    <w:rsid w:val="000D3CA9"/>
    <w:rsid w:val="000E0C6F"/>
    <w:rsid w:val="000E1858"/>
    <w:rsid w:val="00104294"/>
    <w:rsid w:val="001455E8"/>
    <w:rsid w:val="0015440D"/>
    <w:rsid w:val="001600BB"/>
    <w:rsid w:val="001806EC"/>
    <w:rsid w:val="001A6E49"/>
    <w:rsid w:val="001C611C"/>
    <w:rsid w:val="001C6D7D"/>
    <w:rsid w:val="001E75A6"/>
    <w:rsid w:val="0021582D"/>
    <w:rsid w:val="00220013"/>
    <w:rsid w:val="002450C4"/>
    <w:rsid w:val="002A153C"/>
    <w:rsid w:val="002A728C"/>
    <w:rsid w:val="002F2819"/>
    <w:rsid w:val="002F3D8D"/>
    <w:rsid w:val="00307E9F"/>
    <w:rsid w:val="00374FE9"/>
    <w:rsid w:val="0038202B"/>
    <w:rsid w:val="003A136C"/>
    <w:rsid w:val="003A71C7"/>
    <w:rsid w:val="003B107D"/>
    <w:rsid w:val="003B7BD6"/>
    <w:rsid w:val="003C755E"/>
    <w:rsid w:val="003D7919"/>
    <w:rsid w:val="004046DC"/>
    <w:rsid w:val="00404E3D"/>
    <w:rsid w:val="004108F9"/>
    <w:rsid w:val="00414A3B"/>
    <w:rsid w:val="004315C7"/>
    <w:rsid w:val="00445461"/>
    <w:rsid w:val="00453C69"/>
    <w:rsid w:val="004B19FE"/>
    <w:rsid w:val="004D135D"/>
    <w:rsid w:val="004E0FF5"/>
    <w:rsid w:val="0058262E"/>
    <w:rsid w:val="00583089"/>
    <w:rsid w:val="00590D41"/>
    <w:rsid w:val="005A4344"/>
    <w:rsid w:val="005A5008"/>
    <w:rsid w:val="005D4188"/>
    <w:rsid w:val="00632AA0"/>
    <w:rsid w:val="00643672"/>
    <w:rsid w:val="0065133B"/>
    <w:rsid w:val="0066657D"/>
    <w:rsid w:val="00680E95"/>
    <w:rsid w:val="00687AFE"/>
    <w:rsid w:val="006A2D1F"/>
    <w:rsid w:val="006A5AFD"/>
    <w:rsid w:val="006B7454"/>
    <w:rsid w:val="006C4EF1"/>
    <w:rsid w:val="006C6B30"/>
    <w:rsid w:val="006F4871"/>
    <w:rsid w:val="00716201"/>
    <w:rsid w:val="007200FB"/>
    <w:rsid w:val="007408A3"/>
    <w:rsid w:val="00741649"/>
    <w:rsid w:val="00743031"/>
    <w:rsid w:val="007437D9"/>
    <w:rsid w:val="00755F62"/>
    <w:rsid w:val="00773523"/>
    <w:rsid w:val="007A0A3D"/>
    <w:rsid w:val="007C54F9"/>
    <w:rsid w:val="007E2F1F"/>
    <w:rsid w:val="007E6098"/>
    <w:rsid w:val="007E68FD"/>
    <w:rsid w:val="007F63EF"/>
    <w:rsid w:val="00813FEF"/>
    <w:rsid w:val="00814C23"/>
    <w:rsid w:val="008213A6"/>
    <w:rsid w:val="00857CD3"/>
    <w:rsid w:val="008632E4"/>
    <w:rsid w:val="00892521"/>
    <w:rsid w:val="008927DE"/>
    <w:rsid w:val="008E0416"/>
    <w:rsid w:val="008E2308"/>
    <w:rsid w:val="00905779"/>
    <w:rsid w:val="0092099A"/>
    <w:rsid w:val="00920CE8"/>
    <w:rsid w:val="00952A40"/>
    <w:rsid w:val="00982DC4"/>
    <w:rsid w:val="00990E66"/>
    <w:rsid w:val="009D2080"/>
    <w:rsid w:val="009D3D41"/>
    <w:rsid w:val="009E1398"/>
    <w:rsid w:val="00A12836"/>
    <w:rsid w:val="00A1534B"/>
    <w:rsid w:val="00A522AB"/>
    <w:rsid w:val="00A6212F"/>
    <w:rsid w:val="00A6601B"/>
    <w:rsid w:val="00A710B2"/>
    <w:rsid w:val="00A86EA9"/>
    <w:rsid w:val="00AA02E3"/>
    <w:rsid w:val="00AA1C73"/>
    <w:rsid w:val="00AA447C"/>
    <w:rsid w:val="00AC6278"/>
    <w:rsid w:val="00AD3E1B"/>
    <w:rsid w:val="00B06D0F"/>
    <w:rsid w:val="00B33C04"/>
    <w:rsid w:val="00B57299"/>
    <w:rsid w:val="00B926D5"/>
    <w:rsid w:val="00B93735"/>
    <w:rsid w:val="00BC120E"/>
    <w:rsid w:val="00BD44EF"/>
    <w:rsid w:val="00BE0F0A"/>
    <w:rsid w:val="00C226BC"/>
    <w:rsid w:val="00C308F0"/>
    <w:rsid w:val="00C31874"/>
    <w:rsid w:val="00C37A3A"/>
    <w:rsid w:val="00C42446"/>
    <w:rsid w:val="00C546B0"/>
    <w:rsid w:val="00C56B53"/>
    <w:rsid w:val="00C67B9B"/>
    <w:rsid w:val="00C948E6"/>
    <w:rsid w:val="00CA79E4"/>
    <w:rsid w:val="00CB70C6"/>
    <w:rsid w:val="00CF4111"/>
    <w:rsid w:val="00D22A05"/>
    <w:rsid w:val="00D2582C"/>
    <w:rsid w:val="00D64027"/>
    <w:rsid w:val="00D6446A"/>
    <w:rsid w:val="00D65F79"/>
    <w:rsid w:val="00DA1ED6"/>
    <w:rsid w:val="00DB70A5"/>
    <w:rsid w:val="00E01155"/>
    <w:rsid w:val="00E20664"/>
    <w:rsid w:val="00E30008"/>
    <w:rsid w:val="00E42869"/>
    <w:rsid w:val="00E52249"/>
    <w:rsid w:val="00E56599"/>
    <w:rsid w:val="00EB68FD"/>
    <w:rsid w:val="00ED5861"/>
    <w:rsid w:val="00EF094D"/>
    <w:rsid w:val="00EF36B9"/>
    <w:rsid w:val="00F05F53"/>
    <w:rsid w:val="00F32CAA"/>
    <w:rsid w:val="00F741B3"/>
    <w:rsid w:val="00F82254"/>
    <w:rsid w:val="00F836FE"/>
    <w:rsid w:val="00FA1C39"/>
    <w:rsid w:val="00FA2C7F"/>
    <w:rsid w:val="00FA3F41"/>
    <w:rsid w:val="00FD074F"/>
    <w:rsid w:val="00FF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87DCF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Normalny PDST,lp1,Preambuła,HŁ_Bullet1,Akapit z listą1,Akapit z listą5,Akapit normalny,Akapit z listą BS,Kolorowa lista — akcent 11,Podsis rysunku,Dot pt,F5 List Paragraph,Recommendation,List Paragraph11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08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A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A4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A40"/>
    <w:rPr>
      <w:vertAlign w:val="superscript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1 Znak,Akapit z listą5 Znak,Akapit normalny Znak,Akapit z listą BS Znak,Kolorowa lista — akcent 11 Znak,Dot pt Znak"/>
    <w:basedOn w:val="Domylnaczcionkaakapitu"/>
    <w:link w:val="Akapitzlist"/>
    <w:uiPriority w:val="34"/>
    <w:qFormat/>
    <w:locked/>
    <w:rsid w:val="00952A40"/>
  </w:style>
  <w:style w:type="paragraph" w:styleId="Poprawka">
    <w:name w:val="Revision"/>
    <w:hidden/>
    <w:uiPriority w:val="99"/>
    <w:semiHidden/>
    <w:rsid w:val="00E01155"/>
    <w:pPr>
      <w:spacing w:after="0" w:line="240" w:lineRule="auto"/>
    </w:pPr>
  </w:style>
  <w:style w:type="character" w:customStyle="1" w:styleId="Other">
    <w:name w:val="Other_"/>
    <w:basedOn w:val="Domylnaczcionkaakapitu"/>
    <w:link w:val="Other0"/>
    <w:rsid w:val="0022001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220013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220013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220013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220013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86E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86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B2062-06BD-47E3-B090-CDFB1038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2303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Kałużniak Radosław</cp:lastModifiedBy>
  <cp:revision>4</cp:revision>
  <dcterms:created xsi:type="dcterms:W3CDTF">2022-08-03T05:27:00Z</dcterms:created>
  <dcterms:modified xsi:type="dcterms:W3CDTF">2022-08-03T09:41:00Z</dcterms:modified>
</cp:coreProperties>
</file>