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13" w:rsidRPr="004E607A" w:rsidRDefault="00780894" w:rsidP="006125EB">
      <w:pPr>
        <w:framePr w:w="4500" w:h="1553" w:hRule="exact" w:hSpace="180" w:wrap="around" w:vAnchor="text" w:hAnchor="page" w:x="1381" w:y="-29"/>
        <w:tabs>
          <w:tab w:val="left" w:pos="6237"/>
        </w:tabs>
        <w:ind w:left="142" w:right="-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564D13" w:rsidRPr="001C7B5F" w:rsidRDefault="00780894" w:rsidP="006125E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42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564D13" w:rsidRPr="004E65D9" w:rsidRDefault="00780894" w:rsidP="006125EB">
      <w:pPr>
        <w:framePr w:w="4500" w:h="1553" w:hRule="exact" w:hSpace="180" w:wrap="around" w:vAnchor="text" w:hAnchor="page" w:x="1381" w:y="-29"/>
        <w:ind w:left="142"/>
        <w:jc w:val="center"/>
        <w:rPr>
          <w:sz w:val="20"/>
          <w:szCs w:val="20"/>
          <w:u w:val="single"/>
        </w:rPr>
      </w:pPr>
    </w:p>
    <w:p w:rsidR="00564D13" w:rsidRPr="00EE75C1" w:rsidRDefault="00780894" w:rsidP="006125E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42"/>
        <w:rPr>
          <w:b/>
          <w:bCs/>
          <w:color w:val="000000"/>
          <w:sz w:val="20"/>
          <w:szCs w:val="20"/>
        </w:rPr>
      </w:pPr>
    </w:p>
    <w:p w:rsidR="00564D13" w:rsidRPr="00EE75C1" w:rsidRDefault="00780894" w:rsidP="006125E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0"/>
          <w:szCs w:val="20"/>
        </w:rPr>
      </w:pPr>
    </w:p>
    <w:p w:rsidR="00564D13" w:rsidRPr="00EE75C1" w:rsidRDefault="00780894" w:rsidP="006125E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0"/>
          <w:szCs w:val="20"/>
        </w:rPr>
      </w:pPr>
    </w:p>
    <w:p w:rsidR="00564D13" w:rsidRDefault="00780894" w:rsidP="006125EB">
      <w:pPr>
        <w:tabs>
          <w:tab w:val="left" w:pos="6237"/>
        </w:tabs>
        <w:ind w:left="142"/>
      </w:pPr>
      <w:r>
        <w:t xml:space="preserve">                          Warszawa, </w:t>
      </w:r>
      <w:bookmarkStart w:id="0" w:name="ezdDataPodpisu"/>
      <w:r>
        <w:t>19 lipca 2021 r.</w:t>
      </w:r>
      <w:bookmarkEnd w:id="0"/>
    </w:p>
    <w:p w:rsidR="00564D13" w:rsidRDefault="00780894" w:rsidP="006125EB">
      <w:pPr>
        <w:ind w:left="142"/>
      </w:pPr>
    </w:p>
    <w:p w:rsidR="00564D13" w:rsidRDefault="00780894" w:rsidP="006125EB">
      <w:pPr>
        <w:ind w:left="142"/>
      </w:pPr>
    </w:p>
    <w:p w:rsidR="00564D13" w:rsidRDefault="00780894" w:rsidP="006125EB">
      <w:pPr>
        <w:ind w:left="142"/>
      </w:pPr>
    </w:p>
    <w:p w:rsidR="00564D13" w:rsidRDefault="00780894" w:rsidP="006125EB">
      <w:pPr>
        <w:ind w:left="142"/>
      </w:pPr>
    </w:p>
    <w:p w:rsidR="00564D13" w:rsidRPr="00D85864" w:rsidRDefault="00780894" w:rsidP="006125EB">
      <w:pPr>
        <w:spacing w:line="276" w:lineRule="auto"/>
        <w:ind w:left="142"/>
      </w:pPr>
    </w:p>
    <w:p w:rsidR="00564D13" w:rsidRPr="00283966" w:rsidRDefault="00780894" w:rsidP="006125EB">
      <w:pPr>
        <w:spacing w:line="276" w:lineRule="auto"/>
        <w:ind w:left="142"/>
        <w:rPr>
          <w:sz w:val="20"/>
        </w:rPr>
      </w:pPr>
      <w:r>
        <w:rPr>
          <w:sz w:val="20"/>
        </w:rPr>
        <w:t xml:space="preserve">          </w:t>
      </w:r>
      <w:bookmarkStart w:id="1" w:name="_GoBack"/>
      <w:r>
        <w:rPr>
          <w:sz w:val="20"/>
        </w:rPr>
        <w:t>WNP-I.4131.156.</w:t>
      </w:r>
      <w:r w:rsidRPr="00283966">
        <w:rPr>
          <w:sz w:val="20"/>
        </w:rPr>
        <w:t>2021</w:t>
      </w:r>
      <w:r>
        <w:rPr>
          <w:sz w:val="20"/>
        </w:rPr>
        <w:t>.KS</w:t>
      </w:r>
      <w:bookmarkEnd w:id="1"/>
    </w:p>
    <w:p w:rsidR="00564D13" w:rsidRPr="00A433E2" w:rsidRDefault="00780894" w:rsidP="006125EB">
      <w:pPr>
        <w:spacing w:line="276" w:lineRule="auto"/>
        <w:ind w:left="142"/>
        <w:rPr>
          <w:sz w:val="20"/>
        </w:rPr>
      </w:pPr>
    </w:p>
    <w:p w:rsidR="00564D13" w:rsidRPr="00A433E2" w:rsidRDefault="00780894" w:rsidP="006125EB">
      <w:pPr>
        <w:tabs>
          <w:tab w:val="left" w:pos="4095"/>
        </w:tabs>
        <w:spacing w:line="276" w:lineRule="auto"/>
        <w:ind w:left="142"/>
        <w:rPr>
          <w:sz w:val="20"/>
        </w:rPr>
      </w:pPr>
    </w:p>
    <w:p w:rsidR="00564D13" w:rsidRPr="00D114FC" w:rsidRDefault="00780894" w:rsidP="008250E5">
      <w:pPr>
        <w:suppressAutoHyphens/>
        <w:ind w:left="4820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Rada Gminy Długosiodło</w:t>
      </w:r>
    </w:p>
    <w:p w:rsidR="00564D13" w:rsidRDefault="00780894" w:rsidP="008250E5">
      <w:pPr>
        <w:suppressAutoHyphens/>
        <w:ind w:left="4820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ul. Kościuszki 2 </w:t>
      </w:r>
    </w:p>
    <w:p w:rsidR="00564D13" w:rsidRPr="00D114FC" w:rsidRDefault="00780894" w:rsidP="008250E5">
      <w:pPr>
        <w:suppressAutoHyphens/>
        <w:ind w:left="4820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07-210 </w:t>
      </w:r>
      <w:r>
        <w:rPr>
          <w:b/>
          <w:sz w:val="28"/>
          <w:lang w:eastAsia="ar-SA"/>
        </w:rPr>
        <w:t>Długosiodło</w:t>
      </w:r>
    </w:p>
    <w:p w:rsidR="00564D13" w:rsidRDefault="00780894" w:rsidP="006125EB">
      <w:pPr>
        <w:spacing w:line="276" w:lineRule="auto"/>
        <w:ind w:left="142"/>
        <w:jc w:val="both"/>
        <w:rPr>
          <w:i/>
        </w:rPr>
      </w:pPr>
    </w:p>
    <w:p w:rsidR="00564D13" w:rsidRDefault="00780894" w:rsidP="006125EB">
      <w:pPr>
        <w:spacing w:line="276" w:lineRule="auto"/>
        <w:ind w:left="142"/>
        <w:jc w:val="both"/>
        <w:rPr>
          <w:i/>
        </w:rPr>
      </w:pPr>
    </w:p>
    <w:p w:rsidR="00564D13" w:rsidRPr="00283966" w:rsidRDefault="00780894" w:rsidP="006125EB">
      <w:pPr>
        <w:spacing w:line="276" w:lineRule="auto"/>
        <w:ind w:left="142"/>
        <w:jc w:val="both"/>
      </w:pPr>
    </w:p>
    <w:p w:rsidR="00564D13" w:rsidRPr="00D114FC" w:rsidRDefault="00780894" w:rsidP="006125EB">
      <w:pPr>
        <w:spacing w:line="360" w:lineRule="auto"/>
        <w:ind w:left="142"/>
        <w:jc w:val="center"/>
        <w:rPr>
          <w:b/>
        </w:rPr>
      </w:pPr>
      <w:r w:rsidRPr="00D114FC">
        <w:rPr>
          <w:b/>
        </w:rPr>
        <w:t>Rozstrzygnięcie nadzorcze</w:t>
      </w:r>
    </w:p>
    <w:p w:rsidR="00564D13" w:rsidRPr="00D114FC" w:rsidRDefault="00780894" w:rsidP="006125EB">
      <w:pPr>
        <w:spacing w:line="360" w:lineRule="auto"/>
        <w:ind w:left="142"/>
        <w:jc w:val="both"/>
      </w:pPr>
      <w:r w:rsidRPr="00D114FC">
        <w:t xml:space="preserve">Działając na podstawie art. 91 ust. 1, w związku z art. 86 ustawy z dnia 8 marca 1990 r. </w:t>
      </w:r>
      <w:r>
        <w:br/>
        <w:t xml:space="preserve">o samorządzie gminnym (Dz. U. z 2020 </w:t>
      </w:r>
      <w:r w:rsidRPr="00D114FC">
        <w:t xml:space="preserve">r. poz. 713, z </w:t>
      </w:r>
      <w:proofErr w:type="spellStart"/>
      <w:r w:rsidRPr="00D114FC">
        <w:t>późn</w:t>
      </w:r>
      <w:proofErr w:type="spellEnd"/>
      <w:r w:rsidRPr="00D114FC">
        <w:t>. zm.)</w:t>
      </w:r>
    </w:p>
    <w:p w:rsidR="00564D13" w:rsidRPr="00D114FC" w:rsidRDefault="00780894" w:rsidP="006125EB">
      <w:pPr>
        <w:spacing w:line="360" w:lineRule="auto"/>
        <w:ind w:left="142"/>
        <w:jc w:val="center"/>
        <w:rPr>
          <w:b/>
        </w:rPr>
      </w:pPr>
      <w:r w:rsidRPr="00D114FC">
        <w:rPr>
          <w:b/>
        </w:rPr>
        <w:t>stwierdzam nieważność</w:t>
      </w:r>
    </w:p>
    <w:p w:rsidR="00564D13" w:rsidRDefault="00780894" w:rsidP="006125EB">
      <w:pPr>
        <w:spacing w:line="360" w:lineRule="auto"/>
        <w:ind w:left="142"/>
        <w:jc w:val="both"/>
        <w:rPr>
          <w:i/>
        </w:rPr>
      </w:pPr>
      <w:r>
        <w:t>załącznika do uchw</w:t>
      </w:r>
      <w:r>
        <w:t>ały Rady Gminy</w:t>
      </w:r>
      <w:r>
        <w:t xml:space="preserve"> </w:t>
      </w:r>
      <w:r>
        <w:t>Długosiodło Nr XXIV/265/2021 z dnia 18 czerwca</w:t>
      </w:r>
      <w:r>
        <w:t xml:space="preserve"> </w:t>
      </w:r>
      <w:r>
        <w:br/>
      </w:r>
      <w:r>
        <w:t xml:space="preserve">2021 r. </w:t>
      </w:r>
      <w:r w:rsidRPr="00D114FC">
        <w:rPr>
          <w:i/>
        </w:rPr>
        <w:t>w sprawie</w:t>
      </w:r>
      <w:r>
        <w:rPr>
          <w:i/>
        </w:rPr>
        <w:t xml:space="preserve"> </w:t>
      </w:r>
      <w:r>
        <w:rPr>
          <w:i/>
        </w:rPr>
        <w:t>uchwalenia Regulaminu targowisk</w:t>
      </w:r>
      <w:r>
        <w:rPr>
          <w:i/>
        </w:rPr>
        <w:t xml:space="preserve"> </w:t>
      </w:r>
      <w:r>
        <w:rPr>
          <w:i/>
        </w:rPr>
        <w:t>gminnych</w:t>
      </w:r>
      <w:r>
        <w:rPr>
          <w:i/>
        </w:rPr>
        <w:t xml:space="preserve"> </w:t>
      </w:r>
      <w:r>
        <w:rPr>
          <w:b/>
        </w:rPr>
        <w:t>w zakresie § 3</w:t>
      </w:r>
      <w:r>
        <w:rPr>
          <w:b/>
        </w:rPr>
        <w:t xml:space="preserve"> ust. 3</w:t>
      </w:r>
      <w:r>
        <w:rPr>
          <w:b/>
        </w:rPr>
        <w:t xml:space="preserve">, </w:t>
      </w:r>
      <w:r>
        <w:rPr>
          <w:b/>
        </w:rPr>
        <w:br/>
      </w:r>
      <w:r>
        <w:rPr>
          <w:b/>
        </w:rPr>
        <w:t xml:space="preserve">§7 pkt 6 </w:t>
      </w:r>
      <w:r>
        <w:rPr>
          <w:b/>
        </w:rPr>
        <w:t xml:space="preserve">w zakresie sformułowania </w:t>
      </w:r>
      <w:r w:rsidRPr="00D47590">
        <w:rPr>
          <w:b/>
          <w:i/>
        </w:rPr>
        <w:t>,,posiadania przy sobie dokumentów umożliwiających ustalenie tożsamości”</w:t>
      </w:r>
      <w:r>
        <w:rPr>
          <w:b/>
        </w:rPr>
        <w:t xml:space="preserve"> </w:t>
      </w:r>
      <w:r>
        <w:rPr>
          <w:b/>
        </w:rPr>
        <w:t xml:space="preserve">i </w:t>
      </w:r>
      <w:r>
        <w:rPr>
          <w:b/>
        </w:rPr>
        <w:t xml:space="preserve">§ 7 </w:t>
      </w:r>
      <w:r>
        <w:rPr>
          <w:b/>
        </w:rPr>
        <w:t xml:space="preserve">pkt 11 </w:t>
      </w:r>
      <w:r>
        <w:rPr>
          <w:b/>
        </w:rPr>
        <w:t>w zak</w:t>
      </w:r>
      <w:r>
        <w:rPr>
          <w:b/>
        </w:rPr>
        <w:t xml:space="preserve">resie sformułowania </w:t>
      </w:r>
      <w:r>
        <w:rPr>
          <w:b/>
          <w:i/>
        </w:rPr>
        <w:t>,,</w:t>
      </w:r>
      <w:r w:rsidRPr="00D47590">
        <w:rPr>
          <w:b/>
          <w:i/>
        </w:rPr>
        <w:t>adresem zamieszkania”</w:t>
      </w:r>
      <w:r>
        <w:rPr>
          <w:b/>
        </w:rPr>
        <w:t xml:space="preserve"> oraz </w:t>
      </w:r>
      <w:r w:rsidRPr="00D47590">
        <w:rPr>
          <w:b/>
          <w:i/>
        </w:rPr>
        <w:t>,,numerem telefonu do kontaktów”</w:t>
      </w:r>
      <w:r>
        <w:rPr>
          <w:b/>
        </w:rPr>
        <w:t xml:space="preserve"> </w:t>
      </w:r>
      <w:r>
        <w:rPr>
          <w:b/>
        </w:rPr>
        <w:t>.</w:t>
      </w:r>
    </w:p>
    <w:p w:rsidR="00564D13" w:rsidRDefault="00780894" w:rsidP="006125EB">
      <w:pPr>
        <w:spacing w:line="360" w:lineRule="auto"/>
        <w:ind w:left="142"/>
        <w:jc w:val="center"/>
        <w:rPr>
          <w:b/>
        </w:rPr>
      </w:pPr>
      <w:r w:rsidRPr="00BF6A9D">
        <w:rPr>
          <w:b/>
        </w:rPr>
        <w:t>Uzasadnienie</w:t>
      </w:r>
    </w:p>
    <w:p w:rsidR="00564D13" w:rsidRDefault="00780894" w:rsidP="006125EB">
      <w:pPr>
        <w:suppressAutoHyphens/>
        <w:spacing w:line="360" w:lineRule="auto"/>
        <w:ind w:left="142" w:firstLine="708"/>
        <w:jc w:val="both"/>
        <w:rPr>
          <w:rFonts w:eastAsia="Calibri"/>
          <w:bCs/>
          <w:i/>
          <w:iCs/>
          <w:lang w:eastAsia="en-US"/>
        </w:rPr>
      </w:pPr>
      <w:r w:rsidRPr="002F3AE6">
        <w:rPr>
          <w:bCs/>
          <w:lang w:eastAsia="ar-SA"/>
        </w:rPr>
        <w:t xml:space="preserve">Na sesji, która </w:t>
      </w:r>
      <w:r>
        <w:rPr>
          <w:bCs/>
          <w:lang w:eastAsia="ar-SA"/>
        </w:rPr>
        <w:t>odbyła się w dniu 18 czerwca</w:t>
      </w:r>
      <w:r>
        <w:rPr>
          <w:bCs/>
          <w:lang w:eastAsia="ar-SA"/>
        </w:rPr>
        <w:t xml:space="preserve"> 2021 </w:t>
      </w:r>
      <w:r>
        <w:rPr>
          <w:bCs/>
          <w:lang w:eastAsia="ar-SA"/>
        </w:rPr>
        <w:t>r. Rada Gminy Długosiodło</w:t>
      </w:r>
      <w:r w:rsidRPr="002F3AE6">
        <w:rPr>
          <w:bCs/>
          <w:lang w:eastAsia="ar-SA"/>
        </w:rPr>
        <w:t xml:space="preserve"> </w:t>
      </w:r>
      <w:r>
        <w:rPr>
          <w:bCs/>
          <w:lang w:eastAsia="ar-SA"/>
        </w:rPr>
        <w:t>podjęła uchwałę Nr XXIV/265/2021</w:t>
      </w:r>
      <w:r w:rsidRPr="002F3AE6">
        <w:rPr>
          <w:bCs/>
          <w:i/>
          <w:iCs/>
          <w:lang w:eastAsia="ar-SA"/>
        </w:rPr>
        <w:t xml:space="preserve"> w</w:t>
      </w:r>
      <w:r w:rsidRPr="002F3AE6">
        <w:rPr>
          <w:bCs/>
          <w:lang w:eastAsia="ar-SA"/>
        </w:rPr>
        <w:t xml:space="preserve"> </w:t>
      </w:r>
      <w:r w:rsidRPr="002F3AE6">
        <w:rPr>
          <w:bCs/>
          <w:i/>
          <w:iCs/>
          <w:lang w:eastAsia="ar-SA"/>
        </w:rPr>
        <w:t xml:space="preserve">sprawie </w:t>
      </w:r>
      <w:r>
        <w:rPr>
          <w:bCs/>
          <w:i/>
          <w:iCs/>
          <w:lang w:eastAsia="ar-SA"/>
        </w:rPr>
        <w:t xml:space="preserve">uchwalenia </w:t>
      </w:r>
      <w:r>
        <w:rPr>
          <w:rFonts w:eastAsia="Calibri"/>
          <w:bCs/>
          <w:i/>
          <w:iCs/>
          <w:lang w:eastAsia="en-US"/>
        </w:rPr>
        <w:t>R</w:t>
      </w:r>
      <w:r w:rsidRPr="002F3AE6">
        <w:rPr>
          <w:rFonts w:eastAsia="Calibri"/>
          <w:bCs/>
          <w:i/>
          <w:iCs/>
          <w:lang w:eastAsia="en-US"/>
        </w:rPr>
        <w:t xml:space="preserve">egulaminu </w:t>
      </w:r>
      <w:r>
        <w:rPr>
          <w:rFonts w:eastAsia="Calibri"/>
          <w:bCs/>
          <w:i/>
          <w:iCs/>
          <w:lang w:eastAsia="en-US"/>
        </w:rPr>
        <w:t xml:space="preserve">targowisk </w:t>
      </w:r>
      <w:r>
        <w:rPr>
          <w:rFonts w:eastAsia="Calibri"/>
          <w:bCs/>
          <w:i/>
          <w:iCs/>
          <w:lang w:eastAsia="en-US"/>
        </w:rPr>
        <w:t>gminnych.</w:t>
      </w:r>
      <w:r>
        <w:rPr>
          <w:rFonts w:eastAsia="Calibri"/>
          <w:bCs/>
          <w:i/>
          <w:iCs/>
          <w:lang w:eastAsia="en-US"/>
        </w:rPr>
        <w:t xml:space="preserve"> </w:t>
      </w:r>
    </w:p>
    <w:p w:rsidR="00564D13" w:rsidRPr="002F3AE6" w:rsidRDefault="00780894" w:rsidP="006125EB">
      <w:pPr>
        <w:suppressAutoHyphens/>
        <w:spacing w:line="360" w:lineRule="auto"/>
        <w:ind w:left="142" w:firstLine="708"/>
        <w:jc w:val="both"/>
        <w:rPr>
          <w:b/>
          <w:lang w:eastAsia="ar-SA"/>
        </w:rPr>
      </w:pPr>
      <w:r>
        <w:rPr>
          <w:rFonts w:eastAsia="Calibri"/>
          <w:bCs/>
          <w:iCs/>
          <w:lang w:eastAsia="en-US"/>
        </w:rPr>
        <w:t xml:space="preserve">Uchwała została doręczona organowi nadzoru </w:t>
      </w:r>
      <w:r>
        <w:rPr>
          <w:rFonts w:eastAsia="Calibri"/>
          <w:bCs/>
          <w:iCs/>
          <w:lang w:eastAsia="en-US"/>
        </w:rPr>
        <w:t>w dniu 29 czerwca</w:t>
      </w:r>
      <w:r>
        <w:rPr>
          <w:rFonts w:eastAsia="Calibri"/>
          <w:bCs/>
          <w:iCs/>
          <w:lang w:eastAsia="en-US"/>
        </w:rPr>
        <w:t xml:space="preserve"> 2021 r. </w:t>
      </w:r>
    </w:p>
    <w:p w:rsidR="00564D13" w:rsidRDefault="00780894" w:rsidP="006125EB">
      <w:pPr>
        <w:spacing w:line="360" w:lineRule="auto"/>
        <w:ind w:left="142" w:firstLine="708"/>
        <w:jc w:val="both"/>
      </w:pPr>
      <w:r w:rsidRPr="002F3AE6">
        <w:rPr>
          <w:rFonts w:eastAsia="MS Mincho"/>
        </w:rPr>
        <w:t xml:space="preserve">Podstawę prawną skarżonej uchwały stanowi </w:t>
      </w:r>
      <w:r>
        <w:rPr>
          <w:rFonts w:eastAsia="MS Mincho"/>
        </w:rPr>
        <w:t>art. 7 ust. 1 pkt 11, art. 18 ust. 1, art. 40 ust. 1 i 2 pkt 4, ust. 3, art. 41 ust. 1</w:t>
      </w:r>
      <w:r>
        <w:rPr>
          <w:rFonts w:eastAsia="MS Mincho"/>
        </w:rPr>
        <w:t xml:space="preserve"> ustawy</w:t>
      </w:r>
      <w:r w:rsidRPr="00D114FC">
        <w:t xml:space="preserve"> </w:t>
      </w:r>
      <w:r>
        <w:t xml:space="preserve">o samorządzie gminnym, zwanej dalej </w:t>
      </w:r>
      <w:r>
        <w:t>,,</w:t>
      </w:r>
      <w:proofErr w:type="spellStart"/>
      <w:r>
        <w:t>u.s.g</w:t>
      </w:r>
      <w:proofErr w:type="spellEnd"/>
      <w:r>
        <w:t>”.</w:t>
      </w:r>
    </w:p>
    <w:p w:rsidR="00564D13" w:rsidRPr="005E7F72" w:rsidRDefault="00780894" w:rsidP="006125EB">
      <w:pPr>
        <w:spacing w:line="360" w:lineRule="auto"/>
        <w:ind w:left="142" w:firstLine="709"/>
        <w:jc w:val="both"/>
        <w:rPr>
          <w:rFonts w:eastAsiaTheme="minorHAnsi"/>
          <w:shd w:val="clear" w:color="auto" w:fill="FFFFFF"/>
          <w:lang w:eastAsia="en-US"/>
        </w:rPr>
      </w:pPr>
      <w:r w:rsidRPr="001D10C4">
        <w:t xml:space="preserve">Należy wskazać, że zgodnie z art. 7 ust. 1 pkt 11 </w:t>
      </w:r>
      <w:proofErr w:type="spellStart"/>
      <w:r w:rsidRPr="001D10C4">
        <w:t>u.s.g</w:t>
      </w:r>
      <w:proofErr w:type="spellEnd"/>
      <w:r w:rsidRPr="001D10C4">
        <w:t>. zaspokajanie zbiorowych potrzeb wspólnoty należy do zadań własnych gminy. W szczególności zadania własne obejmują sprawy targowisk i hal targowych.</w:t>
      </w:r>
      <w:r w:rsidRPr="001D10C4">
        <w:rPr>
          <w:rFonts w:ascii="Calibri" w:hAnsi="Calibri" w:cs="Calibri"/>
        </w:rPr>
        <w:t xml:space="preserve"> </w:t>
      </w:r>
      <w:r w:rsidRPr="001D10C4">
        <w:t xml:space="preserve">Natomiast </w:t>
      </w:r>
      <w:r>
        <w:t>z</w:t>
      </w:r>
      <w:r w:rsidRPr="00B767B5">
        <w:t>godnie z art. 40 us</w:t>
      </w:r>
      <w:r>
        <w:t xml:space="preserve">t. 1 </w:t>
      </w:r>
      <w:proofErr w:type="spellStart"/>
      <w:r>
        <w:t>u.s.g</w:t>
      </w:r>
      <w:proofErr w:type="spellEnd"/>
      <w:r>
        <w:t>.</w:t>
      </w:r>
      <w:r>
        <w:t xml:space="preserve"> gminie na podstawie </w:t>
      </w:r>
      <w:r w:rsidRPr="00B767B5">
        <w:t xml:space="preserve">upoważnień ustawowych przysługuje prawo stanowienia aktów prawa miejscowego obowiązujących na obszarze gminy. Z kolei zgodnie z dyspozycją art. 40 ust. 2 pkt 4 </w:t>
      </w:r>
      <w:proofErr w:type="spellStart"/>
      <w:r w:rsidRPr="00B767B5">
        <w:t>u.s.g</w:t>
      </w:r>
      <w:proofErr w:type="spellEnd"/>
      <w:r w:rsidRPr="00B767B5">
        <w:t>. na podstawie ww. ustawy organy gminy mogą wydawać akty prawa miejsco</w:t>
      </w:r>
      <w:r w:rsidRPr="00B767B5">
        <w:t xml:space="preserve">wego w zakresie zasad i trybu korzystania z gminnych obiektów i urządzeń użyteczności publicznej. </w:t>
      </w:r>
      <w:r>
        <w:t>Niewątpliwie targowisko</w:t>
      </w:r>
      <w:r w:rsidRPr="00B767B5">
        <w:t xml:space="preserve"> </w:t>
      </w:r>
      <w:r>
        <w:t>miejskie należy</w:t>
      </w:r>
      <w:r w:rsidRPr="00B767B5">
        <w:t xml:space="preserve"> d</w:t>
      </w:r>
      <w:r>
        <w:t>o kategorii obiektów użyteczności publicznej,</w:t>
      </w:r>
      <w:r>
        <w:t xml:space="preserve"> </w:t>
      </w:r>
      <w:r>
        <w:br/>
      </w:r>
      <w:r>
        <w:lastRenderedPageBreak/>
        <w:t>a Gmina Długosiodło</w:t>
      </w:r>
      <w:r>
        <w:t xml:space="preserve"> organiz</w:t>
      </w:r>
      <w:r>
        <w:t>ując na swoim terenie targowiska</w:t>
      </w:r>
      <w:r>
        <w:t xml:space="preserve"> dla mieszk</w:t>
      </w:r>
      <w:r>
        <w:t xml:space="preserve">ańców, realizuje swe zadania z zakresu użyteczności publicznej. Następnie należy podkreślić, że </w:t>
      </w:r>
      <w:r w:rsidRPr="00B767B5">
        <w:rPr>
          <w:rFonts w:eastAsiaTheme="minorHAnsi"/>
          <w:lang w:eastAsia="en-US"/>
        </w:rPr>
        <w:t xml:space="preserve">użyte przez ustawodawcę pojęcie </w:t>
      </w:r>
      <w:r w:rsidRPr="00B767B5">
        <w:rPr>
          <w:rFonts w:eastAsiaTheme="minorHAnsi"/>
          <w:i/>
          <w:lang w:eastAsia="en-US"/>
        </w:rPr>
        <w:t>,,zasady i tryb korzystania”</w:t>
      </w:r>
      <w:r w:rsidRPr="00B767B5">
        <w:rPr>
          <w:rFonts w:eastAsiaTheme="minorHAnsi"/>
          <w:lang w:eastAsia="en-US"/>
        </w:rPr>
        <w:t xml:space="preserve"> zawiera w sobie kompetencję organu stanowiącego gminy do formułowania, w stosunku do obiektów i urządzeń użyteczności publicznej, norm i zasad postępowania. Jednakże należy wskazać, że stanowiąc na podstawie cytowanego przepisu akt prawa miejscowego, orga</w:t>
      </w:r>
      <w:r w:rsidRPr="00B767B5">
        <w:rPr>
          <w:rFonts w:eastAsiaTheme="minorHAnsi"/>
          <w:lang w:eastAsia="en-US"/>
        </w:rPr>
        <w:t xml:space="preserve">n stanowiący gminy jest ograniczony obowiązującym porządkiem prawnym, którego nie może w sposób dowolny naruszać </w:t>
      </w:r>
      <w:r>
        <w:rPr>
          <w:rFonts w:eastAsiaTheme="minorHAnsi"/>
          <w:lang w:eastAsia="en-US"/>
        </w:rPr>
        <w:br/>
        <w:t>l</w:t>
      </w:r>
      <w:r>
        <w:rPr>
          <w:rFonts w:eastAsiaTheme="minorHAnsi"/>
          <w:lang w:eastAsia="en-US"/>
        </w:rPr>
        <w:t>ub modyfikować (wyrok WSA</w:t>
      </w:r>
      <w:r w:rsidRPr="00B767B5">
        <w:rPr>
          <w:rFonts w:eastAsiaTheme="minorHAnsi"/>
          <w:lang w:eastAsia="en-US"/>
        </w:rPr>
        <w:t xml:space="preserve"> w Gorzowie Wielkopolskim z dnia 23 listopada 2017 r. sygn. akt </w:t>
      </w:r>
      <w:hyperlink r:id="rId7" w:history="1">
        <w:r w:rsidRPr="00B767B5">
          <w:rPr>
            <w:rFonts w:eastAsiaTheme="minorHAnsi"/>
            <w:lang w:eastAsia="en-US"/>
          </w:rPr>
          <w:t>II SA/Go 932/17</w:t>
        </w:r>
      </w:hyperlink>
      <w:r w:rsidRPr="00B767B5">
        <w:rPr>
          <w:rFonts w:eastAsiaTheme="minorHAnsi"/>
          <w:lang w:eastAsia="en-US"/>
        </w:rPr>
        <w:t>). Nadt</w:t>
      </w:r>
      <w:r>
        <w:rPr>
          <w:rFonts w:eastAsiaTheme="minorHAnsi"/>
          <w:lang w:eastAsia="en-US"/>
        </w:rPr>
        <w:t>o WSA</w:t>
      </w:r>
      <w:r w:rsidRPr="00B767B5">
        <w:rPr>
          <w:rFonts w:eastAsiaTheme="minorHAnsi"/>
          <w:lang w:eastAsia="en-US"/>
        </w:rPr>
        <w:t xml:space="preserve"> w Gorzowie Wielkopolskim w wyroku z dnia 28 marca 2018 r. sygn. akt </w:t>
      </w:r>
      <w:hyperlink r:id="rId8" w:history="1">
        <w:r w:rsidRPr="00B767B5">
          <w:rPr>
            <w:rFonts w:eastAsiaTheme="minorHAnsi"/>
            <w:lang w:eastAsia="en-US"/>
          </w:rPr>
          <w:t>II SA/Go 97/18</w:t>
        </w:r>
      </w:hyperlink>
      <w:r w:rsidRPr="00B767B5">
        <w:rPr>
          <w:rFonts w:eastAsiaTheme="minorHAnsi"/>
          <w:lang w:eastAsia="en-US"/>
        </w:rPr>
        <w:t xml:space="preserve"> wskazał dodatko</w:t>
      </w:r>
      <w:r w:rsidRPr="00B767B5">
        <w:rPr>
          <w:rFonts w:eastAsiaTheme="minorHAnsi"/>
          <w:lang w:eastAsia="en-US"/>
        </w:rPr>
        <w:t>wo, że: ,,</w:t>
      </w:r>
      <w:r w:rsidRPr="00B767B5">
        <w:rPr>
          <w:rFonts w:eastAsiaTheme="minorHAnsi"/>
          <w:b/>
          <w:i/>
          <w:lang w:eastAsia="en-US"/>
        </w:rPr>
        <w:t xml:space="preserve">Regulaminy wydawane </w:t>
      </w:r>
      <w:r>
        <w:rPr>
          <w:rFonts w:eastAsiaTheme="minorHAnsi"/>
          <w:b/>
          <w:i/>
          <w:lang w:eastAsia="en-US"/>
        </w:rPr>
        <w:br/>
      </w:r>
      <w:r w:rsidRPr="00B767B5">
        <w:rPr>
          <w:rFonts w:eastAsiaTheme="minorHAnsi"/>
          <w:b/>
          <w:i/>
          <w:lang w:eastAsia="en-US"/>
        </w:rPr>
        <w:t xml:space="preserve">na podstawie </w:t>
      </w:r>
      <w:hyperlink r:id="rId9" w:history="1">
        <w:r w:rsidRPr="00B767B5">
          <w:rPr>
            <w:rFonts w:eastAsiaTheme="minorHAnsi"/>
            <w:b/>
            <w:i/>
            <w:lang w:eastAsia="en-US"/>
          </w:rPr>
          <w:t>art. 40 ust. 2 pkt 4</w:t>
        </w:r>
      </w:hyperlink>
      <w:r w:rsidRPr="00B767B5">
        <w:rPr>
          <w:rFonts w:eastAsiaTheme="minorHAnsi"/>
          <w:b/>
          <w:i/>
          <w:lang w:eastAsia="en-US"/>
        </w:rPr>
        <w:t xml:space="preserve"> </w:t>
      </w:r>
      <w:proofErr w:type="spellStart"/>
      <w:r w:rsidRPr="00B767B5">
        <w:rPr>
          <w:rFonts w:eastAsiaTheme="minorHAnsi"/>
          <w:b/>
          <w:i/>
          <w:lang w:eastAsia="en-US"/>
        </w:rPr>
        <w:t>SamGminU</w:t>
      </w:r>
      <w:proofErr w:type="spellEnd"/>
      <w:r w:rsidRPr="00B767B5">
        <w:rPr>
          <w:rFonts w:eastAsiaTheme="minorHAnsi"/>
          <w:b/>
          <w:i/>
          <w:lang w:eastAsia="en-US"/>
        </w:rPr>
        <w:t xml:space="preserve"> nie mogą być utożsamiane z przepisami porządkowymi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 (wyrok NSA z dnia 6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 października 2009 r., sygn. akt I OSK 252/09, </w:t>
      </w:r>
      <w:r>
        <w:rPr>
          <w:rFonts w:eastAsiaTheme="minorHAnsi"/>
          <w:i/>
          <w:color w:val="000000"/>
          <w:shd w:val="clear" w:color="auto" w:fill="FFFFFF"/>
          <w:lang w:eastAsia="en-US"/>
        </w:rPr>
        <w:br/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Ł. Złakowski (w) R. Hauser, Z. Niewiadomski (red), </w:t>
      </w:r>
      <w:proofErr w:type="spellStart"/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>u.s.g</w:t>
      </w:r>
      <w:proofErr w:type="spellEnd"/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. Komentarz, C.H. Beck 2011, </w:t>
      </w:r>
      <w:r>
        <w:rPr>
          <w:rFonts w:eastAsiaTheme="minorHAnsi"/>
          <w:i/>
          <w:color w:val="000000"/>
          <w:shd w:val="clear" w:color="auto" w:fill="FFFFFF"/>
          <w:lang w:eastAsia="en-US"/>
        </w:rPr>
        <w:br/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>s. 438).</w:t>
      </w:r>
      <w:r w:rsidRPr="00B767B5">
        <w:rPr>
          <w:rFonts w:eastAsiaTheme="minorHAnsi"/>
          <w:i/>
          <w:lang w:eastAsia="en-US"/>
        </w:rPr>
        <w:t xml:space="preserve"> Użyte w </w:t>
      </w:r>
      <w:hyperlink r:id="rId10" w:history="1">
        <w:r w:rsidRPr="00B767B5">
          <w:rPr>
            <w:rFonts w:eastAsiaTheme="minorHAnsi"/>
            <w:i/>
            <w:lang w:eastAsia="en-US"/>
          </w:rPr>
          <w:t>art. 40 ust. 2 pkt 4</w:t>
        </w:r>
      </w:hyperlink>
      <w:r w:rsidRPr="00B767B5">
        <w:rPr>
          <w:rFonts w:eastAsiaTheme="minorHAnsi"/>
          <w:i/>
          <w:lang w:eastAsia="en-US"/>
        </w:rPr>
        <w:t xml:space="preserve"> </w:t>
      </w:r>
      <w:proofErr w:type="spellStart"/>
      <w:r w:rsidRPr="00B767B5">
        <w:rPr>
          <w:rFonts w:eastAsiaTheme="minorHAnsi"/>
          <w:i/>
          <w:lang w:eastAsia="en-US"/>
        </w:rPr>
        <w:t>SamGminU</w:t>
      </w:r>
      <w:proofErr w:type="spellEnd"/>
      <w:r w:rsidRPr="00B767B5">
        <w:rPr>
          <w:rFonts w:eastAsiaTheme="minorHAnsi"/>
          <w:i/>
          <w:lang w:eastAsia="en-US"/>
        </w:rPr>
        <w:t xml:space="preserve"> pojęcie ,,zasady i tryb korzystania” zawiera w sobie kompetencję organu stanowiącego gminy do formułowania w stosunku do obiektów </w:t>
      </w:r>
      <w:r>
        <w:rPr>
          <w:rFonts w:eastAsiaTheme="minorHAnsi"/>
          <w:i/>
          <w:lang w:eastAsia="en-US"/>
        </w:rPr>
        <w:br/>
      </w:r>
      <w:r w:rsidRPr="00B767B5">
        <w:rPr>
          <w:rFonts w:eastAsiaTheme="minorHAnsi"/>
          <w:i/>
          <w:lang w:eastAsia="en-US"/>
        </w:rPr>
        <w:t>i urządzeń użyteczności publicznej norm i zasad prawidłowego postępowania, ustalania obo</w:t>
      </w:r>
      <w:r w:rsidRPr="00B767B5">
        <w:rPr>
          <w:rFonts w:eastAsiaTheme="minorHAnsi"/>
          <w:i/>
          <w:lang w:eastAsia="en-US"/>
        </w:rPr>
        <w:t xml:space="preserve">wiązujących reguł zachowania się, określenia ustalonego porządku zachowania </w:t>
      </w:r>
      <w:r>
        <w:rPr>
          <w:rFonts w:eastAsiaTheme="minorHAnsi"/>
          <w:i/>
          <w:lang w:eastAsia="en-US"/>
        </w:rPr>
        <w:br/>
      </w:r>
      <w:r w:rsidRPr="00B767B5">
        <w:rPr>
          <w:rFonts w:eastAsiaTheme="minorHAnsi"/>
          <w:i/>
          <w:lang w:eastAsia="en-US"/>
        </w:rPr>
        <w:t xml:space="preserve">się. Oznacza to w konsekwencji uprawnienie rady gminy do wprowadzenia reguł dotyczących obowiązującego sposobu zachowania się podmiotów, które przebywają na terenach </w:t>
      </w:r>
      <w:r>
        <w:rPr>
          <w:rFonts w:eastAsiaTheme="minorHAnsi"/>
          <w:i/>
          <w:lang w:eastAsia="en-US"/>
        </w:rPr>
        <w:br/>
      </w:r>
      <w:r w:rsidRPr="00B767B5">
        <w:rPr>
          <w:rFonts w:eastAsiaTheme="minorHAnsi"/>
          <w:i/>
          <w:lang w:eastAsia="en-US"/>
        </w:rPr>
        <w:t>lub w obiekt</w:t>
      </w:r>
      <w:r w:rsidRPr="00B767B5">
        <w:rPr>
          <w:rFonts w:eastAsiaTheme="minorHAnsi"/>
          <w:i/>
          <w:lang w:eastAsia="en-US"/>
        </w:rPr>
        <w:t xml:space="preserve">ach o jakich mowa w </w:t>
      </w:r>
      <w:hyperlink r:id="rId11" w:history="1">
        <w:r w:rsidRPr="00B767B5">
          <w:rPr>
            <w:rFonts w:eastAsiaTheme="minorHAnsi"/>
            <w:i/>
            <w:lang w:eastAsia="en-US"/>
          </w:rPr>
          <w:t>art. 40 ust. 2 pkt 4</w:t>
        </w:r>
      </w:hyperlink>
      <w:r w:rsidRPr="00B767B5">
        <w:rPr>
          <w:rFonts w:eastAsiaTheme="minorHAnsi"/>
          <w:i/>
          <w:lang w:eastAsia="en-US"/>
        </w:rPr>
        <w:t xml:space="preserve"> </w:t>
      </w:r>
      <w:proofErr w:type="spellStart"/>
      <w:r w:rsidRPr="00B767B5">
        <w:rPr>
          <w:rFonts w:eastAsiaTheme="minorHAnsi"/>
          <w:i/>
          <w:lang w:eastAsia="en-US"/>
        </w:rPr>
        <w:t>SamGminU</w:t>
      </w:r>
      <w:proofErr w:type="spellEnd"/>
      <w:r w:rsidRPr="00B767B5">
        <w:rPr>
          <w:rFonts w:eastAsiaTheme="minorHAnsi"/>
          <w:i/>
          <w:lang w:eastAsia="en-US"/>
        </w:rPr>
        <w:t xml:space="preserve">. </w:t>
      </w:r>
      <w:r w:rsidRPr="00B767B5">
        <w:rPr>
          <w:rFonts w:eastAsiaTheme="minorHAnsi"/>
          <w:b/>
          <w:i/>
          <w:lang w:eastAsia="en-US"/>
        </w:rPr>
        <w:t>Normy prawa miejscowego muszą bowiem ściśle mieścić się w granicach ustawowej delegacji, któr</w:t>
      </w:r>
      <w:r w:rsidRPr="00B767B5">
        <w:rPr>
          <w:rFonts w:eastAsiaTheme="minorHAnsi"/>
          <w:b/>
          <w:i/>
          <w:lang w:eastAsia="en-US"/>
        </w:rPr>
        <w:t>a w tym przypadku nie upoważnia do odstępstw od przepisów ogólnie obowiązujących.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 Regulacje zawarte </w:t>
      </w:r>
      <w:r>
        <w:rPr>
          <w:rFonts w:eastAsiaTheme="minorHAnsi"/>
          <w:i/>
          <w:color w:val="000000"/>
          <w:shd w:val="clear" w:color="auto" w:fill="FFFFFF"/>
          <w:lang w:eastAsia="en-US"/>
        </w:rPr>
        <w:br/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w akcie prawa miejscowego </w:t>
      </w:r>
      <w:r w:rsidRPr="00B767B5">
        <w:rPr>
          <w:rFonts w:eastAsiaTheme="minorHAnsi"/>
          <w:b/>
          <w:i/>
          <w:color w:val="000000"/>
          <w:shd w:val="clear" w:color="auto" w:fill="FFFFFF"/>
          <w:lang w:eastAsia="en-US"/>
        </w:rPr>
        <w:t>mają na celu jedynie uzupełnienie przepisów powszechnie obowiązujących rangi ustawowej, a zatem nie mogą ich zastępować, tak więc</w:t>
      </w:r>
      <w:r w:rsidRPr="00B767B5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 niedopuszczalne jest dokonywanie powtórzeń przepisów zawartych w aktach wyższej rangi i tym bardziej poddaniu ich jakiejkolwiek modyfikacji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 (por. wyrok</w:t>
      </w:r>
      <w:r>
        <w:rPr>
          <w:rFonts w:eastAsiaTheme="minorHAnsi"/>
          <w:i/>
          <w:color w:val="000000"/>
          <w:shd w:val="clear" w:color="auto" w:fill="FFFFFF"/>
          <w:lang w:eastAsia="en-US"/>
        </w:rPr>
        <w:t xml:space="preserve"> NSA 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>z dnia 8 kwietnia 2008 r., II OSK 370/07)”</w:t>
      </w:r>
      <w:r w:rsidRPr="00B767B5">
        <w:rPr>
          <w:rFonts w:eastAsiaTheme="minorHAnsi"/>
          <w:color w:val="000000"/>
          <w:shd w:val="clear" w:color="auto" w:fill="FFFFFF"/>
          <w:lang w:eastAsia="en-US"/>
        </w:rPr>
        <w:t>.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Powyższą tezę powtórzył </w:t>
      </w:r>
      <w:r>
        <w:rPr>
          <w:shd w:val="clear" w:color="auto" w:fill="FFFFFF"/>
        </w:rPr>
        <w:t>NSA</w:t>
      </w:r>
      <w:r>
        <w:rPr>
          <w:shd w:val="clear" w:color="auto" w:fill="FFFFFF"/>
        </w:rPr>
        <w:t xml:space="preserve"> w</w:t>
      </w:r>
      <w:r w:rsidRPr="005E7F72">
        <w:rPr>
          <w:shd w:val="clear" w:color="auto" w:fill="FFFFFF"/>
        </w:rPr>
        <w:t xml:space="preserve"> wyroku </w:t>
      </w:r>
      <w:r>
        <w:rPr>
          <w:shd w:val="clear" w:color="auto" w:fill="FFFFFF"/>
        </w:rPr>
        <w:t xml:space="preserve">z dnia 25 czerwca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2015 r. sygn. akt II OSK 1333/15, w którym stwierdził, że: </w:t>
      </w:r>
      <w:r w:rsidRPr="005E7F72">
        <w:rPr>
          <w:shd w:val="clear" w:color="auto" w:fill="FFFFFF"/>
        </w:rPr>
        <w:t>„</w:t>
      </w:r>
      <w:r w:rsidRPr="005E7F72">
        <w:rPr>
          <w:i/>
          <w:shd w:val="clear" w:color="auto" w:fill="FFFFFF"/>
        </w:rPr>
        <w:t xml:space="preserve">W utrwalonym orzecznictwie sądowo-administracyjnym uznaje się, że powtórzenie regulacji ustawowych bądź </w:t>
      </w:r>
      <w:r>
        <w:rPr>
          <w:i/>
          <w:shd w:val="clear" w:color="auto" w:fill="FFFFFF"/>
        </w:rPr>
        <w:br/>
      </w:r>
      <w:r w:rsidRPr="005E7F72">
        <w:rPr>
          <w:i/>
          <w:shd w:val="clear" w:color="auto" w:fill="FFFFFF"/>
        </w:rPr>
        <w:t>ich modyfikacja i uzupełnienie przez przepisy gminne jest niezgodne z zasadami legislacji.</w:t>
      </w:r>
      <w:r w:rsidRPr="005E7F72">
        <w:rPr>
          <w:i/>
          <w:shd w:val="clear" w:color="auto" w:fill="FFFFFF"/>
        </w:rPr>
        <w:t xml:space="preserve"> Uchwała rady gminy nie może regulować jeszcze raz tego, co jest już zawarte w obowiązującej ustawie. Taka uchwała, jako istotnie naruszająca prawo, jest nieważna. Zawsze bowiem tego rodzaju powtórzenie jest normatywnie zbędne, gdyż powtarzany przepis już </w:t>
      </w:r>
      <w:r w:rsidRPr="005E7F72">
        <w:rPr>
          <w:i/>
          <w:shd w:val="clear" w:color="auto" w:fill="FFFFFF"/>
        </w:rPr>
        <w:t xml:space="preserve">obowiązuje, </w:t>
      </w:r>
      <w:r>
        <w:rPr>
          <w:i/>
          <w:shd w:val="clear" w:color="auto" w:fill="FFFFFF"/>
        </w:rPr>
        <w:br/>
      </w:r>
      <w:r w:rsidRPr="005E7F72">
        <w:rPr>
          <w:i/>
          <w:shd w:val="clear" w:color="auto" w:fill="FFFFFF"/>
        </w:rPr>
        <w:t xml:space="preserve">jak też jest dezinformujące. Trzeba bowiem liczyć się z tym, że powtórzony przepis będzie </w:t>
      </w:r>
      <w:r w:rsidRPr="005E7F72">
        <w:rPr>
          <w:i/>
          <w:shd w:val="clear" w:color="auto" w:fill="FFFFFF"/>
        </w:rPr>
        <w:lastRenderedPageBreak/>
        <w:t xml:space="preserve">interpretowany w kontekście uchwały, w której go powtórzono, co może prowadzić </w:t>
      </w:r>
      <w:r>
        <w:rPr>
          <w:i/>
          <w:shd w:val="clear" w:color="auto" w:fill="FFFFFF"/>
        </w:rPr>
        <w:br/>
      </w:r>
      <w:r w:rsidRPr="005E7F72">
        <w:rPr>
          <w:i/>
          <w:shd w:val="clear" w:color="auto" w:fill="FFFFFF"/>
        </w:rPr>
        <w:t>do całkowitej lub częściowej zmiany intencji prawodawcy.”</w:t>
      </w:r>
    </w:p>
    <w:p w:rsidR="00564D13" w:rsidRPr="00B767B5" w:rsidRDefault="00780894" w:rsidP="006125EB">
      <w:pPr>
        <w:spacing w:line="360" w:lineRule="auto"/>
        <w:ind w:left="142" w:firstLine="709"/>
        <w:jc w:val="both"/>
      </w:pPr>
      <w:r w:rsidRPr="00B767B5">
        <w:t>Przenosząc powy</w:t>
      </w:r>
      <w:r w:rsidRPr="00B767B5">
        <w:t>ższe na kanwę niniejszej sprawy wskaz</w:t>
      </w:r>
      <w:r>
        <w:t>ać należy na poniżej wymienioną regulację regulaminu, która wydana została</w:t>
      </w:r>
      <w:r w:rsidRPr="00B767B5">
        <w:t xml:space="preserve"> z istotnym naruszeniem prawa.</w:t>
      </w:r>
    </w:p>
    <w:p w:rsidR="00564D13" w:rsidRDefault="00780894" w:rsidP="006125EB">
      <w:pPr>
        <w:suppressAutoHyphens/>
        <w:spacing w:line="360" w:lineRule="auto"/>
        <w:ind w:left="142" w:firstLine="709"/>
        <w:jc w:val="both"/>
        <w:rPr>
          <w:b/>
          <w:i/>
        </w:rPr>
      </w:pPr>
      <w:r>
        <w:t xml:space="preserve">W § 3 ust. 3 Załącznika do uchwały, zwanego dalej „regulaminem”, Rada Gminy postanowiła, że: </w:t>
      </w:r>
      <w:r w:rsidRPr="00D74736">
        <w:rPr>
          <w:b/>
          <w:i/>
        </w:rPr>
        <w:t xml:space="preserve">,, Na targowisku </w:t>
      </w:r>
      <w:r>
        <w:rPr>
          <w:b/>
          <w:i/>
        </w:rPr>
        <w:t>z</w:t>
      </w:r>
      <w:r>
        <w:rPr>
          <w:b/>
          <w:i/>
        </w:rPr>
        <w:t>abr</w:t>
      </w:r>
      <w:r>
        <w:rPr>
          <w:b/>
          <w:i/>
        </w:rPr>
        <w:t>ania się zakłócania spokoju</w:t>
      </w:r>
      <w:r>
        <w:rPr>
          <w:b/>
          <w:i/>
        </w:rPr>
        <w:t xml:space="preserve">, w szczególności poprzez głośne odtwarzanie nagrań. Administrator może nadawać reklamy lub wyrazić zgodę </w:t>
      </w:r>
      <w:r>
        <w:rPr>
          <w:b/>
          <w:i/>
        </w:rPr>
        <w:br/>
      </w:r>
      <w:r>
        <w:rPr>
          <w:b/>
          <w:i/>
        </w:rPr>
        <w:t>na taką formę prowadzenia działalności przez inne podmioty</w:t>
      </w:r>
      <w:r w:rsidRPr="00D74736">
        <w:rPr>
          <w:b/>
          <w:i/>
        </w:rPr>
        <w:t>”.</w:t>
      </w:r>
    </w:p>
    <w:p w:rsidR="00CF1272" w:rsidRPr="001829A3" w:rsidRDefault="00780894" w:rsidP="006125EB">
      <w:pPr>
        <w:spacing w:line="336" w:lineRule="auto"/>
        <w:ind w:left="142" w:firstLine="709"/>
        <w:jc w:val="both"/>
      </w:pPr>
      <w:r w:rsidRPr="001829A3">
        <w:t xml:space="preserve">Należy wskazać, że organ nadzoru podziela </w:t>
      </w:r>
      <w:r>
        <w:t>zakaz zawarty w § 3</w:t>
      </w:r>
      <w:r>
        <w:t xml:space="preserve"> ust. 3</w:t>
      </w:r>
      <w:r w:rsidRPr="001829A3">
        <w:t xml:space="preserve"> regulaminu jednakże należy podkreślić, że </w:t>
      </w:r>
      <w:r w:rsidRPr="001829A3">
        <w:rPr>
          <w:b/>
        </w:rPr>
        <w:t>zarówno obostrzenia, jak i za</w:t>
      </w:r>
      <w:r>
        <w:rPr>
          <w:b/>
        </w:rPr>
        <w:t xml:space="preserve">kazy odnoszące się </w:t>
      </w:r>
      <w:r>
        <w:rPr>
          <w:b/>
        </w:rPr>
        <w:br/>
      </w:r>
      <w:r>
        <w:rPr>
          <w:b/>
        </w:rPr>
        <w:t>do powyższej</w:t>
      </w:r>
      <w:r w:rsidRPr="001829A3">
        <w:rPr>
          <w:b/>
        </w:rPr>
        <w:t xml:space="preserve"> kwestii uregulowane zostały na poziomie ustaw lub odrębnych aktów prawa miejscowego</w:t>
      </w:r>
      <w:r w:rsidRPr="001829A3">
        <w:t>.</w:t>
      </w:r>
    </w:p>
    <w:p w:rsidR="00CF1272" w:rsidRPr="001829A3" w:rsidRDefault="00780894" w:rsidP="006125EB">
      <w:pPr>
        <w:spacing w:line="336" w:lineRule="auto"/>
        <w:ind w:left="142" w:firstLine="851"/>
        <w:jc w:val="both"/>
      </w:pPr>
      <w:r w:rsidRPr="001829A3">
        <w:t>Wobec powyższego uznać należy, że Ra</w:t>
      </w:r>
      <w:r>
        <w:t>da</w:t>
      </w:r>
      <w:r>
        <w:t xml:space="preserve"> Gminy</w:t>
      </w:r>
      <w:r>
        <w:t xml:space="preserve">, wprowadzając </w:t>
      </w:r>
      <w:r>
        <w:t>w § 3 ust. 3</w:t>
      </w:r>
      <w:r w:rsidRPr="001829A3">
        <w:t xml:space="preserve"> regulaminu zakaz </w:t>
      </w:r>
      <w:r>
        <w:t>zakłócania spokoju, w szczególności poprzez głośne odtwarzanie nagrań</w:t>
      </w:r>
      <w:r>
        <w:t>,</w:t>
      </w:r>
      <w:r w:rsidRPr="001829A3">
        <w:t xml:space="preserve"> przekroczyła delegację ustawową i zmodyfikowała wymogi ustaw szczególnych.</w:t>
      </w:r>
    </w:p>
    <w:p w:rsidR="00CF1272" w:rsidRDefault="00780894" w:rsidP="006125EB">
      <w:pPr>
        <w:spacing w:line="360" w:lineRule="auto"/>
        <w:ind w:left="142" w:firstLine="709"/>
        <w:jc w:val="both"/>
      </w:pPr>
      <w:r w:rsidRPr="001829A3">
        <w:t>Odnosząc się do ustaleni</w:t>
      </w:r>
      <w:r>
        <w:t xml:space="preserve">a Rady </w:t>
      </w:r>
      <w:r>
        <w:t xml:space="preserve">Gminy </w:t>
      </w:r>
      <w:r>
        <w:t>zawartego w § 3 ust. 3</w:t>
      </w:r>
      <w:r w:rsidRPr="001829A3">
        <w:t xml:space="preserve"> regulaminu organ nad</w:t>
      </w:r>
      <w:r w:rsidRPr="001829A3">
        <w:t xml:space="preserve">zoru wskazuje, że kwestia </w:t>
      </w:r>
      <w:r>
        <w:t>zakłócania porządku i spokoju</w:t>
      </w:r>
      <w:r w:rsidRPr="001829A3">
        <w:t xml:space="preserve"> została </w:t>
      </w:r>
      <w:r>
        <w:t xml:space="preserve">uregulowania </w:t>
      </w:r>
      <w:r>
        <w:t xml:space="preserve">ustawie </w:t>
      </w:r>
      <w:r>
        <w:br/>
        <w:t xml:space="preserve">z dnia </w:t>
      </w:r>
      <w:r>
        <w:t>20 maja 1971 r. Kodeks</w:t>
      </w:r>
      <w:r w:rsidRPr="001829A3">
        <w:t xml:space="preserve"> wykroczeń</w:t>
      </w:r>
      <w:r>
        <w:t xml:space="preserve"> (Dz. U. z 2021 r. poz. 281, z </w:t>
      </w:r>
      <w:proofErr w:type="spellStart"/>
      <w:r>
        <w:t>późn</w:t>
      </w:r>
      <w:proofErr w:type="spellEnd"/>
      <w:r>
        <w:t>. zm.).</w:t>
      </w:r>
      <w:r w:rsidRPr="001829A3">
        <w:t xml:space="preserve"> </w:t>
      </w:r>
    </w:p>
    <w:p w:rsidR="00FB2309" w:rsidRDefault="00780894" w:rsidP="006125EB">
      <w:pPr>
        <w:spacing w:line="360" w:lineRule="auto"/>
        <w:ind w:left="142" w:firstLine="709"/>
        <w:jc w:val="both"/>
        <w:rPr>
          <w:rStyle w:val="Teksttreci2"/>
          <w:rFonts w:ascii="Times New Roman" w:hAnsi="Times New Roman" w:cs="Times New Roman"/>
          <w:color w:val="000000"/>
        </w:rPr>
      </w:pPr>
      <w:r w:rsidRPr="00CF1272">
        <w:rPr>
          <w:rStyle w:val="Teksttreci2"/>
          <w:rFonts w:ascii="Times New Roman" w:hAnsi="Times New Roman" w:cs="Times New Roman"/>
          <w:color w:val="000000"/>
        </w:rPr>
        <w:t>Zgodnie z art. 51 § 1 Kodeksu wykroczeń, kto krzykiem, hałasem, alarmem lub innym wybry</w:t>
      </w:r>
      <w:r w:rsidRPr="00CF1272">
        <w:rPr>
          <w:rStyle w:val="Teksttreci2"/>
          <w:rFonts w:ascii="Times New Roman" w:hAnsi="Times New Roman" w:cs="Times New Roman"/>
          <w:color w:val="000000"/>
        </w:rPr>
        <w:t>kiem zakłóca spokój, porządek publiczny, spoczynek nocny albo wywołuje zgorszenie w miejscu publicznym, podlega karze aresztu, ograniczenia wolności albo grzywny.</w:t>
      </w:r>
    </w:p>
    <w:p w:rsidR="005E3110" w:rsidRPr="00CF1272" w:rsidRDefault="00780894" w:rsidP="006125EB">
      <w:pPr>
        <w:spacing w:line="360" w:lineRule="auto"/>
        <w:ind w:left="142" w:firstLine="709"/>
        <w:jc w:val="both"/>
      </w:pPr>
      <w:r>
        <w:rPr>
          <w:rStyle w:val="Teksttreci2"/>
          <w:rFonts w:ascii="Times New Roman" w:hAnsi="Times New Roman" w:cs="Times New Roman"/>
          <w:color w:val="000000"/>
        </w:rPr>
        <w:t xml:space="preserve">Natomiast zgodnie z art. 107 Kodeksu wykroczeń, kto w celu dokuczenia innej osobie złośliwie </w:t>
      </w:r>
      <w:r>
        <w:rPr>
          <w:rStyle w:val="Teksttreci2"/>
          <w:rFonts w:ascii="Times New Roman" w:hAnsi="Times New Roman" w:cs="Times New Roman"/>
          <w:color w:val="000000"/>
        </w:rPr>
        <w:t>wprowadza ją w błąd lub w inny sposób złośliwie niepokoi, podlega karze ograniczenia wolności, grzywny do 1500 zł albo karze nagany.</w:t>
      </w:r>
    </w:p>
    <w:p w:rsidR="00E8771A" w:rsidRPr="001829A3" w:rsidRDefault="00780894" w:rsidP="006125EB">
      <w:pPr>
        <w:spacing w:line="360" w:lineRule="auto"/>
        <w:ind w:left="142" w:firstLine="708"/>
        <w:jc w:val="both"/>
      </w:pPr>
      <w:r w:rsidRPr="001829A3">
        <w:t>Brak jest zatem delegacji do</w:t>
      </w:r>
      <w:r>
        <w:t xml:space="preserve"> wprowadzenia przez Radę Gminy</w:t>
      </w:r>
      <w:r w:rsidRPr="001829A3">
        <w:t xml:space="preserve"> zakazu w tym przedmiocie w niniejszym regulaminie. </w:t>
      </w:r>
    </w:p>
    <w:p w:rsidR="00FB2309" w:rsidRDefault="00780894" w:rsidP="006125EB">
      <w:pPr>
        <w:suppressAutoHyphens/>
        <w:spacing w:line="360" w:lineRule="auto"/>
        <w:ind w:left="142" w:firstLine="709"/>
        <w:jc w:val="both"/>
      </w:pPr>
      <w:r w:rsidRPr="005E3110">
        <w:t xml:space="preserve">Następnie </w:t>
      </w:r>
      <w:r>
        <w:t xml:space="preserve">w </w:t>
      </w:r>
      <w:r>
        <w:t xml:space="preserve">§ 7 pkt 6 </w:t>
      </w:r>
      <w:r>
        <w:t xml:space="preserve">regulaminu </w:t>
      </w:r>
      <w:r>
        <w:t>Rada Gminy postanowiła, że osoby prowadzące handel na</w:t>
      </w:r>
      <w:r>
        <w:t xml:space="preserve"> targowisku zobowiązane są do ,,</w:t>
      </w:r>
      <w:r w:rsidRPr="005E3110">
        <w:rPr>
          <w:b/>
          <w:i/>
        </w:rPr>
        <w:t xml:space="preserve">posiadania przy sobie dokumentów umożliwiających ustalenie tożsamości </w:t>
      </w:r>
      <w:r>
        <w:rPr>
          <w:b/>
          <w:i/>
        </w:rPr>
        <w:t>oraz innych dokumentów umożliwiających określenie legalności prowadzonej działal</w:t>
      </w:r>
      <w:r>
        <w:rPr>
          <w:b/>
          <w:i/>
        </w:rPr>
        <w:t>ności handlowej</w:t>
      </w:r>
      <w:r>
        <w:t>”.</w:t>
      </w:r>
    </w:p>
    <w:p w:rsidR="00682082" w:rsidRPr="0044289E" w:rsidRDefault="00780894" w:rsidP="006125EB">
      <w:pPr>
        <w:suppressAutoHyphens/>
        <w:spacing w:line="360" w:lineRule="auto"/>
        <w:ind w:left="142" w:firstLine="709"/>
        <w:jc w:val="both"/>
      </w:pPr>
      <w:r w:rsidRPr="0072494D">
        <w:t xml:space="preserve">W ocenie organu nadzoru </w:t>
      </w:r>
      <w:r w:rsidRPr="0072494D">
        <w:t xml:space="preserve">o ile zasadnym i mieszczącym się w ramach upoważnienia ustawowego wynikającego z </w:t>
      </w:r>
      <w:hyperlink r:id="rId12" w:history="1">
        <w:r w:rsidRPr="0072494D">
          <w:rPr>
            <w:rStyle w:val="Hipercze"/>
            <w:color w:val="auto"/>
            <w:u w:val="none"/>
          </w:rPr>
          <w:t>art. 40 ust. 2 pkt 4</w:t>
        </w:r>
      </w:hyperlink>
      <w:r w:rsidRPr="0072494D">
        <w:t xml:space="preserve"> </w:t>
      </w:r>
      <w:proofErr w:type="spellStart"/>
      <w:r w:rsidRPr="0072494D">
        <w:t>u.s.g</w:t>
      </w:r>
      <w:proofErr w:type="spellEnd"/>
      <w:r w:rsidRPr="0072494D">
        <w:t xml:space="preserve">., jest nałożenie na podmioty handlujące na targowisku obowiązku posiadania dokumentu uprawniającego do przebywania na jego obszarze i dokonywania w jego obrębie określonych czynności handlowych i usługowych </w:t>
      </w:r>
      <w:r w:rsidRPr="0072494D">
        <w:lastRenderedPageBreak/>
        <w:t>(dowód uiszczenia opłaty targowej), o tyle</w:t>
      </w:r>
      <w:r w:rsidRPr="0072494D">
        <w:rPr>
          <w:sz w:val="21"/>
          <w:szCs w:val="21"/>
        </w:rPr>
        <w:t xml:space="preserve"> </w:t>
      </w:r>
      <w:r>
        <w:t>rada g</w:t>
      </w:r>
      <w:r>
        <w:t>miny nie posiada upowa</w:t>
      </w:r>
      <w:r>
        <w:t xml:space="preserve">żnienia ustawowego </w:t>
      </w:r>
      <w:r>
        <w:br/>
        <w:t xml:space="preserve">do wprowadzenia obowiązku posiadania przy sobie dokumentów umożliwiających ustalenie tożsamości osoby prowadzącej handel na targowisku. </w:t>
      </w:r>
      <w:r w:rsidRPr="0044289E">
        <w:t>Należy wskazać, że p</w:t>
      </w:r>
      <w:r w:rsidRPr="0044289E">
        <w:t xml:space="preserve">rawo </w:t>
      </w:r>
      <w:r>
        <w:br/>
      </w:r>
      <w:r w:rsidRPr="0044289E">
        <w:t xml:space="preserve">do legitymowania osób w celu ustalenia ich </w:t>
      </w:r>
      <w:r w:rsidRPr="0044289E">
        <w:rPr>
          <w:rStyle w:val="highlight"/>
        </w:rPr>
        <w:t>to</w:t>
      </w:r>
      <w:r w:rsidRPr="0044289E">
        <w:rPr>
          <w:rStyle w:val="highlight"/>
        </w:rPr>
        <w:t>żsamości</w:t>
      </w:r>
      <w:r w:rsidRPr="0044289E">
        <w:t xml:space="preserve"> wynika z przepisów regulujących działalność właściwych organów. Prawo to posiadają </w:t>
      </w:r>
      <w:r w:rsidRPr="0044289E">
        <w:t xml:space="preserve">np. </w:t>
      </w:r>
      <w:r>
        <w:t>policjanci czy strażnicy gminni (miejscy</w:t>
      </w:r>
      <w:r w:rsidRPr="00C35688">
        <w:t>)</w:t>
      </w:r>
      <w:r w:rsidRPr="00C35688">
        <w:t>.</w:t>
      </w:r>
      <w:r w:rsidRPr="00C35688">
        <w:t xml:space="preserve"> </w:t>
      </w:r>
      <w:r w:rsidRPr="0044289E">
        <w:t xml:space="preserve">Okazania odpowiedniego dokumentu w celu ustalenia </w:t>
      </w:r>
      <w:r w:rsidRPr="0044289E">
        <w:rPr>
          <w:rStyle w:val="highlight"/>
        </w:rPr>
        <w:t>tożsamości</w:t>
      </w:r>
      <w:r w:rsidRPr="0044289E">
        <w:t xml:space="preserve"> osoby mogą również żądać przedstawiciele instytucji (np.</w:t>
      </w:r>
      <w:r w:rsidRPr="0044289E">
        <w:t xml:space="preserve"> urzędnik bankowy, pracownik poczty, kontroler komunikacji miejskiej) przy ściśle określonych czynnościach</w:t>
      </w:r>
      <w:r>
        <w:t xml:space="preserve"> służbowych</w:t>
      </w:r>
      <w:r w:rsidRPr="0044289E">
        <w:t>.</w:t>
      </w:r>
      <w:r>
        <w:t xml:space="preserve"> </w:t>
      </w:r>
      <w:r w:rsidRPr="0044289E">
        <w:t>Żadne jednak przepisy nie przewidują obowiązku posiadania dokumentu tożsamości w ogóle przez osoby, które ukończyły 18 lat. Odrębną kwest</w:t>
      </w:r>
      <w:r w:rsidRPr="0044289E">
        <w:t>ią jest ustalenie tożsamości osoby na podstawie oświadczenia ustnego, o czym stanowi art. 65 Kodeksu wykroczeń.</w:t>
      </w:r>
    </w:p>
    <w:p w:rsidR="00682082" w:rsidRDefault="00780894" w:rsidP="006125EB">
      <w:pPr>
        <w:spacing w:line="336" w:lineRule="auto"/>
        <w:ind w:left="142" w:firstLine="708"/>
        <w:jc w:val="both"/>
        <w:rPr>
          <w:i/>
        </w:rPr>
      </w:pPr>
      <w:r w:rsidRPr="0044289E">
        <w:t>Stanowisko organu nadzoru podzielił WSA w Warszawie w wyroku z dnia 4 grudnia 2020 r. sygn. akt II SA/</w:t>
      </w:r>
      <w:proofErr w:type="spellStart"/>
      <w:r w:rsidRPr="0044289E">
        <w:t>Wa</w:t>
      </w:r>
      <w:proofErr w:type="spellEnd"/>
      <w:r w:rsidRPr="0044289E">
        <w:t xml:space="preserve"> 1008/20, k</w:t>
      </w:r>
      <w:r w:rsidRPr="0044289E">
        <w:t>tóry stwierdził, że</w:t>
      </w:r>
      <w:r w:rsidRPr="0044289E">
        <w:t>:</w:t>
      </w:r>
      <w:r w:rsidRPr="0044289E">
        <w:t xml:space="preserve"> </w:t>
      </w:r>
      <w:r w:rsidRPr="0044289E">
        <w:t>,,</w:t>
      </w:r>
      <w:r w:rsidRPr="0044289E">
        <w:rPr>
          <w:i/>
        </w:rPr>
        <w:t>Sąd po</w:t>
      </w:r>
      <w:r w:rsidRPr="0044289E">
        <w:rPr>
          <w:i/>
        </w:rPr>
        <w:t>dziela natomiast zarzuty podniesione w stosunku do § 6 pkt 1 (obowiązek posiadania przy sobie przez osoby handlujące dowodu</w:t>
      </w:r>
      <w:r w:rsidRPr="0044289E">
        <w:rPr>
          <w:i/>
        </w:rPr>
        <w:t xml:space="preserve">) (…). </w:t>
      </w:r>
      <w:r w:rsidRPr="005F52CA">
        <w:rPr>
          <w:b/>
          <w:i/>
        </w:rPr>
        <w:t>Nie ma również dostatecznego prawnego uzasadnienia nałożenie na osoby prowadzące handel na targowisku obowiązku posiadania prz</w:t>
      </w:r>
      <w:r w:rsidRPr="005F52CA">
        <w:rPr>
          <w:b/>
          <w:i/>
        </w:rPr>
        <w:t xml:space="preserve">y sobie dowodu </w:t>
      </w:r>
      <w:r w:rsidRPr="005F52CA">
        <w:rPr>
          <w:rStyle w:val="highlight"/>
          <w:b/>
          <w:i/>
        </w:rPr>
        <w:t>tożsamości</w:t>
      </w:r>
      <w:r w:rsidRPr="0044289E">
        <w:rPr>
          <w:i/>
        </w:rPr>
        <w:t>. Uznając nawet to wymaganie za uzasadnione, np. z punktu widzenia kontroli legalności czynności handlowych prowadzonych na targowisku, należy zakwalifikować ten obowiązek również do materii ustawowej”.</w:t>
      </w:r>
    </w:p>
    <w:p w:rsidR="0046444C" w:rsidRDefault="00780894" w:rsidP="006125EB">
      <w:pPr>
        <w:spacing w:line="336" w:lineRule="auto"/>
        <w:ind w:left="142" w:firstLine="708"/>
        <w:jc w:val="both"/>
        <w:rPr>
          <w:b/>
          <w:i/>
        </w:rPr>
      </w:pPr>
      <w:r>
        <w:t>Następnie</w:t>
      </w:r>
      <w:r>
        <w:t xml:space="preserve"> </w:t>
      </w:r>
      <w:r>
        <w:t>w § 7 pkt 11</w:t>
      </w:r>
      <w:r>
        <w:t xml:space="preserve"> regulaminu Rada Gminy zobowiązała </w:t>
      </w:r>
      <w:r>
        <w:t>osob</w:t>
      </w:r>
      <w:r>
        <w:t xml:space="preserve">y </w:t>
      </w:r>
      <w:r>
        <w:t>prowadzące hande</w:t>
      </w:r>
      <w:r>
        <w:t>l</w:t>
      </w:r>
      <w:r>
        <w:t xml:space="preserve"> na targowisku do </w:t>
      </w:r>
      <w:r w:rsidRPr="000A5A99">
        <w:rPr>
          <w:b/>
          <w:i/>
        </w:rPr>
        <w:t>,,oznaczenia stoiska handlowego imieniem i nazwiskiem lub nazw</w:t>
      </w:r>
      <w:r>
        <w:rPr>
          <w:b/>
          <w:i/>
        </w:rPr>
        <w:t>ą firmy prowadzącej sprzedaż praz</w:t>
      </w:r>
      <w:r w:rsidRPr="000A5A99">
        <w:rPr>
          <w:b/>
          <w:i/>
        </w:rPr>
        <w:t xml:space="preserve"> adresem zamieszkania lub adresem siedziby, a także numerem telefonu do kontaktów”</w:t>
      </w:r>
      <w:r>
        <w:rPr>
          <w:b/>
          <w:i/>
        </w:rPr>
        <w:t xml:space="preserve">. </w:t>
      </w:r>
    </w:p>
    <w:p w:rsidR="00197999" w:rsidRDefault="00780894" w:rsidP="006125EB">
      <w:pPr>
        <w:spacing w:line="360" w:lineRule="auto"/>
        <w:ind w:left="142" w:firstLine="708"/>
        <w:jc w:val="both"/>
      </w:pPr>
      <w:r>
        <w:t>W ocenie organu nadzoru, konieczność podania przez osobę prowadzącą</w:t>
      </w:r>
      <w:r>
        <w:t xml:space="preserve"> handel </w:t>
      </w:r>
      <w:r>
        <w:br/>
      </w:r>
      <w:r>
        <w:t xml:space="preserve">na targowisku </w:t>
      </w:r>
      <w:r>
        <w:t>adresu zamieszkania oraz numeru telefonu jako danych niezbędnych</w:t>
      </w:r>
      <w:r>
        <w:t xml:space="preserve">, </w:t>
      </w:r>
      <w:r>
        <w:br/>
      </w:r>
      <w:r>
        <w:t>nie wynika wprost z żadnych przepisów prawa stanowiąc</w:t>
      </w:r>
      <w:r>
        <w:t xml:space="preserve">ego podstawę dla przetwarzania </w:t>
      </w:r>
      <w:r>
        <w:t>tych danych.</w:t>
      </w:r>
    </w:p>
    <w:p w:rsidR="007B0A3F" w:rsidRDefault="00780894" w:rsidP="007B0A3F">
      <w:pPr>
        <w:spacing w:line="360" w:lineRule="auto"/>
        <w:ind w:left="142" w:firstLine="709"/>
        <w:jc w:val="both"/>
      </w:pPr>
      <w:r w:rsidRPr="00CE6C44">
        <w:t xml:space="preserve">Zgodnie z </w:t>
      </w:r>
      <w:hyperlink r:id="rId13" w:anchor="/document/68636690?unitId=art(6)ust(1)lit(c)&amp;cm=DOCUMENT" w:history="1">
        <w:r w:rsidRPr="00CE6C44">
          <w:rPr>
            <w:rStyle w:val="Hipercze"/>
            <w:color w:val="auto"/>
            <w:u w:val="none"/>
          </w:rPr>
          <w:t>art. 6 ust. 1 lit. c</w:t>
        </w:r>
      </w:hyperlink>
      <w:r w:rsidRPr="00CE6C44">
        <w:t xml:space="preserve"> i </w:t>
      </w:r>
      <w:hyperlink r:id="rId14" w:anchor="/document/68636690?unitId=art(6)ust(1)lit(e)&amp;cm=DOCUMENT" w:history="1">
        <w:r w:rsidRPr="00CE6C44">
          <w:rPr>
            <w:rStyle w:val="Hipercze"/>
            <w:color w:val="auto"/>
            <w:u w:val="none"/>
          </w:rPr>
          <w:t>e</w:t>
        </w:r>
      </w:hyperlink>
      <w:r w:rsidRPr="00CE6C44">
        <w:t xml:space="preserve"> oraz </w:t>
      </w:r>
      <w:hyperlink r:id="rId15" w:anchor="/document/68636690?unitId=art(6)ust(3)&amp;cm=DOCUMENT" w:history="1">
        <w:r w:rsidRPr="00CE6C44">
          <w:rPr>
            <w:rStyle w:val="Hipercze"/>
            <w:color w:val="auto"/>
            <w:u w:val="none"/>
          </w:rPr>
          <w:t>ust. 3</w:t>
        </w:r>
      </w:hyperlink>
      <w:r w:rsidRPr="00CE6C44">
        <w:t xml:space="preserve"> rozporządzenia Parlamentu Europejskiego </w:t>
      </w:r>
      <w:r w:rsidRPr="00CE6C44">
        <w:br/>
        <w:t xml:space="preserve">i Rady (UE) 2016/679 z dnia 27 kwietnia 2016 r. w sprawie ochrony osób fizycznych </w:t>
      </w:r>
      <w:r>
        <w:br/>
      </w:r>
      <w:r w:rsidRPr="00CE6C44">
        <w:t>w związku z przetwarzaniem danych osobowych i w spraw</w:t>
      </w:r>
      <w:r w:rsidRPr="00CE6C44">
        <w:t xml:space="preserve">ie swobodnego przepływu takich danych oraz uchylenia </w:t>
      </w:r>
      <w:hyperlink r:id="rId16" w:anchor="/document/67427626?cm=DOCUMENT" w:history="1">
        <w:r w:rsidRPr="00CE6C44">
          <w:rPr>
            <w:rStyle w:val="Hipercze"/>
            <w:color w:val="auto"/>
            <w:u w:val="none"/>
          </w:rPr>
          <w:t>dyrektywy</w:t>
        </w:r>
      </w:hyperlink>
      <w:r w:rsidRPr="00CE6C44">
        <w:t xml:space="preserve"> 95/46/WE (</w:t>
      </w:r>
      <w:proofErr w:type="spellStart"/>
      <w:r w:rsidRPr="00CE6C44">
        <w:t>Dz.U.UE.L</w:t>
      </w:r>
      <w:proofErr w:type="spellEnd"/>
      <w:r w:rsidRPr="00CE6C44">
        <w:t xml:space="preserve"> z 2016 r. 119.1)</w:t>
      </w:r>
      <w:r>
        <w:t xml:space="preserve">, zwanego dalej ,,RODO” przetwarzanie jest zgodne </w:t>
      </w:r>
      <w:r w:rsidRPr="00CE6C44">
        <w:t>z prawem wyłącznie w przypadkach, g</w:t>
      </w:r>
      <w:r w:rsidRPr="00CE6C44">
        <w:t>dy - i w takim zakresie, w jakim - spełniony jest co najmniej jeden z poniższych warunków: przetwarzani</w:t>
      </w:r>
      <w:r>
        <w:t xml:space="preserve">e jest niezbędne do wypełnienia </w:t>
      </w:r>
      <w:r w:rsidRPr="00CE6C44">
        <w:t xml:space="preserve">obowiązku prawnego ciążącego na administratorze </w:t>
      </w:r>
      <w:r>
        <w:br/>
      </w:r>
      <w:r w:rsidRPr="00CE6C44">
        <w:lastRenderedPageBreak/>
        <w:t>lub przetwarzanie jest niezbędne do wykonania zadania realizowanego w in</w:t>
      </w:r>
      <w:r w:rsidRPr="00CE6C44">
        <w:t>teresie publicznym lub w ramach sprawowania władzy publicznej powierzonej administratorowi. Podstawa przetwarzania, o którym mowa w ust. 1 lit. c i e, musi być określona: w prawie Unii lub w prawie państwa członkowskiego, któremu podlega administrator. Cel</w:t>
      </w:r>
      <w:r w:rsidRPr="00CE6C44">
        <w:t xml:space="preserve"> przetwarzania musi być określony w tej podstawie prawnej lub, w przypadku przetwarzania, o którym mowa w ust. 1 lit. e musi być ono niezbędne do wykonania zadania realizowanego w interesie publicznym lub w ramach sprawowania władzy publicznej powierzonej </w:t>
      </w:r>
      <w:r w:rsidRPr="00CE6C44">
        <w:t>administratorowi. Podstawa prawna może zawierać przepisy szczegółowe dostosowujące stosowanie przepisów niniejszego rozporządzenia, w tym: ogólne warunki zgodności z prawem przetwarzania przez administratora; rodzaj danych podlegających przetwarzaniu; osob</w:t>
      </w:r>
      <w:r w:rsidRPr="00CE6C44">
        <w:t>y, których dane dotyczą; podmioty, którym można ujawnić dane osobowe; cele, w których można je ujawnić; ograniczenia celu; okresy przechowywania oraz operacje i procedury przetwarzania, w tym środki zapewniające zgodność z prawem i rzetelność przetwarzania</w:t>
      </w:r>
      <w:r w:rsidRPr="00CE6C44">
        <w:t xml:space="preserve">, w tym w innych szczególnych sytuacjach związanych z przetwarzaniem, o których mowa w rozdziale </w:t>
      </w:r>
      <w:r>
        <w:br/>
      </w:r>
      <w:r w:rsidRPr="00CE6C44">
        <w:t xml:space="preserve">IX. Prawo Unii lub prawo państwa członkowskiego muszą służyć realizacji celu leżącego </w:t>
      </w:r>
      <w:r>
        <w:br/>
      </w:r>
      <w:r w:rsidRPr="00CE6C44">
        <w:t>w interesie publicznym oraz być proporcjonalne do wyznaczonego, prawnie</w:t>
      </w:r>
      <w:r w:rsidRPr="00CE6C44">
        <w:t xml:space="preserve"> uzasadnionego celu.</w:t>
      </w:r>
    </w:p>
    <w:p w:rsidR="00682082" w:rsidRPr="007B0A3F" w:rsidRDefault="00780894" w:rsidP="007B0A3F">
      <w:pPr>
        <w:spacing w:line="360" w:lineRule="auto"/>
        <w:ind w:left="142" w:firstLine="709"/>
        <w:jc w:val="both"/>
      </w:pPr>
      <w:r>
        <w:t>P</w:t>
      </w:r>
      <w:r>
        <w:t xml:space="preserve">onadto </w:t>
      </w:r>
      <w:r>
        <w:t xml:space="preserve">podanie tych danych </w:t>
      </w:r>
      <w:r>
        <w:t xml:space="preserve">jest nadmiarowe i niezgodne z zasadą minimalizmu danych </w:t>
      </w:r>
      <w:r w:rsidRPr="0046444C">
        <w:rPr>
          <w:rFonts w:eastAsiaTheme="minorHAnsi"/>
          <w:lang w:eastAsia="en-US"/>
        </w:rPr>
        <w:t xml:space="preserve">w art. 5 ust. 1 lit. c </w:t>
      </w:r>
      <w:r>
        <w:rPr>
          <w:rFonts w:eastAsiaTheme="minorHAnsi"/>
          <w:lang w:eastAsia="en-US"/>
        </w:rPr>
        <w:t>RODO</w:t>
      </w:r>
      <w:r>
        <w:rPr>
          <w:rFonts w:eastAsiaTheme="minorHAnsi"/>
          <w:lang w:eastAsia="en-US"/>
        </w:rPr>
        <w:t>.</w:t>
      </w:r>
      <w:r w:rsidRPr="0046444C">
        <w:rPr>
          <w:rFonts w:eastAsiaTheme="minorHAnsi"/>
          <w:lang w:eastAsia="en-US"/>
        </w:rPr>
        <w:t xml:space="preserve"> Obligatoryjność podani</w:t>
      </w:r>
      <w:r>
        <w:rPr>
          <w:rFonts w:eastAsiaTheme="minorHAnsi"/>
          <w:lang w:eastAsia="en-US"/>
        </w:rPr>
        <w:t xml:space="preserve">a zakwestionowanych </w:t>
      </w:r>
      <w:r>
        <w:rPr>
          <w:rFonts w:eastAsiaTheme="minorHAnsi"/>
          <w:lang w:eastAsia="en-US"/>
        </w:rPr>
        <w:t>danych</w:t>
      </w:r>
      <w:r w:rsidRPr="0046444C">
        <w:rPr>
          <w:rFonts w:eastAsiaTheme="minorHAnsi"/>
          <w:lang w:eastAsia="en-US"/>
        </w:rPr>
        <w:t xml:space="preserve"> pozostaje </w:t>
      </w:r>
      <w:r>
        <w:rPr>
          <w:rFonts w:eastAsiaTheme="minorHAnsi"/>
          <w:lang w:eastAsia="en-US"/>
        </w:rPr>
        <w:t>w sprzeczności ze wskazaną</w:t>
      </w:r>
      <w:r w:rsidRPr="0046444C">
        <w:rPr>
          <w:rFonts w:eastAsiaTheme="minorHAnsi"/>
          <w:lang w:eastAsia="en-US"/>
        </w:rPr>
        <w:t xml:space="preserve"> zasadą. Zgod</w:t>
      </w:r>
      <w:r>
        <w:rPr>
          <w:rFonts w:eastAsiaTheme="minorHAnsi"/>
          <w:lang w:eastAsia="en-US"/>
        </w:rPr>
        <w:t xml:space="preserve">nie z nią zbierane dane osobowe </w:t>
      </w:r>
      <w:r w:rsidRPr="0046444C">
        <w:rPr>
          <w:rFonts w:eastAsiaTheme="minorHAnsi"/>
          <w:lang w:eastAsia="en-US"/>
        </w:rPr>
        <w:t>muszą być adekw</w:t>
      </w:r>
      <w:r>
        <w:rPr>
          <w:rFonts w:eastAsiaTheme="minorHAnsi"/>
          <w:lang w:eastAsia="en-US"/>
        </w:rPr>
        <w:t xml:space="preserve">atne, stosowne oraz </w:t>
      </w:r>
      <w:r w:rsidRPr="0046444C">
        <w:rPr>
          <w:rFonts w:eastAsiaTheme="minorHAnsi"/>
          <w:lang w:eastAsia="en-US"/>
        </w:rPr>
        <w:t>ograniczone do tego, co n</w:t>
      </w:r>
      <w:r>
        <w:rPr>
          <w:rFonts w:eastAsiaTheme="minorHAnsi"/>
          <w:lang w:eastAsia="en-US"/>
        </w:rPr>
        <w:t xml:space="preserve">iezbędne do celów, w których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są </w:t>
      </w:r>
      <w:r w:rsidRPr="0046444C">
        <w:rPr>
          <w:rFonts w:eastAsiaTheme="minorHAnsi"/>
          <w:lang w:eastAsia="en-US"/>
        </w:rPr>
        <w:t>przetwarzane („minimalizacja danych”). W przedmiotowej sprawie warunek ten nie jest spełniony.</w:t>
      </w:r>
    </w:p>
    <w:p w:rsidR="00853BBA" w:rsidRDefault="00780894" w:rsidP="006125EB">
      <w:pPr>
        <w:spacing w:line="336" w:lineRule="auto"/>
        <w:ind w:left="142" w:firstLine="708"/>
        <w:jc w:val="both"/>
      </w:pPr>
      <w:r>
        <w:t>Poza tym</w:t>
      </w:r>
      <w:r>
        <w:t xml:space="preserve"> n</w:t>
      </w:r>
      <w:r>
        <w:t xml:space="preserve">ależy wskazać, że o </w:t>
      </w:r>
      <w:r>
        <w:t>ile sa</w:t>
      </w:r>
      <w:r>
        <w:t xml:space="preserve">mo imię i nazwisko </w:t>
      </w:r>
      <w:r>
        <w:t xml:space="preserve">nie pozwoli </w:t>
      </w:r>
      <w:r>
        <w:br/>
        <w:t xml:space="preserve">na zidentyfikowanie danej osoby, to w połączeniu z dodatkowymi danymi, tj. adresem zamieszkania prowadzi do jednoznacznej </w:t>
      </w:r>
      <w:r>
        <w:t xml:space="preserve">jej </w:t>
      </w:r>
      <w:r>
        <w:t xml:space="preserve">identyfikacji i podlega ochronie przewidzianej </w:t>
      </w:r>
      <w:r>
        <w:br/>
        <w:t>w RODO.</w:t>
      </w:r>
      <w:r>
        <w:t xml:space="preserve"> </w:t>
      </w:r>
      <w:r>
        <w:t xml:space="preserve">Z kolei numer telefonu </w:t>
      </w:r>
      <w:r>
        <w:t>jest istotną inform</w:t>
      </w:r>
      <w:r>
        <w:t>acją, która umożliwia bezpośredni kontakt z określoną osobą. Sama możliwość skontaktowania się z tą osobą może prowadzić do ustalenia jej tożsamości</w:t>
      </w:r>
      <w:r>
        <w:t xml:space="preserve"> i </w:t>
      </w:r>
      <w:r>
        <w:t>może stanowić dane osobowe. Przyjmuje się bowiem, że numer telefonu</w:t>
      </w:r>
      <w:r>
        <w:t xml:space="preserve"> przetwarza się w zamiarze ustale</w:t>
      </w:r>
      <w:r>
        <w:t>nia t</w:t>
      </w:r>
      <w:r>
        <w:t>ożsamości konkretnej osoby</w:t>
      </w:r>
      <w:r>
        <w:t>.</w:t>
      </w:r>
      <w:r>
        <w:t xml:space="preserve"> Dokonywanie jakiejkolwiek operacji na tego rodzaju danych będzie korzystało</w:t>
      </w:r>
      <w:r>
        <w:t xml:space="preserve"> z ochrony przewidzianej </w:t>
      </w:r>
      <w:r>
        <w:br/>
      </w:r>
      <w:r>
        <w:t>w RODO</w:t>
      </w:r>
      <w:r w:rsidRPr="0014492A">
        <w:t xml:space="preserve"> </w:t>
      </w:r>
      <w:r>
        <w:t xml:space="preserve">(Opinia 4/2007 </w:t>
      </w:r>
      <w:r w:rsidRPr="004D1D77">
        <w:rPr>
          <w:i/>
        </w:rPr>
        <w:t>w sprawie pojęcia danych osobowych</w:t>
      </w:r>
      <w:r>
        <w:t xml:space="preserve"> Grupy Roboczej ds. Ochrony Danych Ochrony Osób Fizycznych w Zakresie </w:t>
      </w:r>
      <w:r>
        <w:t>P</w:t>
      </w:r>
      <w:r>
        <w:t>rzetwarzania D</w:t>
      </w:r>
      <w:r>
        <w:t xml:space="preserve">anych Osobowych powołana </w:t>
      </w:r>
      <w:r>
        <w:lastRenderedPageBreak/>
        <w:t xml:space="preserve">na mocy art. 29 dyrektywy 95/46/WE Parlamentu Europejskiego i Rady z dnia </w:t>
      </w:r>
      <w:r>
        <w:br/>
      </w:r>
      <w:r>
        <w:t xml:space="preserve">24 października 1995 r. - </w:t>
      </w:r>
      <w:proofErr w:type="spellStart"/>
      <w:r>
        <w:t>Dz.</w:t>
      </w:r>
      <w:r>
        <w:t>U.</w:t>
      </w:r>
      <w:r>
        <w:t>L</w:t>
      </w:r>
      <w:proofErr w:type="spellEnd"/>
      <w:r>
        <w:t xml:space="preserve"> 281 z 23.11.1995 r.).</w:t>
      </w:r>
    </w:p>
    <w:p w:rsidR="009854BC" w:rsidRDefault="00780894" w:rsidP="006125EB">
      <w:pPr>
        <w:pStyle w:val="Bezodstpw"/>
        <w:spacing w:line="360" w:lineRule="auto"/>
        <w:ind w:left="142" w:firstLine="708"/>
        <w:jc w:val="both"/>
      </w:pPr>
      <w:r w:rsidRPr="004E6659">
        <w:t>W świetle powyższego należy uznać, że opisany wyżej zakres żądanych danych</w:t>
      </w:r>
      <w:r>
        <w:t xml:space="preserve"> </w:t>
      </w:r>
      <w:r w:rsidRPr="004E6659">
        <w:t>narusza zasa</w:t>
      </w:r>
      <w:r w:rsidRPr="004E6659">
        <w:t xml:space="preserve">dę niezbędności w odniesieniu do wypełnienia obowiązku prawnego ciążącego </w:t>
      </w:r>
      <w:r>
        <w:br/>
      </w:r>
      <w:r w:rsidRPr="004E6659">
        <w:t xml:space="preserve">na administratorze oraz do wykonania zadania realizowanego w interesie publicznym </w:t>
      </w:r>
      <w:r>
        <w:br/>
      </w:r>
      <w:r w:rsidRPr="004E6659">
        <w:t xml:space="preserve">lub w ramach sprawowania władzy publicznej powierzonej administratorowi. </w:t>
      </w:r>
    </w:p>
    <w:p w:rsidR="009854BC" w:rsidRDefault="00780894" w:rsidP="006125EB">
      <w:pPr>
        <w:pStyle w:val="Bezodstpw"/>
        <w:spacing w:line="360" w:lineRule="auto"/>
        <w:ind w:left="142" w:firstLine="708"/>
        <w:jc w:val="both"/>
        <w:rPr>
          <w:rFonts w:eastAsia="Calibri"/>
          <w:color w:val="000000"/>
          <w:lang w:bidi="pl-PL"/>
        </w:rPr>
      </w:pPr>
      <w:r w:rsidRPr="00086821">
        <w:rPr>
          <w:rFonts w:eastAsia="Calibri"/>
          <w:color w:val="000000"/>
          <w:lang w:bidi="pl-PL"/>
        </w:rPr>
        <w:t>W nawiązaniu do powyższego należy stwierdzić, że w świetle art. 94 Konstytucji RP organy samorządu terytorialnego wydają akty prawa miejscowego obowiązujące na obszarze działania tych organów, na podstawie i w granicach upoważnień zawartych w ustawie. Ozna</w:t>
      </w:r>
      <w:r w:rsidRPr="00086821">
        <w:rPr>
          <w:rFonts w:eastAsia="Calibri"/>
          <w:color w:val="000000"/>
          <w:lang w:bidi="pl-PL"/>
        </w:rPr>
        <w:t>cza to, że do wydania aktu prawa miejscowego wymagane jest zawarte w ustawie odrębne upoważnienie konkretnego organu do uregulowania w określonej formie danego zakresu spraw. Jednocześnie konstytucyjna zasada praworządności wyrażona w art. 7 Konstytucji RP</w:t>
      </w:r>
      <w:r w:rsidRPr="00086821">
        <w:rPr>
          <w:rFonts w:eastAsia="Calibri"/>
          <w:color w:val="000000"/>
          <w:lang w:bidi="pl-PL"/>
        </w:rPr>
        <w:t xml:space="preserve"> wymaga, żeby materia regulowana wydanym aktem normatywnym wynikała z upoważnienia ustawowego i mieściła się w granicach prawa. Wynika to również wprost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 xml:space="preserve">z przepisów ustawy o samorządzie gminnym, a zwłaszcza z art. 40 tej ustawy, zgodnie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z którym gminie p</w:t>
      </w:r>
      <w:r w:rsidRPr="00086821">
        <w:rPr>
          <w:rFonts w:eastAsia="Calibri"/>
          <w:color w:val="000000"/>
          <w:lang w:bidi="pl-PL"/>
        </w:rPr>
        <w:t>rzysługuje prawo stanowienia aktów prawa miejscowego obowiązujących na obszarze gminy na podstawie upoważnień ustawowych. Należy zatem wyraźnie podkreślić, iż wszelkie uchwały podejmowane przez radę gminy muszą nie tylko mieć umocowanie w obowiązujących pr</w:t>
      </w:r>
      <w:r w:rsidRPr="00086821">
        <w:rPr>
          <w:rFonts w:eastAsia="Calibri"/>
          <w:color w:val="000000"/>
          <w:lang w:bidi="pl-PL"/>
        </w:rPr>
        <w:t xml:space="preserve">zepisach prawa, ale też zapisy zawarte w uchwałach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nie mogą przepisów tych naruszać. Ustawodawca, formułując określoną delegację do wydania aktu wykonawczego, przekazuje upoważnienie do uregulowania wyłącznie kwestii wynikających z upoważnienia. Zatem nie</w:t>
      </w:r>
      <w:r w:rsidRPr="00086821">
        <w:rPr>
          <w:rFonts w:eastAsia="Calibri"/>
          <w:color w:val="000000"/>
          <w:lang w:bidi="pl-PL"/>
        </w:rPr>
        <w:t>dopuszczalna jest realizacja upoważnienia ustawowego reg</w:t>
      </w:r>
      <w:r>
        <w:rPr>
          <w:rFonts w:eastAsia="Calibri"/>
          <w:color w:val="000000"/>
          <w:lang w:bidi="pl-PL"/>
        </w:rPr>
        <w:t xml:space="preserve">ulująca kwestie nie przekazane </w:t>
      </w:r>
      <w:r w:rsidRPr="00086821">
        <w:rPr>
          <w:rFonts w:eastAsia="Calibri"/>
          <w:color w:val="000000"/>
          <w:lang w:bidi="pl-PL"/>
        </w:rPr>
        <w:t>do uregulowania w upoważnieniu</w:t>
      </w:r>
      <w:r>
        <w:rPr>
          <w:rFonts w:eastAsia="Calibri"/>
          <w:color w:val="000000"/>
          <w:lang w:bidi="pl-PL"/>
        </w:rPr>
        <w:t>. Takie działanie Rady Gminy</w:t>
      </w:r>
      <w:r w:rsidRPr="00086821">
        <w:rPr>
          <w:rFonts w:eastAsia="Calibri"/>
          <w:color w:val="000000"/>
          <w:lang w:bidi="pl-PL"/>
        </w:rPr>
        <w:t xml:space="preserve"> należy rozumieć jako działanie z przekroczeniem upoważnienia ustawowego, a w konsekwencji, wobec zawarcia w sk</w:t>
      </w:r>
      <w:r w:rsidRPr="00086821">
        <w:rPr>
          <w:rFonts w:eastAsia="Calibri"/>
          <w:color w:val="000000"/>
          <w:lang w:bidi="pl-PL"/>
        </w:rPr>
        <w:t>arżonej uchwale przepisów wykraczających poza delegację ustawową, powoduje konieczność przywrócenia stanu zgodnego z prawem.</w:t>
      </w:r>
    </w:p>
    <w:p w:rsidR="009854BC" w:rsidRDefault="00780894" w:rsidP="006125EB">
      <w:pPr>
        <w:pStyle w:val="Bezodstpw"/>
        <w:spacing w:line="360" w:lineRule="auto"/>
        <w:ind w:left="142" w:firstLine="708"/>
        <w:jc w:val="both"/>
        <w:rPr>
          <w:rFonts w:eastAsia="Calibri"/>
          <w:color w:val="000000"/>
          <w:lang w:bidi="pl-PL"/>
        </w:rPr>
      </w:pPr>
      <w:r w:rsidRPr="00086821">
        <w:rPr>
          <w:rFonts w:eastAsia="Calibri"/>
          <w:i/>
          <w:iCs/>
          <w:color w:val="000000"/>
          <w:lang w:bidi="pl-PL"/>
        </w:rPr>
        <w:t>Materia</w:t>
      </w:r>
      <w:r>
        <w:rPr>
          <w:rFonts w:eastAsia="Calibri"/>
          <w:i/>
          <w:iCs/>
          <w:color w:val="000000"/>
          <w:lang w:bidi="pl-PL"/>
        </w:rPr>
        <w:t>l</w:t>
      </w:r>
      <w:r w:rsidRPr="00086821">
        <w:rPr>
          <w:rFonts w:eastAsia="Calibri"/>
          <w:i/>
          <w:iCs/>
          <w:color w:val="000000"/>
          <w:lang w:bidi="pl-PL"/>
        </w:rPr>
        <w:t>noprawna podstawa do działania rady gminy w zakresie stanowienia aktów prawa miejscowego musi bowiem wynikać wprost z zapis</w:t>
      </w:r>
      <w:r w:rsidRPr="00086821">
        <w:rPr>
          <w:rFonts w:eastAsia="Calibri"/>
          <w:i/>
          <w:iCs/>
          <w:color w:val="000000"/>
          <w:lang w:bidi="pl-PL"/>
        </w:rPr>
        <w:t xml:space="preserve">ów ustawy (delegacji ustawowej) </w:t>
      </w:r>
      <w:r>
        <w:rPr>
          <w:rFonts w:eastAsia="Calibri"/>
          <w:i/>
          <w:iCs/>
          <w:color w:val="000000"/>
          <w:lang w:bidi="pl-PL"/>
        </w:rPr>
        <w:br/>
      </w:r>
      <w:r w:rsidRPr="00086821">
        <w:rPr>
          <w:rFonts w:eastAsia="Calibri"/>
          <w:i/>
          <w:iCs/>
          <w:color w:val="000000"/>
          <w:lang w:bidi="pl-PL"/>
        </w:rPr>
        <w:t xml:space="preserve">i nie może być oparta na ogólnych przepisach zawartych w ustawach. Zgodnie z zasadą legalności (art. 7 Konstytucji RP), organy władzy publicznej działają na podstawie </w:t>
      </w:r>
      <w:r>
        <w:rPr>
          <w:rFonts w:eastAsia="Calibri"/>
          <w:i/>
          <w:iCs/>
          <w:color w:val="000000"/>
          <w:lang w:bidi="pl-PL"/>
        </w:rPr>
        <w:br/>
      </w:r>
      <w:r w:rsidRPr="00086821">
        <w:rPr>
          <w:rFonts w:eastAsia="Calibri"/>
          <w:i/>
          <w:iCs/>
          <w:color w:val="000000"/>
          <w:lang w:bidi="pl-PL"/>
        </w:rPr>
        <w:t xml:space="preserve">i w granicach prawa. Rada gminy obowiązana jest; zatem </w:t>
      </w:r>
      <w:r w:rsidRPr="00086821">
        <w:rPr>
          <w:rFonts w:eastAsia="Calibri"/>
          <w:i/>
          <w:iCs/>
          <w:color w:val="000000"/>
          <w:lang w:bidi="pl-PL"/>
        </w:rPr>
        <w:t xml:space="preserve">przestrzegać zakresu upoważniania ustawowego udzielonego jej przez ustawę w zakresie tworzenia aktów prawa miejscowego, </w:t>
      </w:r>
      <w:r>
        <w:rPr>
          <w:rFonts w:eastAsia="Calibri"/>
          <w:i/>
          <w:iCs/>
          <w:color w:val="000000"/>
          <w:lang w:bidi="pl-PL"/>
        </w:rPr>
        <w:br/>
      </w:r>
      <w:r w:rsidRPr="00086821">
        <w:rPr>
          <w:rFonts w:eastAsia="Calibri"/>
          <w:i/>
          <w:iCs/>
          <w:color w:val="000000"/>
          <w:lang w:bidi="pl-PL"/>
        </w:rPr>
        <w:t xml:space="preserve">a w ramach udzielonej jej delegacji w tych działaniach </w:t>
      </w:r>
      <w:r w:rsidRPr="00086821">
        <w:rPr>
          <w:rFonts w:eastAsia="Calibri"/>
          <w:i/>
          <w:iCs/>
          <w:color w:val="000000"/>
          <w:u w:val="single"/>
          <w:lang w:bidi="pl-PL"/>
        </w:rPr>
        <w:t xml:space="preserve">nie może wykraczać w materie </w:t>
      </w:r>
      <w:r w:rsidRPr="00086821">
        <w:rPr>
          <w:rFonts w:eastAsia="Calibri"/>
          <w:i/>
          <w:iCs/>
          <w:color w:val="000000"/>
          <w:u w:val="single"/>
          <w:lang w:bidi="pl-PL"/>
        </w:rPr>
        <w:lastRenderedPageBreak/>
        <w:t>uregulowaną ustawą</w:t>
      </w:r>
      <w:r w:rsidRPr="00086821">
        <w:rPr>
          <w:rFonts w:eastAsia="Calibri"/>
          <w:i/>
          <w:iCs/>
          <w:color w:val="000000"/>
          <w:lang w:bidi="pl-PL"/>
        </w:rPr>
        <w:t>. (...)".</w:t>
      </w:r>
      <w:r w:rsidRPr="00086821">
        <w:rPr>
          <w:rFonts w:eastAsia="Calibri"/>
          <w:color w:val="000000"/>
          <w:lang w:bidi="pl-PL"/>
        </w:rPr>
        <w:t xml:space="preserve"> (por. uzasadnienie do W</w:t>
      </w:r>
      <w:r w:rsidRPr="00086821">
        <w:rPr>
          <w:rFonts w:eastAsia="Calibri"/>
          <w:color w:val="000000"/>
          <w:lang w:bidi="pl-PL"/>
        </w:rPr>
        <w:t xml:space="preserve">yroku WSA w Olsztynie z dnia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12 stycznia 2016 r. sygn. akt II SA/OI 1269/15).</w:t>
      </w:r>
    </w:p>
    <w:p w:rsidR="009854BC" w:rsidRDefault="00780894" w:rsidP="006125EB">
      <w:pPr>
        <w:pStyle w:val="Bezodstpw"/>
        <w:spacing w:line="360" w:lineRule="auto"/>
        <w:ind w:left="142" w:firstLine="708"/>
        <w:jc w:val="both"/>
      </w:pPr>
      <w:r w:rsidRPr="0063791A">
        <w:t xml:space="preserve">Mając na uwadze powyższe, stwierdzenie nieważności przedmiotowej </w:t>
      </w:r>
      <w:r w:rsidRPr="0063791A">
        <w:rPr>
          <w:bCs/>
        </w:rPr>
        <w:t xml:space="preserve">uchwały </w:t>
      </w:r>
      <w:r w:rsidRPr="0063791A">
        <w:t xml:space="preserve">Rady </w:t>
      </w:r>
      <w:r>
        <w:t>Gminy Długosiodło</w:t>
      </w:r>
      <w:r w:rsidRPr="0063791A">
        <w:t>, we wskazanej w petitum części, jest w pełni uzasadnione.</w:t>
      </w:r>
    </w:p>
    <w:p w:rsidR="009854BC" w:rsidRDefault="00780894" w:rsidP="006125EB">
      <w:pPr>
        <w:pStyle w:val="Bezodstpw"/>
        <w:spacing w:line="360" w:lineRule="auto"/>
        <w:ind w:left="142" w:firstLine="708"/>
        <w:jc w:val="both"/>
      </w:pPr>
      <w:r w:rsidRPr="0063791A">
        <w:t>Na niniejsze rozstrzygn</w:t>
      </w:r>
      <w:r w:rsidRPr="0063791A">
        <w:t xml:space="preserve">ięcie nadzorcze </w:t>
      </w:r>
      <w:r>
        <w:t>Gminie</w:t>
      </w:r>
      <w:r w:rsidRPr="0063791A">
        <w:t xml:space="preserve"> przysługuje skarga do Wojewódzkiego Sądu Administracyjnego w Warszawie w terminie 30 dni od daty jego doręczenia, wnoszona </w:t>
      </w:r>
      <w:r w:rsidRPr="0063791A">
        <w:br/>
        <w:t>za pośrednictwem organu, który skarżone orzeczenie wydał</w:t>
      </w:r>
      <w:r>
        <w:t>.</w:t>
      </w:r>
    </w:p>
    <w:p w:rsidR="006C59EA" w:rsidRPr="006C59EA" w:rsidRDefault="00780894" w:rsidP="006C59EA">
      <w:pPr>
        <w:pStyle w:val="Bezodstpw"/>
        <w:spacing w:line="360" w:lineRule="auto"/>
        <w:ind w:left="142" w:firstLine="708"/>
        <w:jc w:val="both"/>
      </w:pPr>
      <w:r>
        <w:t>I</w:t>
      </w:r>
      <w:r w:rsidRPr="0063791A">
        <w:t xml:space="preserve">nformuję, że rozstrzygnięcie nadzorcze wstrzymuje </w:t>
      </w:r>
      <w:r w:rsidRPr="0063791A">
        <w:t>wykonanie uchwały z mocy prawa, w części objętej orzec</w:t>
      </w:r>
      <w:r>
        <w:t xml:space="preserve">zeniem, z dniem jego doręczenia. </w:t>
      </w:r>
    </w:p>
    <w:p w:rsidR="006C59EA" w:rsidRPr="006C59EA" w:rsidRDefault="00780894" w:rsidP="006C59EA">
      <w:pPr>
        <w:ind w:firstLine="708"/>
        <w:jc w:val="both"/>
      </w:pPr>
    </w:p>
    <w:p w:rsidR="006C59EA" w:rsidRPr="006C59EA" w:rsidRDefault="00780894" w:rsidP="006C59EA">
      <w:pPr>
        <w:ind w:firstLine="708"/>
        <w:jc w:val="both"/>
      </w:pPr>
    </w:p>
    <w:p w:rsidR="006C59EA" w:rsidRPr="006C59EA" w:rsidRDefault="00780894" w:rsidP="006C59EA">
      <w:pPr>
        <w:spacing w:line="276" w:lineRule="auto"/>
        <w:ind w:left="2825" w:firstLine="720"/>
        <w:jc w:val="center"/>
        <w:rPr>
          <w:i/>
        </w:rPr>
      </w:pPr>
    </w:p>
    <w:p w:rsidR="006C59EA" w:rsidRPr="006C59EA" w:rsidRDefault="00780894" w:rsidP="006C59EA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 w:rsidRPr="006C59EA">
        <w:rPr>
          <w:i/>
        </w:rPr>
        <w:t>Konstanty Radziwiłł</w:t>
      </w:r>
      <w:bookmarkEnd w:id="2"/>
    </w:p>
    <w:p w:rsidR="006C59EA" w:rsidRPr="006C59EA" w:rsidRDefault="00780894" w:rsidP="006C59EA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 w:rsidRPr="006C59EA">
        <w:rPr>
          <w:i/>
        </w:rPr>
        <w:t>Wojewoda Mazowiecki</w:t>
      </w:r>
      <w:bookmarkEnd w:id="3"/>
    </w:p>
    <w:p w:rsidR="006C59EA" w:rsidRPr="006C59EA" w:rsidRDefault="00780894" w:rsidP="006C59EA">
      <w:pPr>
        <w:spacing w:line="276" w:lineRule="auto"/>
        <w:rPr>
          <w:i/>
        </w:rPr>
      </w:pPr>
    </w:p>
    <w:p w:rsidR="006C59EA" w:rsidRPr="006C59EA" w:rsidRDefault="00780894" w:rsidP="006C59EA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6C59EA">
        <w:rPr>
          <w:sz w:val="20"/>
          <w:szCs w:val="20"/>
        </w:rPr>
        <w:t>/podpisano bezpiecznym podpisem elektronicznym</w:t>
      </w:r>
    </w:p>
    <w:p w:rsidR="006C59EA" w:rsidRPr="006C59EA" w:rsidRDefault="00780894" w:rsidP="006C59EA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6C59EA">
        <w:rPr>
          <w:sz w:val="20"/>
          <w:szCs w:val="20"/>
        </w:rPr>
        <w:t>weryfikowanym ważnym kwalifikowanym certyfikatem/</w:t>
      </w:r>
    </w:p>
    <w:p w:rsidR="00E4391B" w:rsidRDefault="00780894" w:rsidP="006125EB">
      <w:pPr>
        <w:ind w:left="142"/>
      </w:pPr>
    </w:p>
    <w:sectPr w:rsidR="00E4391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894" w:rsidRDefault="00780894">
      <w:r>
        <w:separator/>
      </w:r>
    </w:p>
  </w:endnote>
  <w:endnote w:type="continuationSeparator" w:id="0">
    <w:p w:rsidR="00780894" w:rsidRDefault="007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67575"/>
      <w:docPartObj>
        <w:docPartGallery w:val="Page Numbers (Bottom of Page)"/>
        <w:docPartUnique/>
      </w:docPartObj>
    </w:sdtPr>
    <w:sdtEndPr/>
    <w:sdtContent>
      <w:p w:rsidR="00682082" w:rsidRDefault="007808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82082" w:rsidRDefault="00780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894" w:rsidRDefault="00780894">
      <w:r>
        <w:separator/>
      </w:r>
    </w:p>
  </w:footnote>
  <w:footnote w:type="continuationSeparator" w:id="0">
    <w:p w:rsidR="00780894" w:rsidRDefault="0078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780894"/>
    <w:rsid w:val="00D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BB12D-A3ED-45F3-BED2-57CE7BF0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564D13"/>
    <w:rPr>
      <w:b/>
      <w:bCs/>
    </w:rPr>
  </w:style>
  <w:style w:type="paragraph" w:styleId="NormalnyWeb">
    <w:name w:val="Normal (Web)"/>
    <w:basedOn w:val="Normalny"/>
    <w:uiPriority w:val="99"/>
    <w:unhideWhenUsed/>
    <w:rsid w:val="00564D13"/>
    <w:pPr>
      <w:spacing w:before="100" w:beforeAutospacing="1" w:after="100" w:afterAutospacing="1"/>
    </w:pPr>
  </w:style>
  <w:style w:type="character" w:customStyle="1" w:styleId="highlight-disabled">
    <w:name w:val="highlight-disabled"/>
    <w:basedOn w:val="Domylnaczcionkaakapitu"/>
    <w:rsid w:val="00564D13"/>
  </w:style>
  <w:style w:type="character" w:customStyle="1" w:styleId="Teksttreci2">
    <w:name w:val="Tekst treści (2)_"/>
    <w:basedOn w:val="Domylnaczcionkaakapitu"/>
    <w:link w:val="Teksttreci21"/>
    <w:uiPriority w:val="99"/>
    <w:rsid w:val="00FB2309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2309"/>
    <w:pPr>
      <w:widowControl w:val="0"/>
      <w:shd w:val="clear" w:color="auto" w:fill="FFFFFF"/>
      <w:spacing w:before="360" w:after="120" w:line="240" w:lineRule="atLeast"/>
      <w:ind w:hanging="320"/>
      <w:jc w:val="both"/>
    </w:pPr>
    <w:rPr>
      <w:rFonts w:ascii="Calibri" w:eastAsiaTheme="minorHAns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82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0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2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0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682082"/>
  </w:style>
  <w:style w:type="character" w:styleId="Hipercze">
    <w:name w:val="Hyperlink"/>
    <w:basedOn w:val="Domylnaczcionkaakapitu"/>
    <w:uiPriority w:val="99"/>
    <w:semiHidden/>
    <w:unhideWhenUsed/>
    <w:rsid w:val="00682082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1931C3"/>
  </w:style>
  <w:style w:type="character" w:customStyle="1" w:styleId="Nagwek1Znak">
    <w:name w:val="Nagłówek 1 Znak"/>
    <w:basedOn w:val="Domylnaczcionkaakapitu"/>
    <w:link w:val="Nagwek1"/>
    <w:uiPriority w:val="9"/>
    <w:rsid w:val="005D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5D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9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9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9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9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9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rswglrtgy3dmobtg4ydg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rswglrtgy3dmmzrgyydc" TargetMode="External"/><Relationship Id="rId12" Type="http://schemas.openxmlformats.org/officeDocument/2006/relationships/hyperlink" Target="https://sip.legalis.pl/document-view.seam?documentId=mfrxilrtg4ytiojzgu2teltqmfyc4njthe4tkmjqg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sip.lex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.legalis.pl/document-view.seam?documentId=mfrxilrtg4ytiojzgu2teltqmfyc4njthe4tkmjqg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galis.pl/document-view.seam?documentId=mfrxilrtg4ytiojzgu2teltqmfyc4njthe4tkmjqg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iojzgu2teltqmfyc4njthe4tkmjqgu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2021-07-21T07:04:00Z</dcterms:created>
  <dcterms:modified xsi:type="dcterms:W3CDTF">2021-07-21T07:04:00Z</dcterms:modified>
</cp:coreProperties>
</file>