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32" w:rsidRPr="003076BB" w:rsidRDefault="00922632" w:rsidP="00922632">
      <w:pPr>
        <w:jc w:val="center"/>
        <w:rPr>
          <w:rFonts w:ascii="Calibri" w:hAnsi="Calibri" w:cs="Calibri"/>
          <w:b/>
          <w:szCs w:val="24"/>
          <w:u w:val="single"/>
        </w:rPr>
      </w:pPr>
      <w:bookmarkStart w:id="0" w:name="_GoBack"/>
      <w:bookmarkEnd w:id="0"/>
      <w:r w:rsidRPr="003076BB">
        <w:rPr>
          <w:rFonts w:ascii="Calibri" w:hAnsi="Calibri" w:cs="Calibri"/>
          <w:b/>
          <w:szCs w:val="24"/>
          <w:u w:val="single"/>
        </w:rPr>
        <w:t xml:space="preserve">Załącznik do </w:t>
      </w:r>
      <w:r w:rsidR="003B59C7">
        <w:rPr>
          <w:rFonts w:ascii="Calibri" w:hAnsi="Calibri" w:cs="Calibri"/>
          <w:b/>
          <w:szCs w:val="24"/>
          <w:u w:val="single"/>
        </w:rPr>
        <w:t>zawiadomienia o przetargu nr PA11</w:t>
      </w:r>
      <w:r w:rsidRPr="003076BB">
        <w:rPr>
          <w:rFonts w:ascii="Calibri" w:hAnsi="Calibri" w:cs="Calibri"/>
          <w:b/>
          <w:szCs w:val="24"/>
          <w:u w:val="single"/>
        </w:rPr>
        <w:t>.683</w:t>
      </w:r>
      <w:r w:rsidR="003076BB">
        <w:rPr>
          <w:rFonts w:ascii="Calibri" w:hAnsi="Calibri" w:cs="Calibri"/>
          <w:b/>
          <w:szCs w:val="24"/>
          <w:u w:val="single"/>
        </w:rPr>
        <w:t>8</w:t>
      </w:r>
      <w:r w:rsidRPr="003076BB">
        <w:rPr>
          <w:rFonts w:ascii="Calibri" w:hAnsi="Calibri" w:cs="Calibri"/>
          <w:b/>
          <w:szCs w:val="24"/>
          <w:u w:val="single"/>
        </w:rPr>
        <w:t>.</w:t>
      </w:r>
      <w:r w:rsidR="00B17263">
        <w:rPr>
          <w:rFonts w:ascii="Calibri" w:hAnsi="Calibri" w:cs="Calibri"/>
          <w:b/>
          <w:szCs w:val="24"/>
          <w:u w:val="single"/>
        </w:rPr>
        <w:t>3</w:t>
      </w:r>
      <w:r w:rsidRPr="003076BB">
        <w:rPr>
          <w:rFonts w:ascii="Calibri" w:hAnsi="Calibri" w:cs="Calibri"/>
          <w:b/>
          <w:szCs w:val="24"/>
          <w:u w:val="single"/>
        </w:rPr>
        <w:t>.20</w:t>
      </w:r>
      <w:r w:rsidR="003076BB">
        <w:rPr>
          <w:rFonts w:ascii="Calibri" w:hAnsi="Calibri" w:cs="Calibri"/>
          <w:b/>
          <w:szCs w:val="24"/>
          <w:u w:val="single"/>
        </w:rPr>
        <w:t>2</w:t>
      </w:r>
      <w:r w:rsidR="00B17263">
        <w:rPr>
          <w:rFonts w:ascii="Calibri" w:hAnsi="Calibri" w:cs="Calibri"/>
          <w:b/>
          <w:szCs w:val="24"/>
          <w:u w:val="single"/>
        </w:rPr>
        <w:t>2</w:t>
      </w:r>
    </w:p>
    <w:p w:rsidR="00922632" w:rsidRPr="003076BB" w:rsidRDefault="001D0741" w:rsidP="00922632">
      <w:pPr>
        <w:jc w:val="center"/>
        <w:rPr>
          <w:rFonts w:ascii="Calibri" w:hAnsi="Calibri" w:cs="Calibri"/>
          <w:b/>
          <w:szCs w:val="24"/>
          <w:u w:val="single"/>
        </w:rPr>
      </w:pPr>
      <w:r w:rsidRPr="003076BB">
        <w:rPr>
          <w:rFonts w:ascii="Calibri" w:hAnsi="Calibri" w:cs="Calibri"/>
          <w:b/>
          <w:szCs w:val="24"/>
          <w:u w:val="single"/>
        </w:rPr>
        <w:t>z dnia</w:t>
      </w:r>
      <w:r w:rsidR="00E40FD0" w:rsidRPr="003076BB">
        <w:rPr>
          <w:rFonts w:ascii="Calibri" w:hAnsi="Calibri" w:cs="Calibri"/>
          <w:b/>
          <w:szCs w:val="24"/>
          <w:u w:val="single"/>
        </w:rPr>
        <w:t xml:space="preserve"> </w:t>
      </w:r>
      <w:r w:rsidR="00B17263">
        <w:rPr>
          <w:rFonts w:ascii="Calibri" w:hAnsi="Calibri" w:cs="Calibri"/>
          <w:b/>
          <w:szCs w:val="24"/>
          <w:u w:val="single"/>
        </w:rPr>
        <w:t>17</w:t>
      </w:r>
      <w:r w:rsidR="000A7AFB">
        <w:rPr>
          <w:rFonts w:ascii="Calibri" w:hAnsi="Calibri" w:cs="Calibri"/>
          <w:b/>
          <w:szCs w:val="24"/>
          <w:u w:val="single"/>
        </w:rPr>
        <w:t xml:space="preserve"> stycznia</w:t>
      </w:r>
      <w:r w:rsidR="003076BB">
        <w:rPr>
          <w:rFonts w:ascii="Calibri" w:hAnsi="Calibri" w:cs="Calibri"/>
          <w:b/>
          <w:szCs w:val="24"/>
          <w:u w:val="single"/>
        </w:rPr>
        <w:t xml:space="preserve"> 202</w:t>
      </w:r>
      <w:r w:rsidR="000A7AFB">
        <w:rPr>
          <w:rFonts w:ascii="Calibri" w:hAnsi="Calibri" w:cs="Calibri"/>
          <w:b/>
          <w:szCs w:val="24"/>
          <w:u w:val="single"/>
        </w:rPr>
        <w:t>2</w:t>
      </w:r>
      <w:r w:rsidR="00922632" w:rsidRPr="003076BB">
        <w:rPr>
          <w:rFonts w:ascii="Calibri" w:hAnsi="Calibri" w:cs="Calibri"/>
          <w:b/>
          <w:szCs w:val="24"/>
          <w:u w:val="single"/>
        </w:rPr>
        <w:t xml:space="preserve"> r.</w:t>
      </w:r>
    </w:p>
    <w:p w:rsidR="00922632" w:rsidRPr="003076BB" w:rsidRDefault="00922632" w:rsidP="007563FA">
      <w:pPr>
        <w:spacing w:before="120"/>
        <w:jc w:val="center"/>
        <w:rPr>
          <w:rFonts w:ascii="Calibri" w:hAnsi="Calibri" w:cs="Calibri"/>
          <w:b/>
          <w:szCs w:val="24"/>
        </w:rPr>
      </w:pPr>
      <w:r w:rsidRPr="003076BB">
        <w:rPr>
          <w:rFonts w:ascii="Calibri" w:hAnsi="Calibri" w:cs="Calibri"/>
          <w:b/>
          <w:szCs w:val="24"/>
        </w:rPr>
        <w:t>Kryteria i sposób oceny ofert przetargowych</w:t>
      </w:r>
    </w:p>
    <w:p w:rsidR="00530EE3" w:rsidRPr="003076BB" w:rsidRDefault="00530EE3" w:rsidP="00530EE3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1. Atrakcyjność proponowanej lokalizacji kasyna gry:</w:t>
      </w:r>
    </w:p>
    <w:p w:rsidR="00530EE3" w:rsidRPr="003076BB" w:rsidRDefault="00530EE3" w:rsidP="00530EE3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lokalizacja budynku:</w:t>
      </w:r>
    </w:p>
    <w:p w:rsidR="00530EE3" w:rsidRPr="003076BB" w:rsidRDefault="00530EE3" w:rsidP="00530EE3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1 pkt – w centrum miasta,</w:t>
      </w:r>
    </w:p>
    <w:p w:rsidR="00530EE3" w:rsidRPr="003076BB" w:rsidRDefault="00530EE3" w:rsidP="00530EE3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1 pkt – przy ruchliwym ciągu komunikacyjnym,</w:t>
      </w:r>
    </w:p>
    <w:p w:rsidR="00530EE3" w:rsidRPr="003076BB" w:rsidRDefault="00530EE3" w:rsidP="00530EE3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1 pkt – w obrębie lub bezpośrednim sąsiedztwie centrum rozrywki;</w:t>
      </w:r>
    </w:p>
    <w:p w:rsidR="00530EE3" w:rsidRPr="003076BB" w:rsidRDefault="00530EE3" w:rsidP="00530EE3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standard budynku:</w:t>
      </w:r>
    </w:p>
    <w:p w:rsidR="00530EE3" w:rsidRPr="003076BB" w:rsidRDefault="00530EE3" w:rsidP="00530EE3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5 pkt – hotel kategorii cztery albo pięć gwiazdek,</w:t>
      </w:r>
    </w:p>
    <w:p w:rsidR="00530EE3" w:rsidRPr="003076BB" w:rsidRDefault="00530EE3" w:rsidP="00530EE3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4 pkt – budynek zabytkowy,</w:t>
      </w:r>
    </w:p>
    <w:p w:rsidR="00530EE3" w:rsidRPr="003076BB" w:rsidRDefault="00530EE3" w:rsidP="00530EE3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3 pkt – budynek nowy,</w:t>
      </w:r>
    </w:p>
    <w:p w:rsidR="00530EE3" w:rsidRPr="003076BB" w:rsidRDefault="00530EE3" w:rsidP="00530EE3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d)</w:t>
      </w:r>
      <w:r w:rsidRPr="003076BB">
        <w:rPr>
          <w:rFonts w:ascii="Calibri" w:hAnsi="Calibri" w:cs="Calibri"/>
          <w:szCs w:val="24"/>
        </w:rPr>
        <w:tab/>
        <w:t xml:space="preserve">3 pkt – hotel kategorii trzy gwiazdki. </w:t>
      </w:r>
    </w:p>
    <w:p w:rsidR="00530EE3" w:rsidRPr="003076BB" w:rsidRDefault="00530EE3" w:rsidP="00530EE3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530EE3" w:rsidRPr="003076BB" w:rsidRDefault="00530EE3" w:rsidP="00530EE3">
      <w:pPr>
        <w:pStyle w:val="NormalnyWeb"/>
        <w:rPr>
          <w:rFonts w:ascii="Calibri" w:hAnsi="Calibri" w:cs="Calibri"/>
          <w:b/>
          <w:bCs/>
          <w:sz w:val="24"/>
        </w:rPr>
      </w:pPr>
      <w:r w:rsidRPr="003076BB">
        <w:rPr>
          <w:rFonts w:ascii="Calibri" w:hAnsi="Calibri" w:cs="Calibri"/>
          <w:b/>
          <w:bCs/>
          <w:sz w:val="24"/>
        </w:rPr>
        <w:t>2. Planowany termin rozpoczęcia działalności kasyna gry:</w:t>
      </w:r>
    </w:p>
    <w:p w:rsidR="00530EE3" w:rsidRPr="003076BB" w:rsidRDefault="00530EE3" w:rsidP="00530EE3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 3 pkt – w przypadku zadeklarowania przez podmiot bądź podmioty ubiegające się o udzielenie koncesji terminu rozpoczęcia działalności nieprzekraczającego 3 miesięcy od dnia udzielenia koncesji;</w:t>
      </w:r>
    </w:p>
    <w:p w:rsidR="00530EE3" w:rsidRPr="003076BB" w:rsidRDefault="00530EE3" w:rsidP="00530EE3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2) 2 pkt – w przypadku zadeklarowania przez podmiot bądź podmioty ubiegające się o udzielenie koncesji terminu rozpoczęcia działalności wynoszącego ponad 3 miesiące i nieprzekraczającego </w:t>
      </w:r>
      <w:r w:rsidRPr="003076BB">
        <w:rPr>
          <w:rFonts w:ascii="Calibri" w:hAnsi="Calibri" w:cs="Calibri"/>
          <w:szCs w:val="24"/>
        </w:rPr>
        <w:br/>
        <w:t>6 miesięcy od dnia udzielenia koncesji;</w:t>
      </w:r>
    </w:p>
    <w:p w:rsidR="00530EE3" w:rsidRPr="003076BB" w:rsidRDefault="00530EE3" w:rsidP="00530EE3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3) 1 pkt – w przypadku zadeklarowania przez podmiot bądź podmioty ubiegające się o udzielenie koncesji terminu rozpoczęcia działalności wynoszącego ponad 6 miesięcy i nieprzekraczającego </w:t>
      </w:r>
      <w:r w:rsidRPr="003076BB">
        <w:rPr>
          <w:rFonts w:ascii="Calibri" w:hAnsi="Calibri" w:cs="Calibri"/>
          <w:szCs w:val="24"/>
        </w:rPr>
        <w:br/>
        <w:t>12 miesięcy od dnia udzielenia koncesji;</w:t>
      </w:r>
    </w:p>
    <w:p w:rsidR="00530EE3" w:rsidRPr="003076BB" w:rsidRDefault="00530EE3" w:rsidP="00530EE3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4) 0 pkt – w przypadku zadeklarowania przez podmiot bądź podmioty ubiegające się o udzielenie koncesji terminu rozpoczęcia działalności wynoszącego ponad 12 miesięcy od dnia udzielenia koncesji.</w:t>
      </w:r>
    </w:p>
    <w:p w:rsidR="00530EE3" w:rsidRPr="003076BB" w:rsidRDefault="00530EE3" w:rsidP="00530EE3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530EE3" w:rsidRPr="003076BB" w:rsidRDefault="00530EE3" w:rsidP="00530EE3">
      <w:pPr>
        <w:pStyle w:val="NormalnyWeb"/>
        <w:rPr>
          <w:rFonts w:ascii="Calibri" w:hAnsi="Calibri" w:cs="Calibri"/>
          <w:b/>
          <w:bCs/>
          <w:sz w:val="24"/>
        </w:rPr>
      </w:pPr>
      <w:r w:rsidRPr="003076BB">
        <w:rPr>
          <w:rFonts w:ascii="Calibri" w:hAnsi="Calibri" w:cs="Calibri"/>
          <w:b/>
          <w:bCs/>
          <w:sz w:val="24"/>
        </w:rPr>
        <w:t>3. Planowane godziny otwarcia kasyna gry:</w:t>
      </w:r>
    </w:p>
    <w:p w:rsidR="00530EE3" w:rsidRPr="003076BB" w:rsidRDefault="00530EE3" w:rsidP="00530EE3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1) </w:t>
      </w:r>
      <w:r w:rsidRPr="003076BB">
        <w:rPr>
          <w:rFonts w:ascii="Calibri" w:hAnsi="Calibri" w:cs="Calibri"/>
          <w:szCs w:val="24"/>
        </w:rPr>
        <w:tab/>
        <w:t>1 pkt – w przypadku gdy obiekt będzie otwarty dłużej niż 12 godzin na dobę;</w:t>
      </w:r>
    </w:p>
    <w:p w:rsidR="00530EE3" w:rsidRPr="003076BB" w:rsidRDefault="00530EE3" w:rsidP="00530EE3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 xml:space="preserve"> 0,5 pkt – w przypadku gdy obiekt będzie otwarty od 8 do 12 godzin na dobę;</w:t>
      </w:r>
    </w:p>
    <w:p w:rsidR="00530EE3" w:rsidRPr="003076BB" w:rsidRDefault="00530EE3" w:rsidP="00530EE3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3) </w:t>
      </w:r>
      <w:r w:rsidRPr="003076BB">
        <w:rPr>
          <w:rFonts w:ascii="Calibri" w:hAnsi="Calibri" w:cs="Calibri"/>
          <w:szCs w:val="24"/>
        </w:rPr>
        <w:tab/>
        <w:t>0 pkt – w przypadku gdy obiekt będzie otwarty krócej niż 8 godzin na dobę.</w:t>
      </w:r>
    </w:p>
    <w:p w:rsidR="00530EE3" w:rsidRPr="003076BB" w:rsidRDefault="00530EE3" w:rsidP="00530EE3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530EE3" w:rsidRPr="003076BB" w:rsidRDefault="00530EE3" w:rsidP="00530EE3">
      <w:pPr>
        <w:pStyle w:val="NormalnyWeb"/>
        <w:jc w:val="both"/>
        <w:rPr>
          <w:rFonts w:ascii="Calibri" w:hAnsi="Calibri" w:cs="Calibri"/>
          <w:b/>
          <w:bCs/>
          <w:color w:val="auto"/>
          <w:sz w:val="24"/>
        </w:rPr>
      </w:pPr>
      <w:r w:rsidRPr="003076BB">
        <w:rPr>
          <w:rFonts w:ascii="Calibri" w:hAnsi="Calibri" w:cs="Calibri"/>
          <w:b/>
          <w:bCs/>
          <w:color w:val="auto"/>
          <w:sz w:val="24"/>
        </w:rPr>
        <w:t xml:space="preserve">3a. Deklarowana podstawa opodatkowania podatkiem od gier, jaką podmiot ubiegający się </w:t>
      </w:r>
      <w:r w:rsidRPr="003076BB">
        <w:rPr>
          <w:rFonts w:ascii="Calibri" w:hAnsi="Calibri" w:cs="Calibri"/>
          <w:b/>
          <w:bCs/>
          <w:color w:val="auto"/>
          <w:sz w:val="24"/>
        </w:rPr>
        <w:br/>
        <w:t xml:space="preserve">o udzielenie koncesji planuje osiągnąć w działalności prowadzonej na podstawie koncesji </w:t>
      </w:r>
      <w:r w:rsidRPr="003076BB">
        <w:rPr>
          <w:rFonts w:ascii="Calibri" w:hAnsi="Calibri" w:cs="Calibri"/>
          <w:b/>
          <w:bCs/>
          <w:color w:val="auto"/>
          <w:sz w:val="24"/>
        </w:rPr>
        <w:br/>
        <w:t>w kasynie gry, którego dotyczy złożona oferta:</w:t>
      </w:r>
    </w:p>
    <w:p w:rsidR="00530EE3" w:rsidRPr="003076BB" w:rsidRDefault="00530EE3" w:rsidP="00530EE3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1) 3 pkt – w przypadku zadeklarowania najwyższej podstawy opodatkowania podatkiem od gier przez podmiot bądź podmioty ubiegające się o udzielenie koncesji;</w:t>
      </w:r>
    </w:p>
    <w:p w:rsidR="00530EE3" w:rsidRPr="003076BB" w:rsidRDefault="00530EE3" w:rsidP="00530EE3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2) 2 pkt – w przypadku zadeklarowania drugiej pod względem wysokości podstawy opodatkowania podatkiem od gier przez podmiot bądź podmioty ubiegające się o udzielenie koncesji;</w:t>
      </w:r>
    </w:p>
    <w:p w:rsidR="00530EE3" w:rsidRPr="003076BB" w:rsidRDefault="00530EE3" w:rsidP="00530EE3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3) 1 pkt – w przypadku zadeklarowania trzeciej i kolejnej pod względem wysokości podstawy opodatkowania podatkiem od gier przez podmiot bądź podmioty ubiegające się o udzielenie koncesji.</w:t>
      </w:r>
    </w:p>
    <w:p w:rsidR="00530EE3" w:rsidRPr="003076BB" w:rsidRDefault="00530EE3" w:rsidP="00530EE3">
      <w:pPr>
        <w:pStyle w:val="Default"/>
        <w:rPr>
          <w:rFonts w:ascii="Calibri" w:hAnsi="Calibri" w:cs="Calibri"/>
          <w:color w:val="auto"/>
        </w:rPr>
      </w:pPr>
    </w:p>
    <w:p w:rsidR="00530EE3" w:rsidRPr="003076BB" w:rsidRDefault="00530EE3" w:rsidP="00530EE3">
      <w:pPr>
        <w:pStyle w:val="NormalnyWeb"/>
        <w:jc w:val="both"/>
        <w:rPr>
          <w:rFonts w:ascii="Calibri" w:hAnsi="Calibri" w:cs="Calibri"/>
          <w:b/>
          <w:bCs/>
          <w:color w:val="auto"/>
          <w:sz w:val="24"/>
        </w:rPr>
      </w:pPr>
      <w:r w:rsidRPr="003076BB">
        <w:rPr>
          <w:rFonts w:ascii="Calibri" w:hAnsi="Calibri" w:cs="Calibri"/>
          <w:b/>
          <w:bCs/>
          <w:color w:val="auto"/>
          <w:sz w:val="24"/>
        </w:rPr>
        <w:t xml:space="preserve">3b. Wielkość powierzchni kasyna gry przeznaczonej bezpośrednio na prowadzenie gier hazardowych: </w:t>
      </w:r>
    </w:p>
    <w:p w:rsidR="00530EE3" w:rsidRPr="003076BB" w:rsidRDefault="00530EE3" w:rsidP="00530EE3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 xml:space="preserve">1) 3 pkt – w przypadku zadeklarowania największej powierzchni przeznaczonej bezpośrednio </w:t>
      </w:r>
      <w:r>
        <w:rPr>
          <w:rFonts w:ascii="Calibri" w:hAnsi="Calibri" w:cs="Calibri"/>
          <w:color w:val="auto"/>
          <w:sz w:val="24"/>
        </w:rPr>
        <w:br/>
      </w:r>
      <w:r w:rsidRPr="003076BB">
        <w:rPr>
          <w:rFonts w:ascii="Calibri" w:hAnsi="Calibri" w:cs="Calibri"/>
          <w:color w:val="auto"/>
          <w:sz w:val="24"/>
        </w:rPr>
        <w:t>na prowadzenie gier hazardowych przez podmiot bądź podmioty ubiegające się o udzielenie koncesji;</w:t>
      </w:r>
    </w:p>
    <w:p w:rsidR="00530EE3" w:rsidRPr="003076BB" w:rsidRDefault="00530EE3" w:rsidP="00530EE3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lastRenderedPageBreak/>
        <w:t xml:space="preserve">2) 2 pkt – w przypadku zadeklarowania drugiej pod względem wielkości powierzchni przeznaczonej bezpośrednio na prowadzenie gier hazardowych przez podmiot bądź podmioty ubiegające się </w:t>
      </w:r>
      <w:r>
        <w:rPr>
          <w:rFonts w:ascii="Calibri" w:hAnsi="Calibri" w:cs="Calibri"/>
          <w:color w:val="auto"/>
          <w:sz w:val="24"/>
        </w:rPr>
        <w:br/>
      </w:r>
      <w:r w:rsidRPr="003076BB">
        <w:rPr>
          <w:rFonts w:ascii="Calibri" w:hAnsi="Calibri" w:cs="Calibri"/>
          <w:color w:val="auto"/>
          <w:sz w:val="24"/>
        </w:rPr>
        <w:t>o udzielenie koncesji;</w:t>
      </w:r>
    </w:p>
    <w:p w:rsidR="00530EE3" w:rsidRPr="003076BB" w:rsidRDefault="00530EE3" w:rsidP="00530EE3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3) 1 pkt – w przypadku zadeklarowania trzeciej i kolejnej pod względem wielkości powierzchni przeznaczonej bezpośrednio na prowadzenie gier hazardowych przez podmiot bądź podmioty ubiegające się o udzielenie koncesji.</w:t>
      </w:r>
    </w:p>
    <w:p w:rsidR="00530EE3" w:rsidRPr="003076BB" w:rsidRDefault="00530EE3" w:rsidP="00530EE3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530EE3" w:rsidRPr="003076BB" w:rsidRDefault="00530EE3" w:rsidP="00530EE3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4. Terminowość rozpoczynania dotychczasowej działalności po uzyskaniu koncesji lub zezwolenia w wyniku przetargu w okresie ostatnich trzech lat kalendarzowych poprzedzających rok, w którym zostało ogłoszone zawiadomienie o przetargu:</w:t>
      </w:r>
    </w:p>
    <w:p w:rsidR="00530EE3" w:rsidRPr="003076BB" w:rsidRDefault="00530EE3" w:rsidP="00530EE3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 xml:space="preserve">3 pkt – w przypadku gdy podmiot ubiegający się o udzielenie koncesji lub zezwolenia uzyskał </w:t>
      </w:r>
      <w:r w:rsidRPr="003076BB">
        <w:rPr>
          <w:rFonts w:ascii="Calibri" w:hAnsi="Calibri" w:cs="Calibri"/>
          <w:szCs w:val="24"/>
        </w:rPr>
        <w:br/>
        <w:t>w tym okresie koncesję lub zezwolenie w wyniku przetargu i rozpoczął działalność w terminie zadeklarowanym w ofercie, z zastrzeżeniem, że w przypadku podmiotu, który w tym okresie uzyskał więcej niż jedną koncesję lub zezwolenie, liczba punktów mieści się w przedziale od 0 do 3, odpowiednio:</w:t>
      </w:r>
    </w:p>
    <w:p w:rsidR="00530EE3" w:rsidRPr="003076BB" w:rsidRDefault="00530EE3" w:rsidP="00530EE3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3 pkt – w przypadku otwarcia w zadeklarowanym terminie od 100 % do 75 % ośrodków,</w:t>
      </w:r>
    </w:p>
    <w:p w:rsidR="00530EE3" w:rsidRPr="003076BB" w:rsidRDefault="00530EE3" w:rsidP="00530EE3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2 pkt – w przypadku otwarcia w zadeklarowanym terminie poniżej 75 % do 50 % ośrodków,</w:t>
      </w:r>
    </w:p>
    <w:p w:rsidR="00530EE3" w:rsidRPr="003076BB" w:rsidRDefault="00530EE3" w:rsidP="00530EE3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1 pkt – w przypadku otwarcia w zadeklarowanym terminie poniżej 50 % do 25 % ośrodków,</w:t>
      </w:r>
    </w:p>
    <w:p w:rsidR="00530EE3" w:rsidRPr="003076BB" w:rsidRDefault="00530EE3" w:rsidP="00530EE3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d)</w:t>
      </w:r>
      <w:r w:rsidRPr="003076BB">
        <w:rPr>
          <w:rFonts w:ascii="Calibri" w:hAnsi="Calibri" w:cs="Calibri"/>
          <w:szCs w:val="24"/>
        </w:rPr>
        <w:tab/>
        <w:t>0 pkt – w przypadku otwarcia w zadeklarowanym terminie poniżej 25 % ośrodków;</w:t>
      </w:r>
    </w:p>
    <w:p w:rsidR="00530EE3" w:rsidRPr="003076BB" w:rsidRDefault="00530EE3" w:rsidP="00530EE3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2 pkt – w przypadku podmiotu ubiegającego się o udzielenie koncesji lub zezwolenia, który:</w:t>
      </w:r>
    </w:p>
    <w:p w:rsidR="00530EE3" w:rsidRPr="003076BB" w:rsidRDefault="00530EE3" w:rsidP="00530EE3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dotychczas nie uzyskał koncesji lub zezwolenia w wyniku przetargu, w tym dotychczas nie przystępował do przetargu,</w:t>
      </w:r>
    </w:p>
    <w:p w:rsidR="00530EE3" w:rsidRPr="003076BB" w:rsidRDefault="00530EE3" w:rsidP="00530EE3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uzyskał koncesję lub zezwolenie w wyniku przetargu w innym okresie,</w:t>
      </w:r>
    </w:p>
    <w:p w:rsidR="00530EE3" w:rsidRPr="003076BB" w:rsidRDefault="00530EE3" w:rsidP="00530EE3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nie może być poddany ocenie ze względu na fakt, że deklarowany termin rozpoczęcia działalności jeszcze nie upłynął;</w:t>
      </w:r>
    </w:p>
    <w:p w:rsidR="00530EE3" w:rsidRPr="003076BB" w:rsidRDefault="00530EE3" w:rsidP="00530EE3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3)</w:t>
      </w:r>
      <w:r w:rsidRPr="003076BB">
        <w:rPr>
          <w:rFonts w:ascii="Calibri" w:hAnsi="Calibri" w:cs="Calibri"/>
          <w:szCs w:val="24"/>
        </w:rPr>
        <w:tab/>
        <w:t xml:space="preserve">0 pkt – w przypadku gdy podmiot ubiegający się o udzielenie koncesji lub zezwolenia uzyskał </w:t>
      </w:r>
      <w:r w:rsidRPr="003076BB">
        <w:rPr>
          <w:rFonts w:ascii="Calibri" w:hAnsi="Calibri" w:cs="Calibri"/>
          <w:szCs w:val="24"/>
        </w:rPr>
        <w:br/>
        <w:t xml:space="preserve">w tym okresie koncesję lub zezwolenie w wyniku przetargu, lecz nie rozpoczął działalności </w:t>
      </w:r>
      <w:r w:rsidRPr="003076BB">
        <w:rPr>
          <w:rFonts w:ascii="Calibri" w:hAnsi="Calibri" w:cs="Calibri"/>
          <w:szCs w:val="24"/>
        </w:rPr>
        <w:br/>
        <w:t>w zadeklarowanym w ofercie terminie.</w:t>
      </w:r>
    </w:p>
    <w:p w:rsidR="00530EE3" w:rsidRPr="003076BB" w:rsidRDefault="00530EE3" w:rsidP="00530EE3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 xml:space="preserve">5. Zgodność wysokości podstawy opodatkowania podatkiem od gier uprzednio deklarowanej przez podmiot, który uzyskał koncesję lub zezwolenie w wyniku przetargu, z realnie uzyskaną </w:t>
      </w:r>
      <w:r>
        <w:rPr>
          <w:rFonts w:ascii="Calibri" w:hAnsi="Calibri" w:cs="Calibri"/>
          <w:b/>
          <w:bCs/>
          <w:szCs w:val="24"/>
        </w:rPr>
        <w:br/>
      </w:r>
      <w:r w:rsidRPr="003076BB">
        <w:rPr>
          <w:rFonts w:ascii="Calibri" w:hAnsi="Calibri" w:cs="Calibri"/>
          <w:b/>
          <w:bCs/>
          <w:szCs w:val="24"/>
        </w:rPr>
        <w:t>w działalności prowadzonej na podstawie takiej koncesji lub zezwolenia, biorąc pod uwagę koncesje i zezwolenia uzyskane w okresie ostatnich trzech lat kalendarzowych poprzedzających rok, w którym zostało ogłoszone zawiadomienie o przetargu:</w:t>
      </w:r>
    </w:p>
    <w:p w:rsidR="00530EE3" w:rsidRPr="003076BB" w:rsidRDefault="00530EE3" w:rsidP="00530EE3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4 pkt – w przypadku gdy zgodność pomiędzy deklarowaną a realnie uzyskaną podstawą opodatkowania występuje w przedziale powyżej 75 % do 100%,</w:t>
      </w:r>
    </w:p>
    <w:p w:rsidR="00530EE3" w:rsidRPr="003076BB" w:rsidRDefault="00530EE3" w:rsidP="00530EE3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2 pkt – w przypadku gdy zgodność pomiędzy deklarowaną a realnie uzyskaną podstawą opodatkowania występuje w przedziale od 50 % do 75 %,</w:t>
      </w:r>
    </w:p>
    <w:p w:rsidR="00530EE3" w:rsidRPr="003076BB" w:rsidRDefault="00530EE3" w:rsidP="00530EE3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3)</w:t>
      </w:r>
      <w:r w:rsidRPr="003076BB">
        <w:rPr>
          <w:rFonts w:ascii="Calibri" w:hAnsi="Calibri" w:cs="Calibri"/>
          <w:szCs w:val="24"/>
        </w:rPr>
        <w:tab/>
        <w:t>2 pkt – w przypadku podmiotów, które dotychczas nie przystępowały do przetargu lub uzyskały koncesję lub zezwolenie w wyniku przetargu w innym okresie, lub w stosunku do których nie jest możliwe zweryfikowanie deklarowanej wysokości podstawy opodatkowania ze względu na zbyt krótki okres sprawozdawczości,</w:t>
      </w:r>
    </w:p>
    <w:p w:rsidR="00530EE3" w:rsidRPr="003076BB" w:rsidRDefault="00530EE3" w:rsidP="00530EE3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4)</w:t>
      </w:r>
      <w:r w:rsidRPr="003076BB">
        <w:rPr>
          <w:rFonts w:ascii="Calibri" w:hAnsi="Calibri" w:cs="Calibri"/>
          <w:szCs w:val="24"/>
        </w:rPr>
        <w:tab/>
        <w:t>0 pkt – w przypadku gdy zgodność pomiędzy deklarowaną a realnie uzyskaną podstawą opodatkowania podatkiem od gier wynosi poniżej 50 %</w:t>
      </w:r>
    </w:p>
    <w:p w:rsidR="00530EE3" w:rsidRPr="003076BB" w:rsidRDefault="00530EE3" w:rsidP="00530EE3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- przy czym w przypadku podmiotu, który w okresie ostatnich trzech lat kalendarzowych poprzedzających rok, w którym zostało ogłoszone zawiadomienie o przetargu, uzyskał więcej </w:t>
      </w:r>
      <w:r>
        <w:rPr>
          <w:rFonts w:ascii="Calibri" w:hAnsi="Calibri" w:cs="Calibri"/>
          <w:szCs w:val="24"/>
        </w:rPr>
        <w:br/>
      </w:r>
      <w:r w:rsidRPr="003076BB">
        <w:rPr>
          <w:rFonts w:ascii="Calibri" w:hAnsi="Calibri" w:cs="Calibri"/>
          <w:szCs w:val="24"/>
        </w:rPr>
        <w:t>niż jedną koncesję lub zezwolenie w wyniku przetargu, bierze się pod uwagę średnią kwot podstawy opodatkowania deklarowanych i uzyskanych.</w:t>
      </w:r>
    </w:p>
    <w:p w:rsidR="00530EE3" w:rsidRPr="003076BB" w:rsidRDefault="00530EE3" w:rsidP="00530EE3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lastRenderedPageBreak/>
        <w:t>6. Przypadki cofnięcia koncesji, zezwolenia lub innego zezwolenia w zakresie gier hazardowych lub wezwania przez organ udzielający takiej koncesji lub zezwoleń do usunięcia stwierdzonych uchybień w okresie ostatnich trzech lat kalendarzowych poprzedzających rok, w którym zostało ogłoszone zawiadomienie o przetargu:</w:t>
      </w:r>
    </w:p>
    <w:p w:rsidR="00530EE3" w:rsidRPr="003076BB" w:rsidRDefault="00530EE3" w:rsidP="00530EE3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2 pkt – w przypadku podmiotu:</w:t>
      </w:r>
    </w:p>
    <w:p w:rsidR="00530EE3" w:rsidRPr="003076BB" w:rsidRDefault="00530EE3" w:rsidP="00530EE3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któremu w tym okresie nie cofnięto koncesji, zezwolenia lub innego zezwolenia w zakresie gier hazardowych ani do którego nie skierowano w tym okresie wezwania do usunięcia stwierdzonych uchybień,</w:t>
      </w:r>
    </w:p>
    <w:p w:rsidR="00530EE3" w:rsidRPr="003076BB" w:rsidRDefault="00530EE3" w:rsidP="00530EE3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który nie prowadził w tym okresie działalności w zakresie gier hazardowych;</w:t>
      </w:r>
    </w:p>
    <w:p w:rsidR="00530EE3" w:rsidRPr="003076BB" w:rsidRDefault="00530EE3" w:rsidP="00530EE3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0 pkt – w przypadku podmiotu, do którego w tym okresie skierowano wezwanie do usunięcia stwierdzonych uchybień bądź któremu cofnięto koncesję, zezwolenie lub inne zezwolenie w zakresie gier hazardowych.</w:t>
      </w:r>
    </w:p>
    <w:p w:rsidR="00530EE3" w:rsidRPr="003076BB" w:rsidRDefault="00530EE3" w:rsidP="00530EE3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530EE3" w:rsidRPr="003076BB" w:rsidRDefault="00530EE3" w:rsidP="00530EE3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7. Uchybienia w dotychczas prowadzonej działalności w zakresie gier hazardowych, potwierdzone przez organ udzielający koncesji, zezwolenia lub innego zezwolenia w zakresie gier hazardowych lub organ właściwy w sprawach kontroli w okresie ostatnich trzech lat kalendarzowych poprzedzających rok, w którym zostało ogłoszone zawiadomienie o przetargu:</w:t>
      </w:r>
    </w:p>
    <w:p w:rsidR="00530EE3" w:rsidRPr="003076BB" w:rsidRDefault="00530EE3" w:rsidP="00530EE3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1 pkt – w przypadku gdy nie stwierdzono uchybień, które w tym okresie zostały potwierdzone, oraz w przypadku podmiotów, które w tym okresie nie prowadziły działalności w zakresie gier hazardowych;</w:t>
      </w:r>
    </w:p>
    <w:p w:rsidR="00530EE3" w:rsidRPr="003076BB" w:rsidRDefault="00530EE3" w:rsidP="00530EE3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0 pkt – w przypadku gdy stwierdzono uchybienia, które w tym okresie zostały potwierdzone.</w:t>
      </w:r>
    </w:p>
    <w:p w:rsidR="00530EE3" w:rsidRPr="003076BB" w:rsidRDefault="00530EE3" w:rsidP="00530EE3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530EE3" w:rsidRPr="003076BB" w:rsidRDefault="00530EE3" w:rsidP="00530EE3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8. Rentowność (wynik netto w każdym z ostatnich trzech lat działalności):</w:t>
      </w:r>
    </w:p>
    <w:p w:rsidR="00530EE3" w:rsidRPr="003076BB" w:rsidRDefault="00530EE3" w:rsidP="00530EE3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2 pkt – w przypadku wyniku dodatniego;</w:t>
      </w:r>
    </w:p>
    <w:p w:rsidR="00530EE3" w:rsidRPr="003076BB" w:rsidRDefault="00530EE3" w:rsidP="00530EE3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1 pkt – w przypadku podmiotów, co do których nie można ustalić wyniku netto w trzech ostatnich latach działalności;</w:t>
      </w:r>
    </w:p>
    <w:p w:rsidR="00530EE3" w:rsidRPr="003076BB" w:rsidRDefault="00530EE3" w:rsidP="00530EE3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3)</w:t>
      </w:r>
      <w:r w:rsidRPr="003076BB">
        <w:rPr>
          <w:rFonts w:ascii="Calibri" w:hAnsi="Calibri" w:cs="Calibri"/>
          <w:szCs w:val="24"/>
        </w:rPr>
        <w:tab/>
        <w:t>0 pkt – w przypadku wyniku ujemnego.</w:t>
      </w:r>
    </w:p>
    <w:p w:rsidR="00530EE3" w:rsidRPr="003076BB" w:rsidRDefault="00530EE3" w:rsidP="00530EE3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530EE3" w:rsidRPr="003076BB" w:rsidRDefault="00530EE3" w:rsidP="00530EE3">
      <w:pPr>
        <w:pStyle w:val="NormalnyWeb"/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3076BB">
        <w:rPr>
          <w:rFonts w:ascii="Calibri" w:hAnsi="Calibri" w:cs="Calibri"/>
          <w:b/>
          <w:color w:val="auto"/>
          <w:sz w:val="24"/>
          <w:szCs w:val="24"/>
        </w:rPr>
        <w:t>9. Doświadczenie na rynku gier hazardowych:</w:t>
      </w:r>
    </w:p>
    <w:p w:rsidR="00530EE3" w:rsidRPr="003076BB" w:rsidRDefault="00530EE3" w:rsidP="00530EE3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1 pkt – w przypadku gdy podmiot posiada doświadczenie na rynku gier hazardowych;</w:t>
      </w:r>
    </w:p>
    <w:p w:rsidR="00530EE3" w:rsidRPr="003076BB" w:rsidRDefault="00530EE3" w:rsidP="00530EE3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0 pkt – w przypadku gdy podmiot nie posiada doświadczenia na rynku gier hazardowych.</w:t>
      </w:r>
    </w:p>
    <w:p w:rsidR="00530EE3" w:rsidRPr="003076BB" w:rsidRDefault="00530EE3" w:rsidP="00530EE3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530EE3" w:rsidRPr="003076BB" w:rsidRDefault="00530EE3" w:rsidP="00530EE3">
      <w:pPr>
        <w:pStyle w:val="NormalnyWeb"/>
        <w:jc w:val="both"/>
        <w:rPr>
          <w:rFonts w:ascii="Calibri" w:hAnsi="Calibri" w:cs="Calibri"/>
          <w:b/>
          <w:bCs/>
          <w:color w:val="auto"/>
          <w:sz w:val="24"/>
        </w:rPr>
      </w:pPr>
      <w:r w:rsidRPr="003076BB">
        <w:rPr>
          <w:rFonts w:ascii="Calibri" w:hAnsi="Calibri" w:cs="Calibri"/>
          <w:b/>
          <w:bCs/>
          <w:color w:val="auto"/>
          <w:sz w:val="24"/>
        </w:rPr>
        <w:t xml:space="preserve">10. Stwierdzone przez organ udzielający koncesji lub zezwolenia lub organ właściwy w sprawach kontroli niedotrzymanie warunków deklarowanych w ofercie, w zakresie kryteriów oceny ofert, o których mowa w ust. 1 pkt 1, 3 i 3b przez podmiot, który uzyskał koncesję lub zezwolenie </w:t>
      </w:r>
      <w:r>
        <w:rPr>
          <w:rFonts w:ascii="Calibri" w:hAnsi="Calibri" w:cs="Calibri"/>
          <w:b/>
          <w:bCs/>
          <w:color w:val="auto"/>
          <w:sz w:val="24"/>
        </w:rPr>
        <w:br/>
      </w:r>
      <w:r w:rsidRPr="003076BB">
        <w:rPr>
          <w:rFonts w:ascii="Calibri" w:hAnsi="Calibri" w:cs="Calibri"/>
          <w:b/>
          <w:bCs/>
          <w:color w:val="auto"/>
          <w:sz w:val="24"/>
        </w:rPr>
        <w:t xml:space="preserve">w wyniku przetargu, w okresie trzech lat od uzyskania koncesji lub zezwolenia, przy czym stwierdzone niedotrzymanie warunków deklarowanych w ofercie bierze się pod uwagę </w:t>
      </w:r>
      <w:r>
        <w:rPr>
          <w:rFonts w:ascii="Calibri" w:hAnsi="Calibri" w:cs="Calibri"/>
          <w:b/>
          <w:bCs/>
          <w:color w:val="auto"/>
          <w:sz w:val="24"/>
        </w:rPr>
        <w:br/>
      </w:r>
      <w:r w:rsidRPr="003076BB">
        <w:rPr>
          <w:rFonts w:ascii="Calibri" w:hAnsi="Calibri" w:cs="Calibri"/>
          <w:b/>
          <w:bCs/>
          <w:color w:val="auto"/>
          <w:sz w:val="24"/>
        </w:rPr>
        <w:t>w przetargach ogłoszonych w okresie sześciu lat od uzyskania koncesji lub zezwolenia:</w:t>
      </w:r>
    </w:p>
    <w:p w:rsidR="00530EE3" w:rsidRPr="003076BB" w:rsidRDefault="00530EE3" w:rsidP="00530EE3">
      <w:pPr>
        <w:pStyle w:val="NormalnyWeb"/>
        <w:jc w:val="both"/>
        <w:rPr>
          <w:rFonts w:ascii="Calibri" w:hAnsi="Calibri" w:cs="Calibri"/>
          <w:bCs/>
          <w:color w:val="auto"/>
          <w:sz w:val="24"/>
        </w:rPr>
      </w:pPr>
      <w:r w:rsidRPr="003076BB">
        <w:rPr>
          <w:rFonts w:ascii="Calibri" w:hAnsi="Calibri" w:cs="Calibri"/>
          <w:bCs/>
          <w:color w:val="auto"/>
          <w:sz w:val="24"/>
        </w:rPr>
        <w:t>1) 2 pkt – w przypadku gdy nie stwierdzono niedotrzymania warunków deklarowanych w ofercie przez podmiot bądź podmioty ubiegające się o udzielenie koncesji lub zezwolenia;</w:t>
      </w:r>
    </w:p>
    <w:p w:rsidR="00530EE3" w:rsidRPr="003076BB" w:rsidRDefault="00530EE3" w:rsidP="00530EE3">
      <w:pPr>
        <w:pStyle w:val="NormalnyWeb"/>
        <w:jc w:val="both"/>
        <w:rPr>
          <w:rFonts w:ascii="Calibri" w:hAnsi="Calibri" w:cs="Calibri"/>
          <w:bCs/>
          <w:color w:val="auto"/>
          <w:sz w:val="24"/>
        </w:rPr>
      </w:pPr>
      <w:r w:rsidRPr="003076BB">
        <w:rPr>
          <w:rFonts w:ascii="Calibri" w:hAnsi="Calibri" w:cs="Calibri"/>
          <w:bCs/>
          <w:color w:val="auto"/>
          <w:sz w:val="24"/>
        </w:rPr>
        <w:t>2) 1 pkt – w przypadku podmiotów, które dotychczas nie uzyskały koncesji lub zezwolenia w wyniku przetargu, w tym dotychczas nie przystępowały do przetargu, lub uzyskały koncesję lub zezwolenie w wyniku przetargu w innym okresie;</w:t>
      </w:r>
    </w:p>
    <w:p w:rsidR="00530EE3" w:rsidRPr="003076BB" w:rsidRDefault="00530EE3" w:rsidP="00530EE3">
      <w:pPr>
        <w:pStyle w:val="NormalnyWeb"/>
        <w:jc w:val="both"/>
        <w:rPr>
          <w:rFonts w:ascii="Calibri" w:hAnsi="Calibri" w:cs="Calibri"/>
          <w:color w:val="auto"/>
          <w:sz w:val="24"/>
          <w:szCs w:val="24"/>
        </w:rPr>
      </w:pPr>
      <w:r w:rsidRPr="003076BB">
        <w:rPr>
          <w:rFonts w:ascii="Calibri" w:hAnsi="Calibri" w:cs="Calibri"/>
          <w:bCs/>
          <w:color w:val="auto"/>
          <w:sz w:val="24"/>
        </w:rPr>
        <w:t xml:space="preserve">3) 0 pkt – w przypadku gdy stwierdzono co najmniej jeden przypadek niedotrzymania warunków deklarowanych w ofercie przez podmiot bądź podmioty ubiegające się o udzielenie koncesji </w:t>
      </w:r>
      <w:r>
        <w:rPr>
          <w:rFonts w:ascii="Calibri" w:hAnsi="Calibri" w:cs="Calibri"/>
          <w:bCs/>
          <w:color w:val="auto"/>
          <w:sz w:val="24"/>
        </w:rPr>
        <w:br/>
      </w:r>
      <w:r w:rsidRPr="003076BB">
        <w:rPr>
          <w:rFonts w:ascii="Calibri" w:hAnsi="Calibri" w:cs="Calibri"/>
          <w:bCs/>
          <w:color w:val="auto"/>
          <w:sz w:val="24"/>
        </w:rPr>
        <w:t xml:space="preserve">lub </w:t>
      </w:r>
      <w:r w:rsidRPr="003076BB">
        <w:rPr>
          <w:rFonts w:ascii="Calibri" w:hAnsi="Calibri" w:cs="Calibri"/>
          <w:bCs/>
          <w:color w:val="auto"/>
          <w:sz w:val="24"/>
          <w:szCs w:val="24"/>
        </w:rPr>
        <w:t>zezwolenia</w:t>
      </w:r>
      <w:r w:rsidRPr="003076BB">
        <w:rPr>
          <w:rFonts w:ascii="Calibri" w:hAnsi="Calibri" w:cs="Calibri"/>
          <w:color w:val="auto"/>
          <w:sz w:val="24"/>
          <w:szCs w:val="24"/>
        </w:rPr>
        <w:t>.</w:t>
      </w:r>
    </w:p>
    <w:p w:rsidR="00922632" w:rsidRPr="003076BB" w:rsidRDefault="00922632" w:rsidP="00530EE3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</w:p>
    <w:sectPr w:rsidR="00922632" w:rsidRPr="003076BB" w:rsidSect="008C19F8">
      <w:footerReference w:type="default" r:id="rId7"/>
      <w:pgSz w:w="11906" w:h="16838"/>
      <w:pgMar w:top="993" w:right="1134" w:bottom="993" w:left="1134" w:header="709" w:footer="5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069" w:rsidRDefault="00896069">
      <w:r>
        <w:separator/>
      </w:r>
    </w:p>
  </w:endnote>
  <w:endnote w:type="continuationSeparator" w:id="0">
    <w:p w:rsidR="00896069" w:rsidRDefault="0089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F3" w:rsidRPr="00C06CE5" w:rsidRDefault="00922632">
    <w:pPr>
      <w:pStyle w:val="Stopka"/>
      <w:jc w:val="center"/>
      <w:rPr>
        <w:rFonts w:ascii="Times New Roman" w:hAnsi="Times New Roman"/>
      </w:rPr>
    </w:pPr>
    <w:r w:rsidRPr="00C06CE5">
      <w:rPr>
        <w:rFonts w:ascii="Times New Roman" w:hAnsi="Times New Roman"/>
      </w:rPr>
      <w:fldChar w:fldCharType="begin"/>
    </w:r>
    <w:r w:rsidRPr="00C06CE5">
      <w:rPr>
        <w:rFonts w:ascii="Times New Roman" w:hAnsi="Times New Roman"/>
      </w:rPr>
      <w:instrText xml:space="preserve">\PAGE </w:instrText>
    </w:r>
    <w:r w:rsidRPr="00C06CE5">
      <w:rPr>
        <w:rFonts w:ascii="Times New Roman" w:hAnsi="Times New Roman"/>
      </w:rPr>
      <w:fldChar w:fldCharType="separate"/>
    </w:r>
    <w:r w:rsidR="001A3D1E">
      <w:rPr>
        <w:rFonts w:ascii="Times New Roman" w:hAnsi="Times New Roman"/>
        <w:noProof/>
      </w:rPr>
      <w:t>3</w:t>
    </w:r>
    <w:r w:rsidRPr="00C06CE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069" w:rsidRDefault="00896069">
      <w:r>
        <w:separator/>
      </w:r>
    </w:p>
  </w:footnote>
  <w:footnote w:type="continuationSeparator" w:id="0">
    <w:p w:rsidR="00896069" w:rsidRDefault="00896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47EF3"/>
    <w:multiLevelType w:val="hybridMultilevel"/>
    <w:tmpl w:val="00AC2332"/>
    <w:lvl w:ilvl="0" w:tplc="79E49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32"/>
    <w:rsid w:val="0000552A"/>
    <w:rsid w:val="00015E1D"/>
    <w:rsid w:val="000704A6"/>
    <w:rsid w:val="000A7AFB"/>
    <w:rsid w:val="000B4767"/>
    <w:rsid w:val="000E447E"/>
    <w:rsid w:val="00120F8C"/>
    <w:rsid w:val="00123281"/>
    <w:rsid w:val="00123D92"/>
    <w:rsid w:val="001A3D1E"/>
    <w:rsid w:val="001D0741"/>
    <w:rsid w:val="00207411"/>
    <w:rsid w:val="002173ED"/>
    <w:rsid w:val="00275A4D"/>
    <w:rsid w:val="0029739E"/>
    <w:rsid w:val="002A0C41"/>
    <w:rsid w:val="002A31E7"/>
    <w:rsid w:val="00303572"/>
    <w:rsid w:val="003076BB"/>
    <w:rsid w:val="003331E5"/>
    <w:rsid w:val="003B59C7"/>
    <w:rsid w:val="00444F23"/>
    <w:rsid w:val="004E7BEA"/>
    <w:rsid w:val="00530EE3"/>
    <w:rsid w:val="00645033"/>
    <w:rsid w:val="006A6A66"/>
    <w:rsid w:val="00732C6F"/>
    <w:rsid w:val="007563FA"/>
    <w:rsid w:val="007601E0"/>
    <w:rsid w:val="007F7CEC"/>
    <w:rsid w:val="00896069"/>
    <w:rsid w:val="008C4DFC"/>
    <w:rsid w:val="008D1777"/>
    <w:rsid w:val="00922632"/>
    <w:rsid w:val="00931D6E"/>
    <w:rsid w:val="009738EC"/>
    <w:rsid w:val="00990F4C"/>
    <w:rsid w:val="009E0AE1"/>
    <w:rsid w:val="00A01C33"/>
    <w:rsid w:val="00A026C4"/>
    <w:rsid w:val="00A97789"/>
    <w:rsid w:val="00AA26A5"/>
    <w:rsid w:val="00B17263"/>
    <w:rsid w:val="00B33DB3"/>
    <w:rsid w:val="00B54091"/>
    <w:rsid w:val="00BC2415"/>
    <w:rsid w:val="00CA2441"/>
    <w:rsid w:val="00CF5CE4"/>
    <w:rsid w:val="00D02971"/>
    <w:rsid w:val="00D47C3A"/>
    <w:rsid w:val="00D53814"/>
    <w:rsid w:val="00D61C49"/>
    <w:rsid w:val="00E07B38"/>
    <w:rsid w:val="00E252E0"/>
    <w:rsid w:val="00E40FD0"/>
    <w:rsid w:val="00E619C0"/>
    <w:rsid w:val="00EA1EFE"/>
    <w:rsid w:val="00F04B0B"/>
    <w:rsid w:val="00F25988"/>
    <w:rsid w:val="00FA29F3"/>
    <w:rsid w:val="00FB1216"/>
    <w:rsid w:val="00FC0580"/>
    <w:rsid w:val="00FE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FF2C33-4D7F-41E7-B202-82784600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6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PL" w:eastAsia="Times New Roman" w:hAnsi="Arial P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22632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rsid w:val="00922632"/>
    <w:rPr>
      <w:rFonts w:ascii="Arial PL" w:eastAsia="Times New Roman" w:hAnsi="Arial P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922632"/>
    <w:pPr>
      <w:overflowPunct/>
      <w:autoSpaceDE/>
      <w:autoSpaceDN/>
      <w:adjustRightInd/>
      <w:textAlignment w:val="auto"/>
    </w:pPr>
    <w:rPr>
      <w:rFonts w:ascii="Verdana" w:eastAsia="Arial Unicode MS" w:hAnsi="Verdana" w:cs="Arial Unicode MS"/>
      <w:color w:val="000000"/>
      <w:sz w:val="13"/>
      <w:szCs w:val="13"/>
    </w:rPr>
  </w:style>
  <w:style w:type="paragraph" w:customStyle="1" w:styleId="Default">
    <w:name w:val="Default"/>
    <w:rsid w:val="009226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226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Budnicka Larysa</dc:creator>
  <cp:lastModifiedBy>Koprowska Marlena</cp:lastModifiedBy>
  <cp:revision>2</cp:revision>
  <dcterms:created xsi:type="dcterms:W3CDTF">2022-01-17T09:36:00Z</dcterms:created>
  <dcterms:modified xsi:type="dcterms:W3CDTF">2022-01-17T09:36:00Z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MF\BQPX;Koprowska Marlena</vt:lpwstr>
  </property>
  <property fmtid="{D5CDD505-2E9C-101B-9397-08002B2CF9AE}" pid="4" name="MFClassificationDate">
    <vt:lpwstr>2022-01-03T08:23:31.3307126+01:00</vt:lpwstr>
  </property>
  <property fmtid="{D5CDD505-2E9C-101B-9397-08002B2CF9AE}" pid="5" name="MFClassifiedBySID">
    <vt:lpwstr>MF\S-1-5-21-1525952054-1005573771-2909822258-21372</vt:lpwstr>
  </property>
  <property fmtid="{D5CDD505-2E9C-101B-9397-08002B2CF9AE}" pid="6" name="MFGRNItemId">
    <vt:lpwstr>GRN-bd395448-4fba-41d0-a6cf-3007f56bb983</vt:lpwstr>
  </property>
  <property fmtid="{D5CDD505-2E9C-101B-9397-08002B2CF9AE}" pid="7" name="MFHash">
    <vt:lpwstr>8FxgpmYNM1Yl0id89tUk4LhmqpWFlDLCYXbKhSs7S90=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