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CB976" w14:textId="71639D4D" w:rsidR="00481816" w:rsidRPr="00426B52" w:rsidRDefault="009C77D1" w:rsidP="009C77D1">
      <w:pPr>
        <w:spacing w:after="0" w:line="240" w:lineRule="auto"/>
        <w:jc w:val="center"/>
        <w:rPr>
          <w:b/>
          <w:bCs/>
          <w:lang w:val="en-GB"/>
        </w:rPr>
      </w:pPr>
      <w:r>
        <w:rPr>
          <w:b/>
          <w:bCs/>
          <w:lang w:val="en-GB"/>
        </w:rPr>
        <w:t>DEPARTMENT OF EUROPEAN FUNDS OF THE MINISTRY OF THE INTERIOR AND ADMINISTRATION – PROGRAMME OPERATOR</w:t>
      </w:r>
    </w:p>
    <w:p w14:paraId="62A38E7B" w14:textId="77777777" w:rsidR="00481816" w:rsidRPr="00426B52" w:rsidRDefault="00481816" w:rsidP="009C77D1">
      <w:pPr>
        <w:spacing w:after="0" w:line="240" w:lineRule="auto"/>
        <w:jc w:val="center"/>
        <w:rPr>
          <w:b/>
          <w:bCs/>
          <w:lang w:val="en-GB"/>
        </w:rPr>
      </w:pPr>
      <w:r>
        <w:rPr>
          <w:b/>
          <w:bCs/>
          <w:lang w:val="en-GB"/>
        </w:rPr>
        <w:t>and</w:t>
      </w:r>
    </w:p>
    <w:p w14:paraId="379DF3EF" w14:textId="636C3B6C" w:rsidR="00481816" w:rsidRPr="00426B52" w:rsidRDefault="009C77D1" w:rsidP="009C77D1">
      <w:pPr>
        <w:spacing w:after="0" w:line="240" w:lineRule="auto"/>
        <w:jc w:val="center"/>
        <w:rPr>
          <w:b/>
          <w:bCs/>
          <w:lang w:val="en-GB"/>
        </w:rPr>
      </w:pPr>
      <w:r>
        <w:rPr>
          <w:b/>
          <w:bCs/>
          <w:lang w:val="en-GB"/>
        </w:rPr>
        <w:t xml:space="preserve">EUROPEAN PROJECTS IMPLEMENTATION CENTRE MINISTRY OF THE INTERIOR AND ADMINISTRATION </w:t>
      </w:r>
    </w:p>
    <w:p w14:paraId="41A3EF6A" w14:textId="77777777" w:rsidR="009C77D1" w:rsidRPr="00426B52" w:rsidRDefault="00930772" w:rsidP="009C77D1">
      <w:pPr>
        <w:spacing w:after="0" w:line="240" w:lineRule="auto"/>
        <w:jc w:val="center"/>
        <w:rPr>
          <w:b/>
          <w:bCs/>
          <w:lang w:val="en-GB"/>
        </w:rPr>
      </w:pPr>
      <w:r>
        <w:rPr>
          <w:b/>
          <w:bCs/>
          <w:lang w:val="en-GB"/>
        </w:rPr>
        <w:t xml:space="preserve">ANNOUNCE AN OPEN CALL FOR PROPOSALS </w:t>
      </w:r>
    </w:p>
    <w:p w14:paraId="49249C4F" w14:textId="45DAEFAE" w:rsidR="009C77D1" w:rsidRPr="00426B52" w:rsidRDefault="00930772" w:rsidP="009C77D1">
      <w:pPr>
        <w:spacing w:after="0" w:line="240" w:lineRule="auto"/>
        <w:jc w:val="center"/>
        <w:rPr>
          <w:b/>
          <w:bCs/>
          <w:lang w:val="en-GB"/>
        </w:rPr>
      </w:pPr>
      <w:r>
        <w:rPr>
          <w:b/>
          <w:bCs/>
          <w:lang w:val="en-GB"/>
        </w:rPr>
        <w:t>under the “</w:t>
      </w:r>
      <w:r w:rsidR="00426B52" w:rsidRPr="00393B87">
        <w:rPr>
          <w:b/>
          <w:lang w:val="en-GB"/>
        </w:rPr>
        <w:t xml:space="preserve">HOME </w:t>
      </w:r>
      <w:r w:rsidRPr="00393B87">
        <w:rPr>
          <w:b/>
          <w:lang w:val="en-GB"/>
        </w:rPr>
        <w:t>AFFAIRS</w:t>
      </w:r>
      <w:r>
        <w:rPr>
          <w:b/>
          <w:bCs/>
          <w:lang w:val="en-GB"/>
        </w:rPr>
        <w:t>” Programme for the thematic area no. 20 „</w:t>
      </w:r>
      <w:r>
        <w:rPr>
          <w:b/>
          <w:bCs/>
          <w:i/>
          <w:iCs/>
          <w:lang w:val="en-GB"/>
        </w:rPr>
        <w:t xml:space="preserve">International police cooperation and combating </w:t>
      </w:r>
      <w:r w:rsidR="00410DE4">
        <w:rPr>
          <w:b/>
          <w:bCs/>
          <w:i/>
          <w:iCs/>
          <w:lang w:val="en-GB"/>
        </w:rPr>
        <w:t>crime</w:t>
      </w:r>
      <w:r>
        <w:rPr>
          <w:b/>
          <w:bCs/>
          <w:lang w:val="en-GB"/>
        </w:rPr>
        <w:t xml:space="preserve">” </w:t>
      </w:r>
    </w:p>
    <w:p w14:paraId="1C8D64A2" w14:textId="77777777" w:rsidR="00930772" w:rsidRPr="00426B52" w:rsidRDefault="00930772" w:rsidP="009C77D1">
      <w:pPr>
        <w:spacing w:after="0" w:line="240" w:lineRule="auto"/>
        <w:jc w:val="center"/>
        <w:rPr>
          <w:b/>
          <w:bCs/>
          <w:lang w:val="en-GB"/>
        </w:rPr>
      </w:pPr>
      <w:r>
        <w:rPr>
          <w:b/>
          <w:bCs/>
          <w:lang w:val="en-GB"/>
        </w:rPr>
        <w:t>financed with funds from the Norwegian Financial Mechanism 2014–2021.</w:t>
      </w:r>
    </w:p>
    <w:p w14:paraId="775A5DD6" w14:textId="77777777" w:rsidR="00481816" w:rsidRPr="00426B52" w:rsidRDefault="00481816" w:rsidP="00481816">
      <w:pPr>
        <w:spacing w:after="0" w:line="240" w:lineRule="auto"/>
        <w:jc w:val="center"/>
        <w:rPr>
          <w:b/>
          <w:bCs/>
          <w:lang w:val="en-GB"/>
        </w:rPr>
      </w:pPr>
    </w:p>
    <w:p w14:paraId="60CEC36A" w14:textId="6439F0F3" w:rsidR="00481816" w:rsidRPr="00426B52" w:rsidRDefault="00D33374" w:rsidP="00C35ED9">
      <w:pPr>
        <w:spacing w:after="0" w:line="240" w:lineRule="auto"/>
        <w:jc w:val="both"/>
        <w:rPr>
          <w:lang w:val="en-GB"/>
        </w:rPr>
      </w:pPr>
      <w:r>
        <w:rPr>
          <w:b/>
          <w:bCs/>
          <w:lang w:val="en-GB"/>
        </w:rPr>
        <w:t>Objective:</w:t>
      </w:r>
      <w:r>
        <w:rPr>
          <w:lang w:val="en-GB"/>
        </w:rPr>
        <w:t xml:space="preserve"> The call for proposals’ objective is to strengthen cooperation between law enforcement </w:t>
      </w:r>
      <w:r w:rsidR="003E1324">
        <w:rPr>
          <w:lang w:val="en-GB"/>
        </w:rPr>
        <w:t>services to prevent and detect</w:t>
      </w:r>
      <w:r>
        <w:rPr>
          <w:lang w:val="en-GB"/>
        </w:rPr>
        <w:t xml:space="preserve"> organised crime through the following measures:</w:t>
      </w:r>
    </w:p>
    <w:p w14:paraId="772BB044" w14:textId="71B667D6" w:rsidR="00481816" w:rsidRPr="00426B52" w:rsidRDefault="00481816" w:rsidP="00481816">
      <w:pPr>
        <w:pStyle w:val="Akapitzlist"/>
        <w:numPr>
          <w:ilvl w:val="0"/>
          <w:numId w:val="13"/>
        </w:numPr>
        <w:spacing w:after="0" w:line="240" w:lineRule="auto"/>
        <w:jc w:val="both"/>
        <w:rPr>
          <w:rStyle w:val="tlid-translation"/>
          <w:lang w:val="en-GB"/>
        </w:rPr>
      </w:pPr>
      <w:r>
        <w:rPr>
          <w:rStyle w:val="tlid-translation"/>
          <w:lang w:val="en-GB"/>
        </w:rPr>
        <w:t>ensuring that law enforcement officers have access to modern technologies and appropriate training;</w:t>
      </w:r>
    </w:p>
    <w:p w14:paraId="62161D15" w14:textId="3D820F8D" w:rsidR="004E52A3" w:rsidRPr="00426B52" w:rsidRDefault="00481816" w:rsidP="008E60B6">
      <w:pPr>
        <w:pStyle w:val="Akapitzlist"/>
        <w:numPr>
          <w:ilvl w:val="0"/>
          <w:numId w:val="13"/>
        </w:numPr>
        <w:spacing w:after="0" w:line="240" w:lineRule="auto"/>
        <w:ind w:left="708"/>
        <w:jc w:val="both"/>
        <w:rPr>
          <w:lang w:val="en-GB"/>
        </w:rPr>
      </w:pPr>
      <w:r>
        <w:rPr>
          <w:lang w:val="en-GB"/>
        </w:rPr>
        <w:t>strengthening cooperation between national and international law enforcement authorities, such as</w:t>
      </w:r>
      <w:r w:rsidR="00356870">
        <w:rPr>
          <w:lang w:val="en-GB"/>
        </w:rPr>
        <w:t xml:space="preserve"> Eurojust,</w:t>
      </w:r>
      <w:r>
        <w:rPr>
          <w:lang w:val="en-GB"/>
        </w:rPr>
        <w:t xml:space="preserve"> Europol, Interpol or Frontex. </w:t>
      </w:r>
    </w:p>
    <w:p w14:paraId="05669C8D" w14:textId="1F1E51A4" w:rsidR="00481816" w:rsidRPr="00426B52" w:rsidRDefault="00D33374" w:rsidP="004E52A3">
      <w:pPr>
        <w:spacing w:after="0" w:line="240" w:lineRule="auto"/>
        <w:jc w:val="both"/>
        <w:rPr>
          <w:lang w:val="en-GB"/>
        </w:rPr>
      </w:pPr>
      <w:r>
        <w:rPr>
          <w:lang w:val="en-GB"/>
        </w:rPr>
        <w:t xml:space="preserve">Projects </w:t>
      </w:r>
      <w:r w:rsidR="0049731F">
        <w:rPr>
          <w:lang w:val="en-GB"/>
        </w:rPr>
        <w:t xml:space="preserve">with </w:t>
      </w:r>
      <w:r>
        <w:rPr>
          <w:lang w:val="en-GB"/>
        </w:rPr>
        <w:t>international cooperation</w:t>
      </w:r>
      <w:r w:rsidR="0049731F">
        <w:rPr>
          <w:lang w:val="en-GB"/>
        </w:rPr>
        <w:t xml:space="preserve"> components</w:t>
      </w:r>
      <w:r>
        <w:rPr>
          <w:lang w:val="en-GB"/>
        </w:rPr>
        <w:t xml:space="preserve">, </w:t>
      </w:r>
      <w:r w:rsidR="0049731F">
        <w:rPr>
          <w:lang w:val="en-GB"/>
        </w:rPr>
        <w:t xml:space="preserve">involving </w:t>
      </w:r>
      <w:r>
        <w:rPr>
          <w:lang w:val="en-GB"/>
        </w:rPr>
        <w:t>Eurojust, Europol, Interpol or Frontex</w:t>
      </w:r>
      <w:r w:rsidR="0049731F">
        <w:rPr>
          <w:lang w:val="en-GB"/>
        </w:rPr>
        <w:t xml:space="preserve"> and </w:t>
      </w:r>
      <w:r>
        <w:rPr>
          <w:lang w:val="en-GB"/>
        </w:rPr>
        <w:t xml:space="preserve">addressing issues such as trafficking in human beings, combating domestic and/or gender-based violence, </w:t>
      </w:r>
      <w:r w:rsidR="0049731F">
        <w:rPr>
          <w:lang w:val="en-GB"/>
        </w:rPr>
        <w:t xml:space="preserve">as well as </w:t>
      </w:r>
      <w:r>
        <w:rPr>
          <w:lang w:val="en-GB"/>
        </w:rPr>
        <w:t xml:space="preserve">projects </w:t>
      </w:r>
      <w:r w:rsidR="00D00622">
        <w:rPr>
          <w:lang w:val="en-GB"/>
        </w:rPr>
        <w:t>targeting</w:t>
      </w:r>
      <w:r>
        <w:rPr>
          <w:lang w:val="en-GB"/>
        </w:rPr>
        <w:t xml:space="preserve"> </w:t>
      </w:r>
      <w:r w:rsidR="00D00622">
        <w:rPr>
          <w:lang w:val="en-GB"/>
        </w:rPr>
        <w:t xml:space="preserve">entities operating as part of </w:t>
      </w:r>
      <w:r>
        <w:rPr>
          <w:lang w:val="en-GB"/>
        </w:rPr>
        <w:t>the “</w:t>
      </w:r>
      <w:r w:rsidR="00426B52">
        <w:rPr>
          <w:i/>
          <w:iCs/>
          <w:lang w:val="en-GB"/>
        </w:rPr>
        <w:t xml:space="preserve">Justice </w:t>
      </w:r>
      <w:r w:rsidR="00B26B6D">
        <w:rPr>
          <w:i/>
          <w:iCs/>
          <w:lang w:val="en-GB"/>
        </w:rPr>
        <w:t>c</w:t>
      </w:r>
      <w:r w:rsidR="00426B52">
        <w:rPr>
          <w:i/>
          <w:iCs/>
          <w:lang w:val="en-GB"/>
        </w:rPr>
        <w:t>hain</w:t>
      </w:r>
      <w:r w:rsidR="00410617">
        <w:rPr>
          <w:i/>
          <w:iCs/>
          <w:lang w:val="en-GB"/>
        </w:rPr>
        <w:t>”</w:t>
      </w:r>
      <w:r>
        <w:rPr>
          <w:rStyle w:val="Odwoanieprzypisudolnego"/>
          <w:i/>
          <w:iCs/>
          <w:lang w:val="en-GB"/>
        </w:rPr>
        <w:footnoteReference w:id="2"/>
      </w:r>
      <w:r>
        <w:rPr>
          <w:lang w:val="en-GB"/>
        </w:rPr>
        <w:t xml:space="preserve"> will receive </w:t>
      </w:r>
      <w:r>
        <w:rPr>
          <w:b/>
          <w:bCs/>
          <w:lang w:val="en-GB"/>
        </w:rPr>
        <w:t>additional points</w:t>
      </w:r>
      <w:r>
        <w:rPr>
          <w:lang w:val="en-GB"/>
        </w:rPr>
        <w:t>.</w:t>
      </w:r>
    </w:p>
    <w:p w14:paraId="4C90929B" w14:textId="77777777" w:rsidR="00481816" w:rsidRPr="00426B52" w:rsidRDefault="00481816" w:rsidP="00481816">
      <w:pPr>
        <w:spacing w:after="0" w:line="240" w:lineRule="auto"/>
        <w:ind w:left="708"/>
        <w:jc w:val="both"/>
        <w:rPr>
          <w:lang w:val="en-GB"/>
        </w:rPr>
      </w:pPr>
    </w:p>
    <w:p w14:paraId="615525CA" w14:textId="08ED8C82" w:rsidR="00A70EFA" w:rsidRPr="00426B52" w:rsidRDefault="00F93152" w:rsidP="00C35ED9">
      <w:pPr>
        <w:spacing w:after="120" w:line="240" w:lineRule="auto"/>
        <w:jc w:val="both"/>
        <w:rPr>
          <w:rStyle w:val="tlid-translation"/>
          <w:lang w:val="en-GB"/>
        </w:rPr>
      </w:pPr>
      <w:r>
        <w:rPr>
          <w:rStyle w:val="tlid-translation"/>
          <w:b/>
          <w:bCs/>
          <w:lang w:val="en-GB"/>
        </w:rPr>
        <w:t>Eligible</w:t>
      </w:r>
      <w:r w:rsidR="00405706">
        <w:rPr>
          <w:rStyle w:val="tlid-translation"/>
          <w:b/>
          <w:bCs/>
          <w:lang w:val="en-GB"/>
        </w:rPr>
        <w:t xml:space="preserve"> applicants: </w:t>
      </w:r>
      <w:r w:rsidR="00405706">
        <w:rPr>
          <w:rStyle w:val="tlid-translation"/>
          <w:lang w:val="en-GB"/>
        </w:rPr>
        <w:t xml:space="preserve">public </w:t>
      </w:r>
      <w:r w:rsidR="00B879DB">
        <w:rPr>
          <w:rStyle w:val="tlid-translation"/>
          <w:lang w:val="en-GB"/>
        </w:rPr>
        <w:t>entity</w:t>
      </w:r>
      <w:r w:rsidR="00405706">
        <w:rPr>
          <w:rStyle w:val="tlid-translation"/>
          <w:lang w:val="en-GB"/>
        </w:rPr>
        <w:t xml:space="preserve">, i.e. institutions representing the public finance sector (pursuant to the Act on public finance, </w:t>
      </w:r>
      <w:r w:rsidR="00405706">
        <w:rPr>
          <w:rStyle w:val="tlid-translation"/>
          <w:i/>
          <w:iCs/>
          <w:lang w:val="en-GB"/>
        </w:rPr>
        <w:t>Dz. U. [Journal of Laws] of 2019, item 869)</w:t>
      </w:r>
      <w:r w:rsidR="00405706">
        <w:rPr>
          <w:rStyle w:val="tlid-translation"/>
          <w:lang w:val="en-GB"/>
        </w:rPr>
        <w:t xml:space="preserve">, non-governmental organisations </w:t>
      </w:r>
      <w:r w:rsidR="00D00622">
        <w:rPr>
          <w:rStyle w:val="tlid-translation"/>
          <w:lang w:val="en-GB"/>
        </w:rPr>
        <w:t xml:space="preserve">established as legal </w:t>
      </w:r>
      <w:r w:rsidR="000F3FBA">
        <w:rPr>
          <w:rStyle w:val="tlid-translation"/>
          <w:lang w:val="en-GB"/>
        </w:rPr>
        <w:t xml:space="preserve">person </w:t>
      </w:r>
      <w:r w:rsidR="00D00622">
        <w:rPr>
          <w:rStyle w:val="tlid-translation"/>
          <w:lang w:val="en-GB"/>
        </w:rPr>
        <w:t>in Poland</w:t>
      </w:r>
      <w:r w:rsidR="00D00622" w:rsidRPr="00E106E2">
        <w:rPr>
          <w:rStyle w:val="tlid-translation"/>
          <w:lang w:val="en-GB"/>
        </w:rPr>
        <w:t xml:space="preserve"> </w:t>
      </w:r>
      <w:r w:rsidR="00D00622">
        <w:rPr>
          <w:rStyle w:val="tlid-translation"/>
          <w:lang w:val="en-GB"/>
        </w:rPr>
        <w:t>,</w:t>
      </w:r>
      <w:r w:rsidR="00405706">
        <w:rPr>
          <w:rStyle w:val="tlid-translation"/>
          <w:lang w:val="en-GB"/>
        </w:rPr>
        <w:t xml:space="preserve"> </w:t>
      </w:r>
      <w:r w:rsidR="00D00622">
        <w:rPr>
          <w:rStyle w:val="tlid-translation"/>
          <w:lang w:val="en-GB"/>
        </w:rPr>
        <w:t xml:space="preserve">operating </w:t>
      </w:r>
      <w:r w:rsidR="00405706">
        <w:rPr>
          <w:rStyle w:val="tlid-translation"/>
          <w:lang w:val="en-GB"/>
        </w:rPr>
        <w:t xml:space="preserve">in the area of international police cooperation and combating </w:t>
      </w:r>
      <w:r w:rsidR="00410617">
        <w:rPr>
          <w:rStyle w:val="tlid-translation"/>
          <w:lang w:val="en-GB"/>
        </w:rPr>
        <w:t>crime</w:t>
      </w:r>
      <w:r w:rsidR="00405706">
        <w:rPr>
          <w:rStyle w:val="Odwoanieprzypisudolnego"/>
          <w:lang w:val="en-GB"/>
        </w:rPr>
        <w:footnoteReference w:id="3"/>
      </w:r>
      <w:r w:rsidR="00405706">
        <w:rPr>
          <w:rStyle w:val="tlid-translation"/>
          <w:lang w:val="en-GB"/>
        </w:rPr>
        <w:t>, as well as international organisations or their bodies or agencies operating in the area of international police cooperation and combating crim</w:t>
      </w:r>
      <w:r w:rsidR="00584340">
        <w:rPr>
          <w:rStyle w:val="tlid-translation"/>
          <w:lang w:val="en-GB"/>
        </w:rPr>
        <w:t>e</w:t>
      </w:r>
      <w:r w:rsidR="00405706">
        <w:rPr>
          <w:rStyle w:val="Odwoanieprzypisudolnego"/>
          <w:lang w:val="en-GB"/>
        </w:rPr>
        <w:footnoteReference w:id="4"/>
      </w:r>
      <w:r w:rsidR="00405706">
        <w:rPr>
          <w:rStyle w:val="tlid-translation"/>
          <w:lang w:val="en-GB"/>
        </w:rPr>
        <w:t>.</w:t>
      </w:r>
    </w:p>
    <w:p w14:paraId="1A979C4A" w14:textId="154A0DF5" w:rsidR="009004CF" w:rsidRPr="00426B52" w:rsidRDefault="00F93152" w:rsidP="009004CF">
      <w:pPr>
        <w:spacing w:after="120" w:line="240" w:lineRule="auto"/>
        <w:jc w:val="both"/>
        <w:rPr>
          <w:rStyle w:val="tlid-translation"/>
          <w:lang w:val="en-GB"/>
        </w:rPr>
      </w:pPr>
      <w:r>
        <w:rPr>
          <w:rStyle w:val="tlid-translation"/>
          <w:b/>
          <w:bCs/>
          <w:lang w:val="en-GB"/>
        </w:rPr>
        <w:t>Eligible partner</w:t>
      </w:r>
      <w:r w:rsidR="00584340">
        <w:rPr>
          <w:rStyle w:val="tlid-translation"/>
          <w:b/>
          <w:bCs/>
          <w:lang w:val="en-GB"/>
        </w:rPr>
        <w:t>s</w:t>
      </w:r>
      <w:r w:rsidR="008216E0">
        <w:rPr>
          <w:rStyle w:val="tlid-translation"/>
          <w:b/>
          <w:bCs/>
          <w:lang w:val="en-GB"/>
        </w:rPr>
        <w:t xml:space="preserve">: </w:t>
      </w:r>
      <w:r w:rsidR="00E106E2">
        <w:rPr>
          <w:rStyle w:val="tlid-translation"/>
          <w:lang w:val="en-GB"/>
        </w:rPr>
        <w:t xml:space="preserve">public </w:t>
      </w:r>
      <w:r w:rsidR="00B879DB">
        <w:rPr>
          <w:rStyle w:val="tlid-translation"/>
          <w:lang w:val="en-GB"/>
        </w:rPr>
        <w:t>entity</w:t>
      </w:r>
      <w:r w:rsidR="00E106E2">
        <w:rPr>
          <w:rStyle w:val="tlid-translation"/>
          <w:lang w:val="en-GB"/>
        </w:rPr>
        <w:t xml:space="preserve">, i.e. </w:t>
      </w:r>
      <w:r w:rsidR="008216E0">
        <w:rPr>
          <w:rStyle w:val="tlid-translation"/>
          <w:lang w:val="en-GB"/>
        </w:rPr>
        <w:t xml:space="preserve">institutions representing the public finance sector (pursuant to the Act on </w:t>
      </w:r>
      <w:r w:rsidR="008216E0">
        <w:rPr>
          <w:rStyle w:val="tlid-translation"/>
          <w:i/>
          <w:iCs/>
          <w:lang w:val="en-GB"/>
        </w:rPr>
        <w:t>public finance)</w:t>
      </w:r>
      <w:r w:rsidR="008216E0">
        <w:rPr>
          <w:rStyle w:val="tlid-translation"/>
          <w:lang w:val="en-GB"/>
        </w:rPr>
        <w:t xml:space="preserve">, non-governmental organisations </w:t>
      </w:r>
      <w:r w:rsidR="000F3FBA">
        <w:rPr>
          <w:rStyle w:val="tlid-translation"/>
          <w:lang w:val="en-GB"/>
        </w:rPr>
        <w:t>established as a legal person either</w:t>
      </w:r>
      <w:r w:rsidR="008216E0">
        <w:rPr>
          <w:rStyle w:val="tlid-translation"/>
          <w:lang w:val="en-GB"/>
        </w:rPr>
        <w:t xml:space="preserve"> in </w:t>
      </w:r>
      <w:r w:rsidR="000F3FBA" w:rsidRPr="000F3FBA">
        <w:rPr>
          <w:rStyle w:val="tlid-translation"/>
          <w:lang w:val="en-GB"/>
        </w:rPr>
        <w:t xml:space="preserve"> </w:t>
      </w:r>
      <w:r w:rsidR="000F3FBA">
        <w:rPr>
          <w:rStyle w:val="tlid-translation"/>
          <w:lang w:val="en-GB"/>
        </w:rPr>
        <w:t xml:space="preserve">Norway, </w:t>
      </w:r>
      <w:r w:rsidR="008216E0">
        <w:rPr>
          <w:rStyle w:val="tlid-translation"/>
          <w:lang w:val="en-GB"/>
        </w:rPr>
        <w:t xml:space="preserve">Poland, </w:t>
      </w:r>
      <w:r w:rsidR="000F3FBA">
        <w:rPr>
          <w:rStyle w:val="tlid-translation"/>
          <w:lang w:val="en-GB"/>
        </w:rPr>
        <w:t xml:space="preserve">other Beneficiary State </w:t>
      </w:r>
      <w:r w:rsidR="008216E0">
        <w:rPr>
          <w:rStyle w:val="tlid-translation"/>
          <w:lang w:val="en-GB"/>
        </w:rPr>
        <w:t xml:space="preserve">or a country outside the European Economic Area </w:t>
      </w:r>
      <w:r w:rsidR="00B879DB">
        <w:rPr>
          <w:rStyle w:val="tlid-translation"/>
          <w:lang w:val="en-GB"/>
        </w:rPr>
        <w:t xml:space="preserve">that has a common </w:t>
      </w:r>
      <w:r w:rsidR="008216E0">
        <w:rPr>
          <w:rStyle w:val="tlid-translation"/>
          <w:lang w:val="en-GB"/>
        </w:rPr>
        <w:t xml:space="preserve">border with Poland, and </w:t>
      </w:r>
      <w:r w:rsidR="00D00622">
        <w:rPr>
          <w:rStyle w:val="tlid-translation"/>
          <w:lang w:val="en-GB"/>
        </w:rPr>
        <w:t xml:space="preserve">are </w:t>
      </w:r>
      <w:r w:rsidR="008216E0">
        <w:rPr>
          <w:rStyle w:val="tlid-translation"/>
          <w:lang w:val="en-GB"/>
        </w:rPr>
        <w:t>actively operating in the area of international police cooperation and combating crim</w:t>
      </w:r>
      <w:r w:rsidR="00584340">
        <w:rPr>
          <w:rStyle w:val="tlid-translation"/>
          <w:lang w:val="en-GB"/>
        </w:rPr>
        <w:t>e</w:t>
      </w:r>
      <w:r w:rsidR="008216E0">
        <w:rPr>
          <w:rStyle w:val="Odwoanieprzypisudolnego"/>
          <w:lang w:val="en-GB"/>
        </w:rPr>
        <w:footnoteReference w:id="5"/>
      </w:r>
      <w:r w:rsidR="008216E0">
        <w:rPr>
          <w:rStyle w:val="tlid-translation"/>
          <w:lang w:val="en-GB"/>
        </w:rPr>
        <w:t>, as well as international organisations or their bodies, or agencies operating in the area of international police cooperation and combating crim</w:t>
      </w:r>
      <w:r w:rsidR="00584340">
        <w:rPr>
          <w:rStyle w:val="tlid-translation"/>
          <w:lang w:val="en-GB"/>
        </w:rPr>
        <w:t>e</w:t>
      </w:r>
      <w:r w:rsidR="008216E0">
        <w:rPr>
          <w:rStyle w:val="Odwoanieprzypisudolnego"/>
          <w:lang w:val="en-GB"/>
        </w:rPr>
        <w:footnoteReference w:id="6"/>
      </w:r>
      <w:r w:rsidR="008216E0">
        <w:rPr>
          <w:rStyle w:val="tlid-translation"/>
          <w:lang w:val="en-GB"/>
        </w:rPr>
        <w:t>.</w:t>
      </w:r>
    </w:p>
    <w:p w14:paraId="2E1E7707" w14:textId="256631D0" w:rsidR="008216E0" w:rsidRPr="00426B52" w:rsidRDefault="008216E0" w:rsidP="00C35ED9">
      <w:pPr>
        <w:jc w:val="both"/>
        <w:rPr>
          <w:rStyle w:val="tlid-translation"/>
          <w:lang w:val="en-GB"/>
        </w:rPr>
      </w:pPr>
      <w:r>
        <w:rPr>
          <w:b/>
          <w:bCs/>
          <w:lang w:val="en-GB"/>
        </w:rPr>
        <w:t xml:space="preserve">Total amount available under the call: </w:t>
      </w:r>
      <w:r w:rsidR="0021583A" w:rsidRPr="0021583A">
        <w:rPr>
          <w:lang w:val="en-GB"/>
        </w:rPr>
        <w:t xml:space="preserve">EUR 4,701,069 - PLN 20 220 237,98 (calculated on the basis of the average monthly exchange rate for the European Central Bank, calculated for the 6 month period prior to the day of publication, </w:t>
      </w:r>
      <w:proofErr w:type="spellStart"/>
      <w:r w:rsidR="0021583A" w:rsidRPr="0021583A">
        <w:rPr>
          <w:lang w:val="en-GB"/>
        </w:rPr>
        <w:t>ie</w:t>
      </w:r>
      <w:proofErr w:type="spellEnd"/>
      <w:r w:rsidR="0021583A" w:rsidRPr="0021583A">
        <w:rPr>
          <w:lang w:val="en-GB"/>
        </w:rPr>
        <w:t>. 1 EUR = 4.3012 PLN).</w:t>
      </w:r>
      <w:bookmarkStart w:id="0" w:name="_GoBack"/>
      <w:bookmarkEnd w:id="0"/>
    </w:p>
    <w:p w14:paraId="61C9055B" w14:textId="13E7BEB3" w:rsidR="00D803DB" w:rsidRPr="00426B52" w:rsidRDefault="005D755E" w:rsidP="00134E13">
      <w:pPr>
        <w:spacing w:after="120" w:line="240" w:lineRule="auto"/>
        <w:ind w:left="1560" w:hanging="1560"/>
        <w:jc w:val="both"/>
        <w:rPr>
          <w:lang w:val="en-GB"/>
        </w:rPr>
      </w:pPr>
      <w:r>
        <w:rPr>
          <w:b/>
          <w:bCs/>
          <w:lang w:val="en-GB"/>
        </w:rPr>
        <w:lastRenderedPageBreak/>
        <w:t>Project funding:</w:t>
      </w:r>
      <w:r>
        <w:rPr>
          <w:lang w:val="en-GB"/>
        </w:rPr>
        <w:t xml:space="preserve"> minimum </w:t>
      </w:r>
      <w:r w:rsidR="003E1324">
        <w:rPr>
          <w:lang w:val="en-GB"/>
        </w:rPr>
        <w:t>grant</w:t>
      </w:r>
      <w:r>
        <w:rPr>
          <w:lang w:val="en-GB"/>
        </w:rPr>
        <w:t xml:space="preserve"> amount for a project is EUR 200,</w:t>
      </w:r>
      <w:r w:rsidR="00134E13">
        <w:rPr>
          <w:lang w:val="en-GB"/>
        </w:rPr>
        <w:t>000, with the maximum being EUR </w:t>
      </w:r>
      <w:r>
        <w:rPr>
          <w:lang w:val="en-GB"/>
        </w:rPr>
        <w:t xml:space="preserve">1,500,000. </w:t>
      </w:r>
    </w:p>
    <w:p w14:paraId="77DF6EA3" w14:textId="34F9A8DF" w:rsidR="005D755E" w:rsidRPr="00426B52" w:rsidRDefault="005D755E" w:rsidP="002B6CF0">
      <w:pPr>
        <w:pStyle w:val="Default"/>
        <w:jc w:val="both"/>
        <w:rPr>
          <w:sz w:val="22"/>
          <w:szCs w:val="22"/>
          <w:lang w:val="en-GB"/>
        </w:rPr>
      </w:pPr>
      <w:r>
        <w:rPr>
          <w:b/>
          <w:bCs/>
          <w:sz w:val="22"/>
          <w:szCs w:val="22"/>
          <w:lang w:val="en-GB"/>
        </w:rPr>
        <w:t xml:space="preserve">Level of </w:t>
      </w:r>
      <w:r w:rsidR="003E1324">
        <w:rPr>
          <w:b/>
          <w:bCs/>
          <w:sz w:val="22"/>
          <w:szCs w:val="22"/>
          <w:lang w:val="en-GB"/>
        </w:rPr>
        <w:t>grant</w:t>
      </w:r>
      <w:r>
        <w:rPr>
          <w:b/>
          <w:bCs/>
          <w:sz w:val="22"/>
          <w:szCs w:val="22"/>
          <w:lang w:val="en-GB"/>
        </w:rPr>
        <w:t xml:space="preserve"> from </w:t>
      </w:r>
      <w:r w:rsidR="003E1324">
        <w:rPr>
          <w:b/>
          <w:bCs/>
          <w:sz w:val="22"/>
          <w:szCs w:val="22"/>
          <w:lang w:val="en-GB"/>
        </w:rPr>
        <w:t>the “Home Affairs” Programme within NFM  for beneficiaries being public entities</w:t>
      </w:r>
      <w:r w:rsidR="003E1324">
        <w:rPr>
          <w:sz w:val="22"/>
          <w:szCs w:val="22"/>
          <w:lang w:val="en-GB"/>
        </w:rPr>
        <w:t xml:space="preserve"> is the equivalent to up to 100% of eligible costs</w:t>
      </w:r>
      <w:r w:rsidR="003E1324">
        <w:rPr>
          <w:rStyle w:val="Odwoanieprzypisudolnego"/>
          <w:sz w:val="22"/>
          <w:szCs w:val="22"/>
          <w:lang w:val="en-GB"/>
        </w:rPr>
        <w:footnoteReference w:id="7"/>
      </w:r>
      <w:r>
        <w:rPr>
          <w:sz w:val="22"/>
          <w:szCs w:val="22"/>
          <w:lang w:val="en-GB"/>
        </w:rPr>
        <w:t xml:space="preserve">. </w:t>
      </w:r>
    </w:p>
    <w:p w14:paraId="51A469B6" w14:textId="2F516DF0" w:rsidR="00D803DB" w:rsidRPr="00426B52" w:rsidRDefault="00D803DB" w:rsidP="00C35ED9">
      <w:pPr>
        <w:spacing w:after="0" w:line="240" w:lineRule="auto"/>
        <w:jc w:val="both"/>
        <w:rPr>
          <w:lang w:val="en-GB"/>
        </w:rPr>
      </w:pPr>
      <w:r>
        <w:rPr>
          <w:b/>
          <w:bCs/>
          <w:lang w:val="en-GB"/>
        </w:rPr>
        <w:t xml:space="preserve">Level of </w:t>
      </w:r>
      <w:r w:rsidR="003E1324">
        <w:rPr>
          <w:b/>
          <w:bCs/>
          <w:lang w:val="en-GB"/>
        </w:rPr>
        <w:t>grant from the “Home Affairs” Programme within NFM for</w:t>
      </w:r>
      <w:r>
        <w:rPr>
          <w:b/>
          <w:bCs/>
          <w:lang w:val="en-GB"/>
        </w:rPr>
        <w:t xml:space="preserve"> </w:t>
      </w:r>
      <w:r w:rsidR="003E1324">
        <w:rPr>
          <w:b/>
          <w:bCs/>
          <w:lang w:val="en-GB"/>
        </w:rPr>
        <w:t xml:space="preserve">beneficiaries </w:t>
      </w:r>
      <w:r w:rsidR="00F61A9E">
        <w:rPr>
          <w:b/>
          <w:bCs/>
          <w:lang w:val="en-GB"/>
        </w:rPr>
        <w:t xml:space="preserve">that are </w:t>
      </w:r>
      <w:r>
        <w:rPr>
          <w:b/>
          <w:bCs/>
          <w:lang w:val="en-GB"/>
        </w:rPr>
        <w:t>non-governmental organisations or international organisations</w:t>
      </w:r>
      <w:r>
        <w:rPr>
          <w:lang w:val="en-GB"/>
        </w:rPr>
        <w:t xml:space="preserve"> is equivalent </w:t>
      </w:r>
      <w:r w:rsidR="0068686A">
        <w:rPr>
          <w:lang w:val="en-GB"/>
        </w:rPr>
        <w:t xml:space="preserve">to </w:t>
      </w:r>
      <w:r>
        <w:rPr>
          <w:lang w:val="en-GB"/>
        </w:rPr>
        <w:t>up to 90% of eligible costs. The application must include the applicant’s declaration of own contribution made towards the project’s implementation in the amount equivalent to at least 10%, from the applicant’s own funds and/or funds obtained from other sources of funding and/or in the form of voluntary work.</w:t>
      </w:r>
    </w:p>
    <w:p w14:paraId="2B7846C2" w14:textId="77777777" w:rsidR="009C7513" w:rsidRPr="00426B52" w:rsidRDefault="009C7513" w:rsidP="00C35ED9">
      <w:pPr>
        <w:spacing w:after="0" w:line="240" w:lineRule="auto"/>
        <w:jc w:val="both"/>
        <w:rPr>
          <w:lang w:val="en-GB"/>
        </w:rPr>
      </w:pPr>
    </w:p>
    <w:p w14:paraId="403F3992" w14:textId="77777777" w:rsidR="009C7513" w:rsidRPr="00426B52" w:rsidRDefault="009C7513" w:rsidP="00C35ED9">
      <w:pPr>
        <w:jc w:val="both"/>
        <w:rPr>
          <w:b/>
          <w:bCs/>
          <w:lang w:val="en-GB"/>
        </w:rPr>
      </w:pPr>
      <w:r>
        <w:rPr>
          <w:b/>
          <w:bCs/>
          <w:lang w:val="en-GB"/>
        </w:rPr>
        <w:t>Eligibility of expenditures:</w:t>
      </w:r>
    </w:p>
    <w:p w14:paraId="54907F9D" w14:textId="57636C3B" w:rsidR="009C7513" w:rsidRPr="00426B52" w:rsidRDefault="009C7513" w:rsidP="00C35ED9">
      <w:pPr>
        <w:jc w:val="both"/>
        <w:rPr>
          <w:lang w:val="en-GB"/>
        </w:rPr>
      </w:pPr>
      <w:r>
        <w:rPr>
          <w:lang w:val="en-GB"/>
        </w:rPr>
        <w:t xml:space="preserve">Expenditure shall be considered eligible in accordance with the general principles, pursuant to Article 8.3 of the </w:t>
      </w:r>
      <w:r>
        <w:rPr>
          <w:i/>
          <w:iCs/>
          <w:lang w:val="en-GB"/>
        </w:rPr>
        <w:t xml:space="preserve">Regulation on the implementation of the Norwegian Financial Mechanism 2014–2021 </w:t>
      </w:r>
      <w:r>
        <w:rPr>
          <w:lang w:val="en-GB"/>
        </w:rPr>
        <w:t xml:space="preserve">(available </w:t>
      </w:r>
      <w:r w:rsidR="00F61A9E">
        <w:rPr>
          <w:lang w:val="en-GB"/>
        </w:rPr>
        <w:t>at</w:t>
      </w:r>
      <w:r>
        <w:rPr>
          <w:lang w:val="en-GB"/>
        </w:rPr>
        <w:t xml:space="preserve"> </w:t>
      </w:r>
      <w:r w:rsidRPr="005316D5">
        <w:rPr>
          <w:lang w:val="en-GB"/>
        </w:rPr>
        <w:t>fundusze.mswia.gov.pl).</w:t>
      </w:r>
    </w:p>
    <w:p w14:paraId="467C8140" w14:textId="419B6465" w:rsidR="009C7513" w:rsidRPr="00426B52" w:rsidRDefault="009C7513" w:rsidP="00C35ED9">
      <w:pPr>
        <w:jc w:val="both"/>
        <w:rPr>
          <w:lang w:val="en-GB"/>
        </w:rPr>
      </w:pPr>
      <w:r>
        <w:rPr>
          <w:lang w:val="en-GB"/>
        </w:rPr>
        <w:t xml:space="preserve">In particular, the following </w:t>
      </w:r>
      <w:r>
        <w:rPr>
          <w:b/>
          <w:bCs/>
          <w:lang w:val="en-GB"/>
        </w:rPr>
        <w:t>direct expenditure</w:t>
      </w:r>
      <w:r w:rsidR="00356870">
        <w:rPr>
          <w:b/>
          <w:bCs/>
          <w:lang w:val="en-GB"/>
        </w:rPr>
        <w:t>s</w:t>
      </w:r>
      <w:r>
        <w:rPr>
          <w:b/>
          <w:bCs/>
          <w:lang w:val="en-GB"/>
        </w:rPr>
        <w:t xml:space="preserve"> </w:t>
      </w:r>
      <w:r>
        <w:rPr>
          <w:lang w:val="en-GB"/>
        </w:rPr>
        <w:t xml:space="preserve">shall be considered eligible upon meeting the criteria listed in Article 8.3.1 </w:t>
      </w:r>
      <w:r>
        <w:rPr>
          <w:rStyle w:val="HTML-cytat"/>
          <w:lang w:val="en-GB"/>
        </w:rPr>
        <w:t xml:space="preserve"> of the Regulation</w:t>
      </w:r>
      <w:r>
        <w:rPr>
          <w:lang w:val="en-GB"/>
        </w:rPr>
        <w:t>:</w:t>
      </w:r>
    </w:p>
    <w:p w14:paraId="31775E93" w14:textId="1258385A" w:rsidR="00C35ED9" w:rsidRPr="00426B52" w:rsidRDefault="002326AD" w:rsidP="002326AD">
      <w:pPr>
        <w:pStyle w:val="Akapitzlist"/>
        <w:numPr>
          <w:ilvl w:val="0"/>
          <w:numId w:val="6"/>
        </w:numPr>
        <w:autoSpaceDE w:val="0"/>
        <w:autoSpaceDN w:val="0"/>
        <w:adjustRightInd w:val="0"/>
        <w:spacing w:after="0" w:line="240" w:lineRule="auto"/>
        <w:jc w:val="both"/>
        <w:rPr>
          <w:rFonts w:ascii="Calibri" w:hAnsi="Calibri" w:cs="Calibri"/>
          <w:lang w:val="en-GB"/>
        </w:rPr>
      </w:pPr>
      <w:r w:rsidRPr="002326AD">
        <w:rPr>
          <w:rFonts w:ascii="Calibri" w:hAnsi="Calibri" w:cs="Calibri"/>
          <w:lang w:val="en-GB"/>
        </w:rPr>
        <w:t>the cost of staff assigned to the project, comprising actual salaries plus social security charges and other statutory costs included in the remuneration, provided that this corresponds to the Project Promoter’s and project partner’s usual policy on</w:t>
      </w:r>
      <w:r w:rsidR="0068686A">
        <w:rPr>
          <w:rFonts w:ascii="Calibri" w:hAnsi="Calibri" w:cs="Calibri"/>
          <w:lang w:val="en-GB"/>
        </w:rPr>
        <w:t xml:space="preserve"> remuneration</w:t>
      </w:r>
      <w:r w:rsidRPr="002326AD">
        <w:rPr>
          <w:rFonts w:ascii="Calibri" w:hAnsi="Calibri" w:cs="Calibri"/>
          <w:lang w:val="en-GB"/>
        </w:rPr>
        <w:t>. The corresponding salary costs of staff of national administrations</w:t>
      </w:r>
      <w:r w:rsidR="0068686A" w:rsidRPr="002326AD">
        <w:rPr>
          <w:rFonts w:ascii="Calibri" w:hAnsi="Calibri" w:cs="Calibri"/>
          <w:lang w:val="en-GB"/>
        </w:rPr>
        <w:t xml:space="preserve"> </w:t>
      </w:r>
      <w:r w:rsidRPr="002326AD">
        <w:rPr>
          <w:rFonts w:ascii="Calibri" w:hAnsi="Calibri" w:cs="Calibri"/>
          <w:lang w:val="en-GB"/>
        </w:rPr>
        <w:t>are eligible to the extent that they relate to the cost of activities which the relevant public authority would not carry out if the project concerned were</w:t>
      </w:r>
      <w:r w:rsidR="00F61A9E" w:rsidRPr="002326AD">
        <w:rPr>
          <w:rFonts w:ascii="Calibri" w:hAnsi="Calibri" w:cs="Calibri"/>
          <w:lang w:val="en-GB"/>
        </w:rPr>
        <w:t xml:space="preserve"> </w:t>
      </w:r>
      <w:r w:rsidRPr="002326AD">
        <w:rPr>
          <w:rFonts w:ascii="Calibri" w:hAnsi="Calibri" w:cs="Calibri"/>
          <w:lang w:val="en-GB"/>
        </w:rPr>
        <w:t>not</w:t>
      </w:r>
      <w:r w:rsidR="00F61A9E">
        <w:rPr>
          <w:rFonts w:ascii="Calibri" w:hAnsi="Calibri" w:cs="Calibri"/>
          <w:lang w:val="en-GB"/>
        </w:rPr>
        <w:t xml:space="preserve"> </w:t>
      </w:r>
      <w:r w:rsidRPr="002326AD">
        <w:rPr>
          <w:rFonts w:ascii="Calibri" w:hAnsi="Calibri" w:cs="Calibri"/>
          <w:lang w:val="en-GB"/>
        </w:rPr>
        <w:t>undertaken</w:t>
      </w:r>
      <w:r w:rsidR="009C7513">
        <w:rPr>
          <w:rFonts w:ascii="Calibri" w:hAnsi="Calibri" w:cs="Calibri"/>
          <w:lang w:val="en-GB"/>
        </w:rPr>
        <w:t>;</w:t>
      </w:r>
    </w:p>
    <w:p w14:paraId="4B73FD93" w14:textId="0AC3C32D" w:rsidR="00C35ED9" w:rsidRPr="00426B52" w:rsidRDefault="002326AD" w:rsidP="002326AD">
      <w:pPr>
        <w:pStyle w:val="Akapitzlist"/>
        <w:numPr>
          <w:ilvl w:val="0"/>
          <w:numId w:val="6"/>
        </w:numPr>
        <w:autoSpaceDE w:val="0"/>
        <w:autoSpaceDN w:val="0"/>
        <w:adjustRightInd w:val="0"/>
        <w:spacing w:after="0" w:line="240" w:lineRule="auto"/>
        <w:jc w:val="both"/>
        <w:rPr>
          <w:rFonts w:ascii="Calibri" w:hAnsi="Calibri" w:cs="Calibri"/>
          <w:lang w:val="en-GB"/>
        </w:rPr>
      </w:pPr>
      <w:r w:rsidRPr="002326AD">
        <w:rPr>
          <w:rFonts w:ascii="Calibri" w:hAnsi="Calibri" w:cs="Calibri"/>
          <w:lang w:val="en-GB"/>
        </w:rPr>
        <w:t>travel and subsistence allowances for staff taking part in the project. Having regard to the principle of proportionality, travel costs, including subsistence allowance, may be calculated as a lump sum, on the basis of defined rules approved by the Programme Operator</w:t>
      </w:r>
      <w:r w:rsidR="009C7513">
        <w:rPr>
          <w:rFonts w:ascii="Calibri" w:hAnsi="Calibri" w:cs="Calibri"/>
          <w:lang w:val="en-GB"/>
        </w:rPr>
        <w:t>;</w:t>
      </w:r>
    </w:p>
    <w:p w14:paraId="490DA6A8" w14:textId="5A05E17B" w:rsidR="009C7513" w:rsidRPr="00426B52" w:rsidRDefault="002326AD" w:rsidP="002326AD">
      <w:pPr>
        <w:pStyle w:val="Akapitzlist"/>
        <w:numPr>
          <w:ilvl w:val="0"/>
          <w:numId w:val="6"/>
        </w:numPr>
        <w:autoSpaceDE w:val="0"/>
        <w:autoSpaceDN w:val="0"/>
        <w:adjustRightInd w:val="0"/>
        <w:spacing w:after="0" w:line="240" w:lineRule="auto"/>
        <w:jc w:val="both"/>
        <w:rPr>
          <w:rFonts w:ascii="Calibri" w:hAnsi="Calibri" w:cs="Calibri"/>
          <w:lang w:val="en-GB"/>
        </w:rPr>
      </w:pPr>
      <w:r w:rsidRPr="002326AD">
        <w:rPr>
          <w:rFonts w:ascii="Calibri" w:hAnsi="Calibri" w:cs="Calibri"/>
          <w:lang w:val="en-GB"/>
        </w:rPr>
        <w:t>cost of new or second hand equipment. In case the Programme Operator determines that the equipment is an integral and necessary component for achieving the outcomes of the project,</w:t>
      </w:r>
      <w:r w:rsidR="0068686A">
        <w:rPr>
          <w:rFonts w:ascii="Calibri" w:hAnsi="Calibri" w:cs="Calibri"/>
          <w:lang w:val="en-GB"/>
        </w:rPr>
        <w:t xml:space="preserve"> the </w:t>
      </w:r>
      <w:r w:rsidRPr="002326AD">
        <w:rPr>
          <w:rFonts w:ascii="Calibri" w:hAnsi="Calibri" w:cs="Calibri"/>
          <w:lang w:val="en-GB"/>
        </w:rPr>
        <w:t>entire purchase price of that equipment may, by way of exception from the rule contained</w:t>
      </w:r>
      <w:r w:rsidR="0068686A" w:rsidRPr="002326AD">
        <w:rPr>
          <w:rFonts w:ascii="Calibri" w:hAnsi="Calibri" w:cs="Calibri"/>
          <w:lang w:val="en-GB"/>
        </w:rPr>
        <w:t xml:space="preserve"> </w:t>
      </w:r>
      <w:r w:rsidRPr="002326AD">
        <w:rPr>
          <w:rFonts w:ascii="Calibri" w:hAnsi="Calibri" w:cs="Calibri"/>
          <w:lang w:val="en-GB"/>
        </w:rPr>
        <w:t>in paragraph 4 of Article  8.2, be eligible</w:t>
      </w:r>
      <w:r w:rsidR="009C7513">
        <w:rPr>
          <w:rFonts w:ascii="Calibri" w:hAnsi="Calibri" w:cs="Calibri"/>
          <w:lang w:val="en-GB"/>
        </w:rPr>
        <w:t>;</w:t>
      </w:r>
    </w:p>
    <w:p w14:paraId="2BBF65A8" w14:textId="003BE818" w:rsidR="009C7513" w:rsidRPr="00426B52" w:rsidRDefault="002326AD" w:rsidP="002326AD">
      <w:pPr>
        <w:pStyle w:val="Akapitzlist"/>
        <w:numPr>
          <w:ilvl w:val="0"/>
          <w:numId w:val="6"/>
        </w:numPr>
        <w:autoSpaceDE w:val="0"/>
        <w:autoSpaceDN w:val="0"/>
        <w:adjustRightInd w:val="0"/>
        <w:spacing w:after="0" w:line="240" w:lineRule="auto"/>
        <w:jc w:val="both"/>
        <w:rPr>
          <w:rFonts w:ascii="Calibri" w:hAnsi="Calibri" w:cs="Calibri"/>
          <w:lang w:val="en-GB"/>
        </w:rPr>
      </w:pPr>
      <w:r w:rsidRPr="002326AD">
        <w:rPr>
          <w:rFonts w:ascii="Calibri" w:hAnsi="Calibri" w:cs="Calibri"/>
          <w:lang w:val="en-GB"/>
        </w:rPr>
        <w:t>purchase of land and real estate under the conditions set</w:t>
      </w:r>
      <w:r w:rsidR="008C0EBC">
        <w:rPr>
          <w:rFonts w:ascii="Calibri" w:hAnsi="Calibri" w:cs="Calibri"/>
          <w:lang w:val="en-GB"/>
        </w:rPr>
        <w:t xml:space="preserve"> </w:t>
      </w:r>
      <w:r w:rsidRPr="002326AD">
        <w:rPr>
          <w:rFonts w:ascii="Calibri" w:hAnsi="Calibri" w:cs="Calibri"/>
          <w:lang w:val="en-GB"/>
        </w:rPr>
        <w:t>in Article 8.6</w:t>
      </w:r>
      <w:r w:rsidR="009C7513">
        <w:rPr>
          <w:rFonts w:ascii="Calibri" w:hAnsi="Calibri" w:cs="Calibri"/>
          <w:lang w:val="en-GB"/>
        </w:rPr>
        <w:t>;</w:t>
      </w:r>
    </w:p>
    <w:p w14:paraId="1BB47A7A" w14:textId="1029341D" w:rsidR="00302616" w:rsidRPr="002326AD" w:rsidRDefault="003C2AF4" w:rsidP="003C2AF4">
      <w:pPr>
        <w:pStyle w:val="Akapitzlist"/>
        <w:numPr>
          <w:ilvl w:val="0"/>
          <w:numId w:val="6"/>
        </w:numPr>
        <w:autoSpaceDE w:val="0"/>
        <w:autoSpaceDN w:val="0"/>
        <w:adjustRightInd w:val="0"/>
        <w:spacing w:after="0" w:line="240" w:lineRule="auto"/>
        <w:jc w:val="both"/>
        <w:rPr>
          <w:rFonts w:ascii="Calibri" w:hAnsi="Calibri" w:cs="Calibri"/>
          <w:lang w:val="en-GB"/>
        </w:rPr>
      </w:pPr>
      <w:r w:rsidRPr="003C2AF4">
        <w:rPr>
          <w:rFonts w:ascii="Calibri" w:hAnsi="Calibri" w:cs="Calibri"/>
          <w:lang w:val="en-GB"/>
        </w:rPr>
        <w:t>costs of consumables and supplies, provided that they are identifiable and assigned to the project</w:t>
      </w:r>
      <w:r w:rsidR="009C7513" w:rsidRPr="002326AD">
        <w:rPr>
          <w:rFonts w:ascii="Calibri" w:hAnsi="Calibri" w:cs="Calibri"/>
          <w:lang w:val="en-GB"/>
        </w:rPr>
        <w:t>;</w:t>
      </w:r>
    </w:p>
    <w:p w14:paraId="75CB495F" w14:textId="4DA15DAD" w:rsidR="00302616" w:rsidRPr="00426B52" w:rsidRDefault="003C2AF4" w:rsidP="003C2AF4">
      <w:pPr>
        <w:pStyle w:val="Akapitzlist"/>
        <w:numPr>
          <w:ilvl w:val="0"/>
          <w:numId w:val="6"/>
        </w:numPr>
        <w:autoSpaceDE w:val="0"/>
        <w:autoSpaceDN w:val="0"/>
        <w:adjustRightInd w:val="0"/>
        <w:spacing w:after="0" w:line="240" w:lineRule="auto"/>
        <w:jc w:val="both"/>
        <w:rPr>
          <w:rFonts w:ascii="Calibri" w:hAnsi="Calibri" w:cs="Calibri"/>
          <w:lang w:val="en-GB"/>
        </w:rPr>
      </w:pPr>
      <w:r w:rsidRPr="003C2AF4">
        <w:rPr>
          <w:rFonts w:ascii="Calibri" w:hAnsi="Calibri" w:cs="Calibri"/>
          <w:lang w:val="en-GB"/>
        </w:rPr>
        <w:t>costs entailed by other contracts awarded by a Project Promoter for the purposes of carrying out the project, provided that the awarding complies with the applicable rules on public procurement and this Regulation; and</w:t>
      </w:r>
    </w:p>
    <w:p w14:paraId="12CAC46A" w14:textId="40D3E2A1" w:rsidR="009C7513" w:rsidRPr="00426B52" w:rsidRDefault="003C2AF4" w:rsidP="003C2AF4">
      <w:pPr>
        <w:pStyle w:val="Akapitzlist"/>
        <w:numPr>
          <w:ilvl w:val="0"/>
          <w:numId w:val="6"/>
        </w:numPr>
        <w:autoSpaceDE w:val="0"/>
        <w:autoSpaceDN w:val="0"/>
        <w:adjustRightInd w:val="0"/>
        <w:spacing w:after="0" w:line="240" w:lineRule="auto"/>
        <w:jc w:val="both"/>
        <w:rPr>
          <w:bCs/>
          <w:lang w:val="en-GB"/>
        </w:rPr>
      </w:pPr>
      <w:r w:rsidRPr="003C2AF4">
        <w:rPr>
          <w:rFonts w:ascii="Calibri" w:hAnsi="Calibri" w:cs="Calibri"/>
          <w:lang w:val="en-GB"/>
        </w:rPr>
        <w:t>costs arising directly from requirements imposed by the project contract for each project</w:t>
      </w:r>
      <w:r w:rsidR="009C7513">
        <w:rPr>
          <w:rFonts w:ascii="Calibri" w:hAnsi="Calibri" w:cs="Calibri"/>
          <w:lang w:val="en-GB"/>
        </w:rPr>
        <w:t>.</w:t>
      </w:r>
    </w:p>
    <w:p w14:paraId="07DDD693" w14:textId="77777777" w:rsidR="009C7513" w:rsidRPr="00426B52" w:rsidRDefault="009C7513" w:rsidP="00BD27F5">
      <w:pPr>
        <w:spacing w:after="0" w:line="240" w:lineRule="auto"/>
        <w:jc w:val="both"/>
        <w:rPr>
          <w:lang w:val="en-GB"/>
        </w:rPr>
      </w:pPr>
    </w:p>
    <w:p w14:paraId="647D847D" w14:textId="01675E2C" w:rsidR="004E174B" w:rsidRPr="00426B52" w:rsidRDefault="00225266" w:rsidP="00CC459C">
      <w:pPr>
        <w:autoSpaceDE w:val="0"/>
        <w:autoSpaceDN w:val="0"/>
        <w:adjustRightInd w:val="0"/>
        <w:spacing w:after="120" w:line="240" w:lineRule="auto"/>
        <w:jc w:val="both"/>
        <w:rPr>
          <w:lang w:val="en-GB"/>
        </w:rPr>
      </w:pPr>
      <w:r>
        <w:rPr>
          <w:lang w:val="en-GB"/>
        </w:rPr>
        <w:t>Generally, investment expenditures</w:t>
      </w:r>
      <w:r>
        <w:rPr>
          <w:rStyle w:val="Odwoanieprzypisudolnego"/>
          <w:lang w:val="en-GB"/>
        </w:rPr>
        <w:footnoteReference w:id="8"/>
      </w:r>
      <w:r>
        <w:rPr>
          <w:lang w:val="en-GB"/>
        </w:rPr>
        <w:t xml:space="preserve"> should not exceed 60% of total eligible expenditure</w:t>
      </w:r>
      <w:r w:rsidR="00356870">
        <w:rPr>
          <w:lang w:val="en-GB"/>
        </w:rPr>
        <w:t>s</w:t>
      </w:r>
      <w:r>
        <w:rPr>
          <w:lang w:val="en-GB"/>
        </w:rPr>
        <w:t xml:space="preserve"> in the project budget. Should the investment expenditures exceed the aforementioned limit, the Applicant </w:t>
      </w:r>
      <w:r>
        <w:rPr>
          <w:lang w:val="en-GB"/>
        </w:rPr>
        <w:lastRenderedPageBreak/>
        <w:t xml:space="preserve">provide a detailed explanation that justifies exceeding the limit, in the descriptive section of the </w:t>
      </w:r>
      <w:r w:rsidR="002D6EC8">
        <w:rPr>
          <w:lang w:val="en-GB"/>
        </w:rPr>
        <w:t>application form</w:t>
      </w:r>
      <w:r>
        <w:rPr>
          <w:lang w:val="en-GB"/>
        </w:rPr>
        <w:t>.</w:t>
      </w:r>
    </w:p>
    <w:p w14:paraId="3E50AD5D" w14:textId="3443AA5B" w:rsidR="0095303D" w:rsidRPr="00426B52" w:rsidRDefault="00451E11" w:rsidP="00CC459C">
      <w:pPr>
        <w:autoSpaceDE w:val="0"/>
        <w:autoSpaceDN w:val="0"/>
        <w:adjustRightInd w:val="0"/>
        <w:spacing w:after="120" w:line="240" w:lineRule="auto"/>
        <w:jc w:val="both"/>
        <w:rPr>
          <w:lang w:val="en-GB"/>
        </w:rPr>
      </w:pPr>
      <w:r>
        <w:rPr>
          <w:lang w:val="en-GB"/>
        </w:rPr>
        <w:t>Eligible expenditure</w:t>
      </w:r>
      <w:r w:rsidR="00D1075C">
        <w:rPr>
          <w:lang w:val="en-GB"/>
        </w:rPr>
        <w:t>s</w:t>
      </w:r>
      <w:r>
        <w:rPr>
          <w:lang w:val="en-GB"/>
        </w:rPr>
        <w:t xml:space="preserve"> also include </w:t>
      </w:r>
      <w:r>
        <w:rPr>
          <w:b/>
          <w:bCs/>
          <w:lang w:val="en-GB"/>
        </w:rPr>
        <w:t>indirect expenditures</w:t>
      </w:r>
      <w:r>
        <w:rPr>
          <w:lang w:val="en-GB"/>
        </w:rPr>
        <w:t xml:space="preserve">, i.e. </w:t>
      </w:r>
      <w:r>
        <w:rPr>
          <w:rFonts w:ascii="Calibri" w:hAnsi="Calibri"/>
          <w:lang w:val="en-GB"/>
        </w:rPr>
        <w:t>all costs that the project promoter and/or partner under the project cannot tie to the project, but which may be indicated and justified under the accounting system as having been incurred directly in relation to the direct eligible costs under the project. Methods for showing indirect costs are specified in Article 8.5(1)(a), (b), (c) and (</w:t>
      </w:r>
      <w:r w:rsidR="00426B52">
        <w:rPr>
          <w:rFonts w:ascii="Calibri" w:hAnsi="Calibri"/>
          <w:lang w:val="en-GB"/>
        </w:rPr>
        <w:t>e</w:t>
      </w:r>
      <w:r>
        <w:rPr>
          <w:rFonts w:ascii="Calibri" w:hAnsi="Calibri"/>
          <w:lang w:val="en-GB"/>
        </w:rPr>
        <w:t xml:space="preserve">) of the </w:t>
      </w:r>
      <w:r>
        <w:rPr>
          <w:rFonts w:ascii="Calibri" w:hAnsi="Calibri"/>
          <w:i/>
          <w:iCs/>
          <w:lang w:val="en-GB"/>
        </w:rPr>
        <w:t>Regulation.</w:t>
      </w:r>
      <w:r>
        <w:rPr>
          <w:rFonts w:ascii="Calibri" w:hAnsi="Calibri"/>
          <w:lang w:val="en-GB"/>
        </w:rPr>
        <w:t xml:space="preserve"> The call for proposals does not provide for the possibility of showing indirect costs by using the method referred to in Article 8.5(1)(d). </w:t>
      </w:r>
    </w:p>
    <w:p w14:paraId="3817AF96" w14:textId="5349E9C3" w:rsidR="0095303D" w:rsidRPr="00426B52" w:rsidRDefault="007A69F9" w:rsidP="007A69F9">
      <w:pPr>
        <w:spacing w:after="120" w:line="240" w:lineRule="auto"/>
        <w:jc w:val="both"/>
        <w:rPr>
          <w:lang w:val="en-GB"/>
        </w:rPr>
      </w:pPr>
      <w:r>
        <w:rPr>
          <w:lang w:val="en-GB"/>
        </w:rPr>
        <w:t xml:space="preserve">Detailed description of how to calculate indirect costs and all other information on the eligibility of expenditures, procedures to follow in making reports and payments, documenting expenditures, including information on settlements and financial flows in projects involving foreign partners, can be found in the </w:t>
      </w:r>
      <w:r>
        <w:rPr>
          <w:b/>
          <w:bCs/>
          <w:i/>
          <w:iCs/>
          <w:lang w:val="en-GB"/>
        </w:rPr>
        <w:t xml:space="preserve">Guidelines for Project Promoters under the </w:t>
      </w:r>
      <w:r w:rsidR="004B5041">
        <w:rPr>
          <w:b/>
          <w:bCs/>
          <w:i/>
          <w:iCs/>
          <w:lang w:val="en-GB"/>
        </w:rPr>
        <w:t>“</w:t>
      </w:r>
      <w:r w:rsidR="00426B52">
        <w:rPr>
          <w:b/>
          <w:bCs/>
          <w:i/>
          <w:iCs/>
          <w:lang w:val="en-GB"/>
        </w:rPr>
        <w:t xml:space="preserve">Home </w:t>
      </w:r>
      <w:r>
        <w:rPr>
          <w:b/>
          <w:bCs/>
          <w:i/>
          <w:iCs/>
          <w:lang w:val="en-GB"/>
        </w:rPr>
        <w:t>Affairs</w:t>
      </w:r>
      <w:r w:rsidR="004B5041">
        <w:rPr>
          <w:b/>
          <w:bCs/>
          <w:i/>
          <w:iCs/>
          <w:lang w:val="en-GB"/>
        </w:rPr>
        <w:t>”</w:t>
      </w:r>
      <w:r>
        <w:rPr>
          <w:b/>
          <w:bCs/>
          <w:i/>
          <w:iCs/>
          <w:lang w:val="en-GB"/>
        </w:rPr>
        <w:t xml:space="preserve"> Programme </w:t>
      </w:r>
      <w:r>
        <w:rPr>
          <w:i/>
          <w:iCs/>
          <w:lang w:val="en-GB"/>
        </w:rPr>
        <w:t xml:space="preserve">of the Norwegian Financial Mechanism 2014–2021 </w:t>
      </w:r>
      <w:r>
        <w:rPr>
          <w:lang w:val="en-GB"/>
        </w:rPr>
        <w:t>(Annex no. 2 to the Call for proposals announcement).</w:t>
      </w:r>
    </w:p>
    <w:p w14:paraId="7FB7EF6B" w14:textId="25751D04" w:rsidR="0095303D" w:rsidRPr="00426B52" w:rsidRDefault="00740380" w:rsidP="00740380">
      <w:pPr>
        <w:spacing w:after="120" w:line="240" w:lineRule="auto"/>
        <w:jc w:val="both"/>
        <w:rPr>
          <w:lang w:val="en-GB"/>
        </w:rPr>
      </w:pPr>
      <w:r>
        <w:rPr>
          <w:rFonts w:ascii="Calibri" w:hAnsi="Calibri" w:cs="Calibri"/>
          <w:lang w:val="en-GB"/>
        </w:rPr>
        <w:t>An expenditure being included in the project budget is not considered a confirmation of its eligibility.</w:t>
      </w:r>
    </w:p>
    <w:p w14:paraId="4E68EB95" w14:textId="76FA1A32" w:rsidR="00F24015" w:rsidRPr="00426B52" w:rsidRDefault="00F24015" w:rsidP="00BD27F5">
      <w:pPr>
        <w:jc w:val="both"/>
        <w:rPr>
          <w:lang w:val="en-GB"/>
        </w:rPr>
      </w:pPr>
      <w:r>
        <w:rPr>
          <w:b/>
          <w:bCs/>
          <w:lang w:val="en-GB"/>
        </w:rPr>
        <w:t>Date of eligibility of expenditures:</w:t>
      </w:r>
      <w:r>
        <w:rPr>
          <w:lang w:val="en-GB"/>
        </w:rPr>
        <w:t xml:space="preserve"> Expenditures incurred after 30 April 2024 shall not be considered eligible.</w:t>
      </w:r>
    </w:p>
    <w:p w14:paraId="2A229BF5" w14:textId="39AAE656" w:rsidR="0095303D" w:rsidRPr="00426B52" w:rsidRDefault="00057529" w:rsidP="00BD27F5">
      <w:pPr>
        <w:spacing w:after="0" w:line="240" w:lineRule="auto"/>
        <w:jc w:val="both"/>
        <w:rPr>
          <w:b/>
          <w:lang w:val="en-GB"/>
        </w:rPr>
      </w:pPr>
      <w:r>
        <w:rPr>
          <w:b/>
          <w:bCs/>
          <w:lang w:val="en-GB"/>
        </w:rPr>
        <w:t>Funding:</w:t>
      </w:r>
    </w:p>
    <w:p w14:paraId="0CC5BDE7" w14:textId="0F025A55" w:rsidR="00106C38" w:rsidRPr="00426B52" w:rsidRDefault="00057529" w:rsidP="00BD27F5">
      <w:pPr>
        <w:spacing w:after="0" w:line="240" w:lineRule="auto"/>
        <w:jc w:val="both"/>
        <w:rPr>
          <w:lang w:val="en-GB"/>
        </w:rPr>
      </w:pPr>
      <w:r>
        <w:rPr>
          <w:lang w:val="en-GB"/>
        </w:rPr>
        <w:t xml:space="preserve">The funding model adopted for a project depends on the status of its project promoter: </w:t>
      </w:r>
    </w:p>
    <w:p w14:paraId="19130DBA" w14:textId="77777777" w:rsidR="00E17300" w:rsidRPr="00426B52" w:rsidRDefault="00E17300" w:rsidP="00BD27F5">
      <w:pPr>
        <w:spacing w:after="0" w:line="240" w:lineRule="auto"/>
        <w:jc w:val="both"/>
        <w:rPr>
          <w:lang w:val="en-GB"/>
        </w:rPr>
      </w:pPr>
    </w:p>
    <w:p w14:paraId="0B026500" w14:textId="203448F4" w:rsidR="00E17300" w:rsidRPr="00E17300" w:rsidRDefault="00E17300" w:rsidP="00E17300">
      <w:pPr>
        <w:pStyle w:val="Akapitzlist"/>
        <w:numPr>
          <w:ilvl w:val="0"/>
          <w:numId w:val="9"/>
        </w:numPr>
        <w:spacing w:after="0" w:line="240" w:lineRule="auto"/>
        <w:jc w:val="both"/>
        <w:rPr>
          <w:i/>
        </w:rPr>
      </w:pPr>
      <w:r>
        <w:rPr>
          <w:i/>
          <w:iCs/>
          <w:lang w:val="en-GB"/>
        </w:rPr>
        <w:t xml:space="preserve">State </w:t>
      </w:r>
      <w:r w:rsidR="00F33212">
        <w:rPr>
          <w:i/>
          <w:iCs/>
          <w:lang w:val="en-GB"/>
        </w:rPr>
        <w:t>Budget Entities</w:t>
      </w:r>
    </w:p>
    <w:p w14:paraId="75E96EF6" w14:textId="5CB1FCDB" w:rsidR="00E17300" w:rsidRPr="00426B52" w:rsidRDefault="00057529" w:rsidP="00E17300">
      <w:pPr>
        <w:spacing w:after="0" w:line="240" w:lineRule="auto"/>
        <w:ind w:firstLine="708"/>
        <w:jc w:val="both"/>
        <w:rPr>
          <w:lang w:val="en-GB"/>
        </w:rPr>
      </w:pPr>
      <w:r>
        <w:rPr>
          <w:lang w:val="en-GB"/>
        </w:rPr>
        <w:t xml:space="preserve">State budget entities ensure </w:t>
      </w:r>
      <w:r w:rsidRPr="00A1342B">
        <w:rPr>
          <w:lang w:val="en-GB"/>
        </w:rPr>
        <w:t>funds to carry out project-related tasks by making appropriate allowances in their budget</w:t>
      </w:r>
      <w:r>
        <w:rPr>
          <w:lang w:val="en-GB"/>
        </w:rPr>
        <w:t>.</w:t>
      </w:r>
    </w:p>
    <w:p w14:paraId="1752DBE4" w14:textId="77777777" w:rsidR="00E17300" w:rsidRPr="00426B52" w:rsidRDefault="00E17300" w:rsidP="00E17300">
      <w:pPr>
        <w:spacing w:after="0" w:line="240" w:lineRule="auto"/>
        <w:jc w:val="both"/>
        <w:rPr>
          <w:lang w:val="en-GB"/>
        </w:rPr>
      </w:pPr>
    </w:p>
    <w:p w14:paraId="60CA6B81" w14:textId="18970BE4" w:rsidR="00E17300" w:rsidRPr="00426B52" w:rsidRDefault="00F33212" w:rsidP="00E17300">
      <w:pPr>
        <w:pStyle w:val="Akapitzlist"/>
        <w:numPr>
          <w:ilvl w:val="0"/>
          <w:numId w:val="9"/>
        </w:numPr>
        <w:spacing w:after="0" w:line="240" w:lineRule="auto"/>
        <w:jc w:val="both"/>
        <w:rPr>
          <w:i/>
          <w:lang w:val="en-GB"/>
        </w:rPr>
      </w:pPr>
      <w:r>
        <w:rPr>
          <w:i/>
          <w:iCs/>
          <w:lang w:val="en-GB"/>
        </w:rPr>
        <w:t>Non-s</w:t>
      </w:r>
      <w:r w:rsidR="00E17300">
        <w:rPr>
          <w:i/>
          <w:iCs/>
          <w:lang w:val="en-GB"/>
        </w:rPr>
        <w:t xml:space="preserve">tate </w:t>
      </w:r>
      <w:r>
        <w:rPr>
          <w:i/>
          <w:iCs/>
          <w:lang w:val="en-GB"/>
        </w:rPr>
        <w:t>Budget Entities</w:t>
      </w:r>
    </w:p>
    <w:p w14:paraId="508B1E1C" w14:textId="60F4331B" w:rsidR="00E17300" w:rsidRPr="00426B52" w:rsidRDefault="00057529" w:rsidP="00E17300">
      <w:pPr>
        <w:spacing w:after="0" w:line="240" w:lineRule="auto"/>
        <w:ind w:firstLine="708"/>
        <w:jc w:val="both"/>
        <w:rPr>
          <w:u w:val="single"/>
          <w:lang w:val="en-GB"/>
        </w:rPr>
      </w:pPr>
      <w:r>
        <w:rPr>
          <w:u w:val="single"/>
          <w:lang w:val="en-GB"/>
        </w:rPr>
        <w:t>Advance</w:t>
      </w:r>
      <w:r w:rsidR="00043C4A">
        <w:rPr>
          <w:u w:val="single"/>
          <w:lang w:val="en-GB"/>
        </w:rPr>
        <w:t xml:space="preserve"> payment</w:t>
      </w:r>
    </w:p>
    <w:p w14:paraId="040F07BE" w14:textId="0B416EBA" w:rsidR="00E17300" w:rsidRPr="00426B52" w:rsidRDefault="00057529" w:rsidP="00E17300">
      <w:pPr>
        <w:spacing w:after="0" w:line="240" w:lineRule="auto"/>
        <w:ind w:left="708"/>
        <w:jc w:val="both"/>
        <w:rPr>
          <w:lang w:val="en-GB"/>
        </w:rPr>
      </w:pPr>
      <w:r>
        <w:rPr>
          <w:lang w:val="en-GB"/>
        </w:rPr>
        <w:t xml:space="preserve">An advance </w:t>
      </w:r>
      <w:r w:rsidR="00043C4A">
        <w:rPr>
          <w:lang w:val="en-GB"/>
        </w:rPr>
        <w:t xml:space="preserve">payment </w:t>
      </w:r>
      <w:r>
        <w:rPr>
          <w:lang w:val="en-GB"/>
        </w:rPr>
        <w:t xml:space="preserve">shall be paid to the Project Promoter after they sign a </w:t>
      </w:r>
      <w:r w:rsidR="00A851CC">
        <w:rPr>
          <w:lang w:val="en-GB"/>
        </w:rPr>
        <w:t>project contract</w:t>
      </w:r>
      <w:r>
        <w:rPr>
          <w:lang w:val="en-GB"/>
        </w:rPr>
        <w:t xml:space="preserve">, submit a payment claim for the first advance, and provide appropriate collateral for proper execution of the aforementioned </w:t>
      </w:r>
      <w:r w:rsidR="00A851CC">
        <w:rPr>
          <w:lang w:val="en-GB"/>
        </w:rPr>
        <w:t>contract</w:t>
      </w:r>
      <w:r>
        <w:rPr>
          <w:lang w:val="en-GB"/>
        </w:rPr>
        <w:t>.</w:t>
      </w:r>
    </w:p>
    <w:p w14:paraId="4FA8C942" w14:textId="68419555" w:rsidR="00E17300" w:rsidRPr="00426B52" w:rsidRDefault="00E17300" w:rsidP="00E17300">
      <w:pPr>
        <w:spacing w:after="120" w:line="240" w:lineRule="auto"/>
        <w:ind w:left="708"/>
        <w:jc w:val="both"/>
        <w:rPr>
          <w:lang w:val="en-GB"/>
        </w:rPr>
      </w:pPr>
      <w:r>
        <w:rPr>
          <w:lang w:val="en-GB"/>
        </w:rPr>
        <w:t xml:space="preserve">The amount of the advance paid is </w:t>
      </w:r>
      <w:r w:rsidR="00D1075C">
        <w:rPr>
          <w:lang w:val="en-GB"/>
        </w:rPr>
        <w:t xml:space="preserve">equivalent to </w:t>
      </w:r>
      <w:r>
        <w:rPr>
          <w:lang w:val="en-GB"/>
        </w:rPr>
        <w:t xml:space="preserve">up to 50% of the </w:t>
      </w:r>
      <w:r w:rsidR="003E1324">
        <w:rPr>
          <w:lang w:val="en-GB"/>
        </w:rPr>
        <w:t>grant</w:t>
      </w:r>
      <w:r>
        <w:rPr>
          <w:lang w:val="en-GB"/>
        </w:rPr>
        <w:t xml:space="preserve"> value. Exact value of the first advance payment that </w:t>
      </w:r>
      <w:r w:rsidR="00D1075C">
        <w:rPr>
          <w:lang w:val="en-GB"/>
        </w:rPr>
        <w:t xml:space="preserve">the </w:t>
      </w:r>
      <w:r>
        <w:rPr>
          <w:lang w:val="en-GB"/>
        </w:rPr>
        <w:t xml:space="preserve">Project Promoter may apply for has been set out in the </w:t>
      </w:r>
      <w:r w:rsidR="00A851CC">
        <w:rPr>
          <w:lang w:val="en-GB"/>
        </w:rPr>
        <w:t>project contract</w:t>
      </w:r>
      <w:r>
        <w:rPr>
          <w:lang w:val="en-GB"/>
        </w:rPr>
        <w:t>.</w:t>
      </w:r>
    </w:p>
    <w:p w14:paraId="193DBC86" w14:textId="345D6B30" w:rsidR="00E17300" w:rsidRPr="00426B52" w:rsidRDefault="00057529" w:rsidP="00E17300">
      <w:pPr>
        <w:spacing w:after="0" w:line="240" w:lineRule="auto"/>
        <w:ind w:firstLine="708"/>
        <w:jc w:val="both"/>
        <w:rPr>
          <w:u w:val="single"/>
          <w:lang w:val="en-GB"/>
        </w:rPr>
      </w:pPr>
      <w:r>
        <w:rPr>
          <w:u w:val="single"/>
          <w:lang w:val="en-GB"/>
        </w:rPr>
        <w:t xml:space="preserve">Further </w:t>
      </w:r>
      <w:r w:rsidR="00633AC9">
        <w:rPr>
          <w:u w:val="single"/>
          <w:lang w:val="en-GB"/>
        </w:rPr>
        <w:t>interim</w:t>
      </w:r>
      <w:r>
        <w:rPr>
          <w:u w:val="single"/>
          <w:lang w:val="en-GB"/>
        </w:rPr>
        <w:t xml:space="preserve"> payments</w:t>
      </w:r>
    </w:p>
    <w:p w14:paraId="70762875" w14:textId="7C0BBED1" w:rsidR="00E17300" w:rsidRPr="00426B52" w:rsidRDefault="00057529" w:rsidP="00E17300">
      <w:pPr>
        <w:spacing w:after="120" w:line="240" w:lineRule="auto"/>
        <w:ind w:left="708"/>
        <w:jc w:val="both"/>
        <w:rPr>
          <w:lang w:val="en-GB"/>
        </w:rPr>
      </w:pPr>
      <w:r>
        <w:rPr>
          <w:lang w:val="en-GB"/>
        </w:rPr>
        <w:t xml:space="preserve">Further payments shall be paid to the Project Promoter after at least 70% of the funds transferred so far </w:t>
      </w:r>
      <w:r w:rsidR="007000F0">
        <w:rPr>
          <w:lang w:val="en-GB"/>
        </w:rPr>
        <w:t xml:space="preserve">is </w:t>
      </w:r>
      <w:r>
        <w:rPr>
          <w:lang w:val="en-GB"/>
        </w:rPr>
        <w:t xml:space="preserve">used and certified by the </w:t>
      </w:r>
      <w:r w:rsidR="00A1342B">
        <w:rPr>
          <w:lang w:val="en-GB"/>
        </w:rPr>
        <w:t>European Project Implementation Centre MIA (</w:t>
      </w:r>
      <w:r>
        <w:rPr>
          <w:lang w:val="en-GB"/>
        </w:rPr>
        <w:t>EPIC MIA</w:t>
      </w:r>
      <w:r w:rsidR="00A1342B">
        <w:rPr>
          <w:lang w:val="en-GB"/>
        </w:rPr>
        <w:t>)</w:t>
      </w:r>
      <w:r>
        <w:rPr>
          <w:lang w:val="en-GB"/>
        </w:rPr>
        <w:t>.</w:t>
      </w:r>
    </w:p>
    <w:p w14:paraId="7FFB1127" w14:textId="77777777" w:rsidR="00E17300" w:rsidRPr="00426B52" w:rsidRDefault="00E17300" w:rsidP="00E17300">
      <w:pPr>
        <w:spacing w:after="0" w:line="240" w:lineRule="auto"/>
        <w:ind w:firstLine="708"/>
        <w:jc w:val="both"/>
        <w:rPr>
          <w:u w:val="single"/>
          <w:lang w:val="en-GB"/>
        </w:rPr>
      </w:pPr>
      <w:r>
        <w:rPr>
          <w:u w:val="single"/>
          <w:lang w:val="en-GB"/>
        </w:rPr>
        <w:t>Final payment</w:t>
      </w:r>
    </w:p>
    <w:p w14:paraId="5DCE00B9" w14:textId="5E43796D" w:rsidR="00E17300" w:rsidRPr="00426B52" w:rsidRDefault="00E17300" w:rsidP="00E17300">
      <w:pPr>
        <w:spacing w:after="0" w:line="240" w:lineRule="auto"/>
        <w:ind w:left="708"/>
        <w:jc w:val="both"/>
        <w:rPr>
          <w:lang w:val="en-GB"/>
        </w:rPr>
      </w:pPr>
      <w:r>
        <w:rPr>
          <w:lang w:val="en-GB"/>
        </w:rPr>
        <w:t>Final payment for the Project Promoter shall be made after approv</w:t>
      </w:r>
      <w:r w:rsidR="007000F0">
        <w:rPr>
          <w:lang w:val="en-GB"/>
        </w:rPr>
        <w:t>ing</w:t>
      </w:r>
      <w:r>
        <w:rPr>
          <w:lang w:val="en-GB"/>
        </w:rPr>
        <w:t xml:space="preserve"> the reporting documentation </w:t>
      </w:r>
      <w:r w:rsidR="007000F0">
        <w:rPr>
          <w:lang w:val="en-GB"/>
        </w:rPr>
        <w:t xml:space="preserve">under </w:t>
      </w:r>
      <w:r>
        <w:rPr>
          <w:lang w:val="en-GB"/>
        </w:rPr>
        <w:t>the project.</w:t>
      </w:r>
    </w:p>
    <w:p w14:paraId="42FEA747" w14:textId="77777777" w:rsidR="00E17300" w:rsidRPr="00426B52" w:rsidRDefault="00E17300" w:rsidP="00E17300">
      <w:pPr>
        <w:spacing w:after="0" w:line="240" w:lineRule="auto"/>
        <w:jc w:val="both"/>
        <w:rPr>
          <w:lang w:val="en-GB"/>
        </w:rPr>
      </w:pPr>
    </w:p>
    <w:p w14:paraId="3E64221D" w14:textId="77777777" w:rsidR="00E17300" w:rsidRPr="00426B52" w:rsidRDefault="00E17300" w:rsidP="00E17300">
      <w:pPr>
        <w:spacing w:after="0" w:line="240" w:lineRule="auto"/>
        <w:jc w:val="both"/>
        <w:rPr>
          <w:lang w:val="en-GB"/>
        </w:rPr>
      </w:pPr>
      <w:r>
        <w:rPr>
          <w:lang w:val="en-GB"/>
        </w:rPr>
        <w:t xml:space="preserve">Payment system details have been described in the </w:t>
      </w:r>
      <w:r>
        <w:rPr>
          <w:i/>
          <w:iCs/>
          <w:lang w:val="en-GB"/>
        </w:rPr>
        <w:t>Guidelines for Project Promoters</w:t>
      </w:r>
      <w:r>
        <w:rPr>
          <w:lang w:val="en-GB"/>
        </w:rPr>
        <w:t>.</w:t>
      </w:r>
    </w:p>
    <w:p w14:paraId="227D8BC7" w14:textId="77777777" w:rsidR="00346275" w:rsidRPr="00426B52" w:rsidRDefault="00346275" w:rsidP="00BD27F5">
      <w:pPr>
        <w:spacing w:after="0" w:line="240" w:lineRule="auto"/>
        <w:jc w:val="both"/>
        <w:rPr>
          <w:lang w:val="en-GB"/>
        </w:rPr>
      </w:pPr>
    </w:p>
    <w:p w14:paraId="45681195" w14:textId="1C43BBFA" w:rsidR="0095303D" w:rsidRPr="00426B52" w:rsidRDefault="002F69DD" w:rsidP="00503B50">
      <w:pPr>
        <w:spacing w:after="120" w:line="240" w:lineRule="auto"/>
        <w:jc w:val="both"/>
        <w:rPr>
          <w:lang w:val="en-GB"/>
        </w:rPr>
      </w:pPr>
      <w:r>
        <w:rPr>
          <w:b/>
          <w:bCs/>
          <w:lang w:val="en-GB"/>
        </w:rPr>
        <w:t>Deadline for the submission of application forms:</w:t>
      </w:r>
      <w:r>
        <w:rPr>
          <w:lang w:val="en-GB"/>
        </w:rPr>
        <w:t xml:space="preserve"> by </w:t>
      </w:r>
      <w:r w:rsidR="008F3B0E">
        <w:rPr>
          <w:lang w:val="en-GB"/>
        </w:rPr>
        <w:t>14</w:t>
      </w:r>
      <w:r w:rsidR="008F3B0E" w:rsidRPr="008F3B0E">
        <w:rPr>
          <w:vertAlign w:val="superscript"/>
          <w:lang w:val="en-GB"/>
        </w:rPr>
        <w:t>th</w:t>
      </w:r>
      <w:r w:rsidR="008F3B0E">
        <w:rPr>
          <w:lang w:val="en-GB"/>
        </w:rPr>
        <w:t xml:space="preserve"> February 2020</w:t>
      </w:r>
      <w:r>
        <w:rPr>
          <w:lang w:val="en-GB"/>
        </w:rPr>
        <w:t xml:space="preserve"> (until 4 p.m.).</w:t>
      </w:r>
    </w:p>
    <w:p w14:paraId="132CBCF5" w14:textId="00C744B4" w:rsidR="00C96AB8" w:rsidRPr="00426B52" w:rsidRDefault="00C96AB8" w:rsidP="00503B50">
      <w:pPr>
        <w:spacing w:after="120" w:line="240" w:lineRule="auto"/>
        <w:jc w:val="both"/>
        <w:rPr>
          <w:rFonts w:cs="Arial"/>
          <w:lang w:val="en-GB"/>
        </w:rPr>
      </w:pPr>
      <w:r>
        <w:rPr>
          <w:lang w:val="en-GB"/>
        </w:rPr>
        <w:lastRenderedPageBreak/>
        <w:t xml:space="preserve">Application </w:t>
      </w:r>
      <w:r w:rsidR="002D6EC8">
        <w:rPr>
          <w:lang w:val="en-GB"/>
        </w:rPr>
        <w:t>form</w:t>
      </w:r>
      <w:r>
        <w:rPr>
          <w:lang w:val="en-GB"/>
        </w:rPr>
        <w:t xml:space="preserve"> has to be prepared on the form constituting Annex No. 1 to the Call for proposals announcement. The </w:t>
      </w:r>
      <w:r w:rsidR="0005099C">
        <w:rPr>
          <w:lang w:val="en-GB"/>
        </w:rPr>
        <w:t>application form</w:t>
      </w:r>
      <w:r>
        <w:rPr>
          <w:lang w:val="en-GB"/>
        </w:rPr>
        <w:t xml:space="preserve"> must also indicate all the consultants involved in the preparation of the application.</w:t>
      </w:r>
    </w:p>
    <w:p w14:paraId="35D6C297" w14:textId="3659C205" w:rsidR="00C96AB8" w:rsidRPr="00426B52" w:rsidRDefault="002F69DD" w:rsidP="00503B50">
      <w:pPr>
        <w:spacing w:after="120" w:line="240" w:lineRule="auto"/>
        <w:jc w:val="both"/>
        <w:rPr>
          <w:lang w:val="en-GB"/>
        </w:rPr>
      </w:pPr>
      <w:r>
        <w:rPr>
          <w:lang w:val="en-GB"/>
        </w:rPr>
        <w:t>Applications must be submitted in Polish in either:</w:t>
      </w:r>
    </w:p>
    <w:p w14:paraId="44775520" w14:textId="63B8D197" w:rsidR="002F69DD" w:rsidRPr="00410DE4" w:rsidRDefault="007950CA" w:rsidP="00AB5845">
      <w:pPr>
        <w:pStyle w:val="Akapitzlist"/>
        <w:numPr>
          <w:ilvl w:val="0"/>
          <w:numId w:val="15"/>
        </w:numPr>
        <w:spacing w:after="120" w:line="240" w:lineRule="auto"/>
        <w:jc w:val="both"/>
        <w:rPr>
          <w:b/>
          <w:bCs/>
          <w:lang w:val="en-GB"/>
        </w:rPr>
      </w:pPr>
      <w:r>
        <w:rPr>
          <w:lang w:val="en-GB"/>
        </w:rPr>
        <w:t>2 copies in writing (</w:t>
      </w:r>
      <w:r w:rsidR="00AA7E3D">
        <w:rPr>
          <w:lang w:val="en-GB"/>
        </w:rPr>
        <w:t xml:space="preserve">on </w:t>
      </w:r>
      <w:r>
        <w:rPr>
          <w:lang w:val="en-GB"/>
        </w:rPr>
        <w:t>paper) and in electronic form, submitted in person or sent by post/courier to the Headquarters of the EPIC MIA:</w:t>
      </w:r>
      <w:r>
        <w:rPr>
          <w:b/>
          <w:bCs/>
          <w:lang w:val="en-GB"/>
        </w:rPr>
        <w:t xml:space="preserve"> Centrum </w:t>
      </w:r>
      <w:proofErr w:type="spellStart"/>
      <w:r>
        <w:rPr>
          <w:b/>
          <w:bCs/>
          <w:lang w:val="en-GB"/>
        </w:rPr>
        <w:t>Obsługi</w:t>
      </w:r>
      <w:proofErr w:type="spellEnd"/>
      <w:r>
        <w:rPr>
          <w:b/>
          <w:bCs/>
          <w:lang w:val="en-GB"/>
        </w:rPr>
        <w:t xml:space="preserve"> </w:t>
      </w:r>
      <w:proofErr w:type="spellStart"/>
      <w:r>
        <w:rPr>
          <w:b/>
          <w:bCs/>
          <w:lang w:val="en-GB"/>
        </w:rPr>
        <w:t>Projektów</w:t>
      </w:r>
      <w:proofErr w:type="spellEnd"/>
      <w:r>
        <w:rPr>
          <w:b/>
          <w:bCs/>
          <w:lang w:val="en-GB"/>
        </w:rPr>
        <w:t xml:space="preserve"> </w:t>
      </w:r>
      <w:proofErr w:type="spellStart"/>
      <w:r>
        <w:rPr>
          <w:b/>
          <w:bCs/>
          <w:lang w:val="en-GB"/>
        </w:rPr>
        <w:t>Europejskich</w:t>
      </w:r>
      <w:proofErr w:type="spellEnd"/>
      <w:r>
        <w:rPr>
          <w:b/>
          <w:bCs/>
          <w:lang w:val="en-GB"/>
        </w:rPr>
        <w:t xml:space="preserve"> </w:t>
      </w:r>
      <w:proofErr w:type="spellStart"/>
      <w:r>
        <w:rPr>
          <w:b/>
          <w:bCs/>
          <w:lang w:val="en-GB"/>
        </w:rPr>
        <w:t>Ministerstwa</w:t>
      </w:r>
      <w:proofErr w:type="spellEnd"/>
      <w:r>
        <w:rPr>
          <w:b/>
          <w:bCs/>
          <w:lang w:val="en-GB"/>
        </w:rPr>
        <w:t xml:space="preserve"> </w:t>
      </w:r>
      <w:proofErr w:type="spellStart"/>
      <w:r>
        <w:rPr>
          <w:b/>
          <w:bCs/>
          <w:lang w:val="en-GB"/>
        </w:rPr>
        <w:t>Spraw</w:t>
      </w:r>
      <w:proofErr w:type="spellEnd"/>
      <w:r>
        <w:rPr>
          <w:b/>
          <w:bCs/>
          <w:lang w:val="en-GB"/>
        </w:rPr>
        <w:t xml:space="preserve"> </w:t>
      </w:r>
      <w:proofErr w:type="spellStart"/>
      <w:r>
        <w:rPr>
          <w:b/>
          <w:bCs/>
          <w:lang w:val="en-GB"/>
        </w:rPr>
        <w:t>Wewnętrznych</w:t>
      </w:r>
      <w:proofErr w:type="spellEnd"/>
      <w:r>
        <w:rPr>
          <w:b/>
          <w:bCs/>
          <w:lang w:val="en-GB"/>
        </w:rPr>
        <w:t xml:space="preserve"> </w:t>
      </w:r>
      <w:proofErr w:type="spellStart"/>
      <w:r>
        <w:rPr>
          <w:b/>
          <w:bCs/>
          <w:lang w:val="en-GB"/>
        </w:rPr>
        <w:t>i</w:t>
      </w:r>
      <w:proofErr w:type="spellEnd"/>
      <w:r>
        <w:rPr>
          <w:b/>
          <w:bCs/>
          <w:lang w:val="en-GB"/>
        </w:rPr>
        <w:t> </w:t>
      </w:r>
      <w:proofErr w:type="spellStart"/>
      <w:r>
        <w:rPr>
          <w:b/>
          <w:bCs/>
          <w:lang w:val="en-GB"/>
        </w:rPr>
        <w:t>Administracji</w:t>
      </w:r>
      <w:proofErr w:type="spellEnd"/>
      <w:r>
        <w:rPr>
          <w:b/>
          <w:bCs/>
          <w:lang w:val="en-GB"/>
        </w:rPr>
        <w:t xml:space="preserve">, </w:t>
      </w:r>
      <w:proofErr w:type="spellStart"/>
      <w:r>
        <w:rPr>
          <w:b/>
          <w:bCs/>
          <w:lang w:val="en-GB"/>
        </w:rPr>
        <w:t>ul</w:t>
      </w:r>
      <w:proofErr w:type="spellEnd"/>
      <w:r>
        <w:rPr>
          <w:b/>
          <w:bCs/>
          <w:lang w:val="en-GB"/>
        </w:rPr>
        <w:t xml:space="preserve">. </w:t>
      </w:r>
      <w:proofErr w:type="spellStart"/>
      <w:r>
        <w:rPr>
          <w:b/>
          <w:bCs/>
          <w:lang w:val="en-GB"/>
        </w:rPr>
        <w:t>Puławska</w:t>
      </w:r>
      <w:proofErr w:type="spellEnd"/>
      <w:r>
        <w:rPr>
          <w:b/>
          <w:bCs/>
          <w:lang w:val="en-GB"/>
        </w:rPr>
        <w:t xml:space="preserve"> 99a, 02-595 Warszawa.</w:t>
      </w:r>
    </w:p>
    <w:p w14:paraId="310977DB" w14:textId="2E4EAA5A" w:rsidR="00870F82" w:rsidRPr="00426B52" w:rsidRDefault="00870F82" w:rsidP="00B94137">
      <w:pPr>
        <w:ind w:left="851"/>
        <w:jc w:val="both"/>
        <w:rPr>
          <w:lang w:val="en-GB"/>
        </w:rPr>
      </w:pPr>
      <w:r>
        <w:rPr>
          <w:lang w:val="en-GB"/>
        </w:rPr>
        <w:t xml:space="preserve">Both </w:t>
      </w:r>
      <w:r w:rsidR="00AA7E3D">
        <w:rPr>
          <w:lang w:val="en-GB"/>
        </w:rPr>
        <w:t xml:space="preserve">paper </w:t>
      </w:r>
      <w:r>
        <w:rPr>
          <w:lang w:val="en-GB"/>
        </w:rPr>
        <w:t>copies</w:t>
      </w:r>
      <w:r w:rsidR="00160F00">
        <w:rPr>
          <w:lang w:val="en-GB"/>
        </w:rPr>
        <w:t xml:space="preserve"> </w:t>
      </w:r>
      <w:r>
        <w:rPr>
          <w:lang w:val="en-GB"/>
        </w:rPr>
        <w:t xml:space="preserve">must be signed by the applicant or </w:t>
      </w:r>
      <w:r w:rsidR="00160F00">
        <w:rPr>
          <w:lang w:val="en-GB"/>
        </w:rPr>
        <w:t xml:space="preserve">a </w:t>
      </w:r>
      <w:r>
        <w:rPr>
          <w:lang w:val="en-GB"/>
        </w:rPr>
        <w:t>person authorised to represent the institution and must be accompanied by the original or a copy of a document certifying that such person has the capacity to represent the applicant</w:t>
      </w:r>
      <w:r w:rsidR="00B879DB">
        <w:rPr>
          <w:rStyle w:val="Odwoanieprzypisudolnego"/>
          <w:lang w:val="en-GB"/>
        </w:rPr>
        <w:footnoteReference w:id="9"/>
      </w:r>
      <w:r>
        <w:rPr>
          <w:lang w:val="en-GB"/>
        </w:rPr>
        <w:t xml:space="preserve">; </w:t>
      </w:r>
    </w:p>
    <w:p w14:paraId="6AA1D66A" w14:textId="5DAB84AF" w:rsidR="00C96AB8" w:rsidRPr="00364E32" w:rsidRDefault="00C96AB8" w:rsidP="00B94137">
      <w:pPr>
        <w:ind w:left="851"/>
        <w:jc w:val="both"/>
        <w:rPr>
          <w:rFonts w:cs="Arial"/>
        </w:rPr>
      </w:pPr>
      <w:r>
        <w:rPr>
          <w:rFonts w:cs="Arial"/>
          <w:lang w:val="en-GB"/>
        </w:rPr>
        <w:t>or</w:t>
      </w:r>
    </w:p>
    <w:p w14:paraId="5347CE1F" w14:textId="5C6E1811" w:rsidR="0048703F" w:rsidRPr="00426B52" w:rsidRDefault="00C96AB8" w:rsidP="00B94137">
      <w:pPr>
        <w:pStyle w:val="Akapitzlist"/>
        <w:numPr>
          <w:ilvl w:val="0"/>
          <w:numId w:val="15"/>
        </w:numPr>
        <w:spacing w:after="120" w:line="240" w:lineRule="auto"/>
        <w:jc w:val="both"/>
        <w:rPr>
          <w:lang w:val="en-GB"/>
        </w:rPr>
      </w:pPr>
      <w:r>
        <w:rPr>
          <w:lang w:val="en-GB"/>
        </w:rPr>
        <w:t xml:space="preserve">in electronic form via </w:t>
      </w:r>
      <w:r w:rsidR="00760D8D">
        <w:rPr>
          <w:lang w:val="en-GB"/>
        </w:rPr>
        <w:t xml:space="preserve">the </w:t>
      </w:r>
      <w:r>
        <w:rPr>
          <w:lang w:val="en-GB"/>
        </w:rPr>
        <w:t xml:space="preserve">EPUAP platform to the electronic incoming correspondence box of the European Projects Implementation Centre </w:t>
      </w:r>
      <w:r w:rsidR="00434951">
        <w:rPr>
          <w:lang w:val="en-GB"/>
        </w:rPr>
        <w:t>MIA</w:t>
      </w:r>
      <w:r>
        <w:rPr>
          <w:lang w:val="en-GB"/>
        </w:rPr>
        <w:t xml:space="preserve"> (address: /COPEMSW/</w:t>
      </w:r>
      <w:proofErr w:type="spellStart"/>
      <w:r>
        <w:rPr>
          <w:lang w:val="en-GB"/>
        </w:rPr>
        <w:t>SkrytkaESP</w:t>
      </w:r>
      <w:proofErr w:type="spellEnd"/>
      <w:r>
        <w:rPr>
          <w:lang w:val="en-GB"/>
        </w:rPr>
        <w:t xml:space="preserve">). The application must </w:t>
      </w:r>
      <w:r w:rsidR="00760D8D">
        <w:rPr>
          <w:lang w:val="en-GB"/>
        </w:rPr>
        <w:t xml:space="preserve">bear </w:t>
      </w:r>
      <w:r>
        <w:rPr>
          <w:lang w:val="en-GB"/>
        </w:rPr>
        <w:t xml:space="preserve">a qualified signature of </w:t>
      </w:r>
      <w:r w:rsidR="00760D8D">
        <w:rPr>
          <w:lang w:val="en-GB"/>
        </w:rPr>
        <w:t xml:space="preserve">an </w:t>
      </w:r>
      <w:r>
        <w:rPr>
          <w:lang w:val="en-GB"/>
        </w:rPr>
        <w:t xml:space="preserve">authorised person and must be accompanied by the original or a copy of a document certifying that such </w:t>
      </w:r>
      <w:r w:rsidR="00760D8D">
        <w:rPr>
          <w:lang w:val="en-GB"/>
        </w:rPr>
        <w:t xml:space="preserve">a </w:t>
      </w:r>
      <w:r>
        <w:rPr>
          <w:lang w:val="en-GB"/>
        </w:rPr>
        <w:t>person has the capacity to represent the applicant</w:t>
      </w:r>
      <w:r w:rsidR="00B879DB">
        <w:rPr>
          <w:rStyle w:val="Odwoanieprzypisudolnego"/>
          <w:lang w:val="en-GB"/>
        </w:rPr>
        <w:footnoteReference w:id="10"/>
      </w:r>
      <w:r>
        <w:rPr>
          <w:lang w:val="en-GB"/>
        </w:rPr>
        <w:t xml:space="preserve">. </w:t>
      </w:r>
    </w:p>
    <w:p w14:paraId="04BB52A2" w14:textId="78F58F51" w:rsidR="002F69DD" w:rsidRPr="00160F00" w:rsidRDefault="002F69DD" w:rsidP="00E2767D">
      <w:pPr>
        <w:spacing w:after="120" w:line="240" w:lineRule="auto"/>
        <w:jc w:val="both"/>
        <w:rPr>
          <w:lang w:val="en-GB"/>
        </w:rPr>
      </w:pPr>
      <w:r w:rsidRPr="00705778">
        <w:rPr>
          <w:u w:val="single"/>
          <w:lang w:val="en-GB"/>
        </w:rPr>
        <w:t>The date of submission to the EPIC MIA shall be:</w:t>
      </w:r>
    </w:p>
    <w:p w14:paraId="215DBC63" w14:textId="0C84AB4D" w:rsidR="002F69DD" w:rsidRPr="00426B52" w:rsidRDefault="002F69DD" w:rsidP="00BD27F5">
      <w:pPr>
        <w:numPr>
          <w:ilvl w:val="0"/>
          <w:numId w:val="2"/>
        </w:numPr>
        <w:jc w:val="both"/>
        <w:rPr>
          <w:lang w:val="en-GB"/>
        </w:rPr>
      </w:pPr>
      <w:r>
        <w:rPr>
          <w:lang w:val="en-GB"/>
        </w:rPr>
        <w:t xml:space="preserve">the date of posting (date of </w:t>
      </w:r>
      <w:r w:rsidR="00B254E1">
        <w:rPr>
          <w:lang w:val="en-GB"/>
        </w:rPr>
        <w:t xml:space="preserve">the </w:t>
      </w:r>
      <w:r>
        <w:rPr>
          <w:lang w:val="en-GB"/>
        </w:rPr>
        <w:t xml:space="preserve">postmark) – only in </w:t>
      </w:r>
      <w:r w:rsidR="00760D8D">
        <w:rPr>
          <w:lang w:val="en-GB"/>
        </w:rPr>
        <w:t xml:space="preserve">the </w:t>
      </w:r>
      <w:r>
        <w:rPr>
          <w:lang w:val="en-GB"/>
        </w:rPr>
        <w:t xml:space="preserve">case of posting at </w:t>
      </w:r>
      <w:r w:rsidR="00760D8D">
        <w:rPr>
          <w:lang w:val="en-GB"/>
        </w:rPr>
        <w:t xml:space="preserve">a </w:t>
      </w:r>
      <w:r>
        <w:rPr>
          <w:lang w:val="en-GB"/>
        </w:rPr>
        <w:t xml:space="preserve">Polish post office of the operator designated under the Act of 23 November 2012 – </w:t>
      </w:r>
      <w:r>
        <w:rPr>
          <w:i/>
          <w:iCs/>
          <w:lang w:val="en-GB"/>
        </w:rPr>
        <w:t xml:space="preserve">Postal law </w:t>
      </w:r>
      <w:r>
        <w:rPr>
          <w:lang w:val="en-GB"/>
        </w:rPr>
        <w:t xml:space="preserve">(Journal of Laws of 2018, item 2188, as amended), with the applications submitted to the Headquarters of EPIC MIA, referred to above, within 14 days from </w:t>
      </w:r>
      <w:r w:rsidR="00B254E1">
        <w:rPr>
          <w:lang w:val="en-GB"/>
        </w:rPr>
        <w:t>the call’s</w:t>
      </w:r>
      <w:r w:rsidR="006C5BA7">
        <w:rPr>
          <w:lang w:val="en-GB"/>
        </w:rPr>
        <w:t xml:space="preserve"> </w:t>
      </w:r>
      <w:r>
        <w:rPr>
          <w:lang w:val="en-GB"/>
        </w:rPr>
        <w:t>completion</w:t>
      </w:r>
      <w:r w:rsidR="00B254E1">
        <w:rPr>
          <w:lang w:val="en-GB"/>
        </w:rPr>
        <w:t xml:space="preserve"> date</w:t>
      </w:r>
      <w:r>
        <w:rPr>
          <w:lang w:val="en-GB"/>
        </w:rPr>
        <w:t>, will be regarded as submitted within the deadline;</w:t>
      </w:r>
    </w:p>
    <w:p w14:paraId="2410E9E6" w14:textId="0180AB94" w:rsidR="002F69DD" w:rsidRPr="00426B52" w:rsidRDefault="00CA7B93" w:rsidP="007950CA">
      <w:pPr>
        <w:numPr>
          <w:ilvl w:val="0"/>
          <w:numId w:val="2"/>
        </w:numPr>
        <w:jc w:val="both"/>
        <w:rPr>
          <w:lang w:val="en-GB"/>
        </w:rPr>
      </w:pPr>
      <w:r>
        <w:rPr>
          <w:lang w:val="en-GB"/>
        </w:rPr>
        <w:t xml:space="preserve">date of submission to the EPIC MIA – in </w:t>
      </w:r>
      <w:r w:rsidR="00B254E1">
        <w:rPr>
          <w:lang w:val="en-GB"/>
        </w:rPr>
        <w:t xml:space="preserve">the </w:t>
      </w:r>
      <w:r>
        <w:rPr>
          <w:lang w:val="en-GB"/>
        </w:rPr>
        <w:t xml:space="preserve">case of submitting in person, posting through </w:t>
      </w:r>
      <w:r w:rsidR="00134E13">
        <w:rPr>
          <w:lang w:val="en-GB"/>
        </w:rPr>
        <w:t>a </w:t>
      </w:r>
      <w:r>
        <w:rPr>
          <w:lang w:val="en-GB"/>
        </w:rPr>
        <w:t xml:space="preserve">postal operator other than </w:t>
      </w:r>
      <w:r w:rsidR="00B254E1">
        <w:rPr>
          <w:lang w:val="en-GB"/>
        </w:rPr>
        <w:t xml:space="preserve">the </w:t>
      </w:r>
      <w:r>
        <w:rPr>
          <w:lang w:val="en-GB"/>
        </w:rPr>
        <w:t>designated operator referred to in point 1, or date of posting by the courier;</w:t>
      </w:r>
    </w:p>
    <w:p w14:paraId="37E9DE6B" w14:textId="3ADBD8C1" w:rsidR="00B80A37" w:rsidRPr="00426B52" w:rsidRDefault="00CA7B93" w:rsidP="00B80A37">
      <w:pPr>
        <w:numPr>
          <w:ilvl w:val="0"/>
          <w:numId w:val="2"/>
        </w:numPr>
        <w:jc w:val="both"/>
        <w:rPr>
          <w:lang w:val="en-GB"/>
        </w:rPr>
      </w:pPr>
      <w:r>
        <w:rPr>
          <w:lang w:val="en-GB"/>
        </w:rPr>
        <w:t xml:space="preserve">date of submission to the incoming correspondence box of the EPIC MIA – in case of sending the application to the </w:t>
      </w:r>
      <w:proofErr w:type="spellStart"/>
      <w:r>
        <w:rPr>
          <w:lang w:val="en-GB"/>
        </w:rPr>
        <w:t>ePUAP</w:t>
      </w:r>
      <w:proofErr w:type="spellEnd"/>
      <w:r>
        <w:rPr>
          <w:lang w:val="en-GB"/>
        </w:rPr>
        <w:t xml:space="preserve"> platform.</w:t>
      </w:r>
    </w:p>
    <w:p w14:paraId="6AE833B0" w14:textId="77777777" w:rsidR="00E17300" w:rsidRPr="00426B52" w:rsidRDefault="00F93152" w:rsidP="00E17300">
      <w:pPr>
        <w:jc w:val="both"/>
        <w:rPr>
          <w:b/>
          <w:bCs/>
          <w:lang w:val="en-GB"/>
        </w:rPr>
      </w:pPr>
      <w:r>
        <w:rPr>
          <w:b/>
          <w:bCs/>
          <w:lang w:val="en-GB"/>
        </w:rPr>
        <w:t>Selection procedure</w:t>
      </w:r>
      <w:r w:rsidR="00697972">
        <w:rPr>
          <w:b/>
          <w:bCs/>
          <w:lang w:val="en-GB"/>
        </w:rPr>
        <w:t>:</w:t>
      </w:r>
    </w:p>
    <w:p w14:paraId="6818B2AF" w14:textId="57B0EF91" w:rsidR="00E17300" w:rsidRPr="00426B52" w:rsidRDefault="006C5BA7" w:rsidP="000A59B2">
      <w:pPr>
        <w:spacing w:after="120" w:line="240" w:lineRule="auto"/>
        <w:jc w:val="both"/>
        <w:rPr>
          <w:bCs/>
          <w:lang w:val="en-GB"/>
        </w:rPr>
      </w:pPr>
      <w:r>
        <w:rPr>
          <w:lang w:val="en-GB"/>
        </w:rPr>
        <w:t>The a</w:t>
      </w:r>
      <w:r w:rsidR="00E17300">
        <w:rPr>
          <w:lang w:val="en-GB"/>
        </w:rPr>
        <w:t>ssessment of projects is</w:t>
      </w:r>
      <w:r w:rsidR="008451A5">
        <w:rPr>
          <w:lang w:val="en-GB"/>
        </w:rPr>
        <w:t xml:space="preserve"> a</w:t>
      </w:r>
      <w:r w:rsidR="00E17300">
        <w:rPr>
          <w:lang w:val="en-GB"/>
        </w:rPr>
        <w:t xml:space="preserve"> two-</w:t>
      </w:r>
      <w:r w:rsidR="008451A5">
        <w:rPr>
          <w:lang w:val="en-GB"/>
        </w:rPr>
        <w:t>stage process, consisting of</w:t>
      </w:r>
      <w:r>
        <w:rPr>
          <w:lang w:val="en-GB"/>
        </w:rPr>
        <w:t xml:space="preserve"> </w:t>
      </w:r>
      <w:r w:rsidR="008451A5">
        <w:rPr>
          <w:lang w:val="en-GB"/>
        </w:rPr>
        <w:t xml:space="preserve">a </w:t>
      </w:r>
      <w:r w:rsidR="00E17300">
        <w:rPr>
          <w:lang w:val="en-GB"/>
        </w:rPr>
        <w:t>formal (carried out based on administrative and eligibility criteria) and substantive assessment.</w:t>
      </w:r>
    </w:p>
    <w:p w14:paraId="168BE414" w14:textId="6820356B" w:rsidR="00D019AE" w:rsidRPr="00426B52" w:rsidRDefault="00E17300" w:rsidP="000A59B2">
      <w:pPr>
        <w:spacing w:after="120" w:line="240" w:lineRule="auto"/>
        <w:jc w:val="both"/>
        <w:rPr>
          <w:lang w:val="en-GB"/>
        </w:rPr>
      </w:pPr>
      <w:r>
        <w:rPr>
          <w:lang w:val="en-GB"/>
        </w:rPr>
        <w:t xml:space="preserve">Formal assessment is carried out by Polish experts, representatives of the EPIC MIA. Formal assessment provides for </w:t>
      </w:r>
      <w:r w:rsidR="008451A5">
        <w:rPr>
          <w:lang w:val="en-GB"/>
        </w:rPr>
        <w:t xml:space="preserve">a </w:t>
      </w:r>
      <w:r>
        <w:rPr>
          <w:lang w:val="en-GB"/>
        </w:rPr>
        <w:t>supplementation procedure</w:t>
      </w:r>
      <w:r w:rsidR="008451A5">
        <w:rPr>
          <w:lang w:val="en-GB"/>
        </w:rPr>
        <w:t xml:space="preserve"> that</w:t>
      </w:r>
      <w:r>
        <w:rPr>
          <w:lang w:val="en-GB"/>
        </w:rPr>
        <w:t xml:space="preserve"> </w:t>
      </w:r>
      <w:r w:rsidR="008451A5">
        <w:rPr>
          <w:lang w:val="en-GB"/>
        </w:rPr>
        <w:t xml:space="preserve">lasts </w:t>
      </w:r>
      <w:r>
        <w:rPr>
          <w:lang w:val="en-GB"/>
        </w:rPr>
        <w:t xml:space="preserve">7 working days. Only projects that </w:t>
      </w:r>
      <w:r w:rsidR="008451A5">
        <w:rPr>
          <w:lang w:val="en-GB"/>
        </w:rPr>
        <w:t xml:space="preserve">meet </w:t>
      </w:r>
      <w:r>
        <w:rPr>
          <w:lang w:val="en-GB"/>
        </w:rPr>
        <w:t>all the formal criteria will be subjected to the substantive assessment. In the case of formal assessment, the applicant will be entitled to appeal to the National Focal Point via the EPIC MIA. There is no appeal procedure against the decision of the National Focal Point.</w:t>
      </w:r>
    </w:p>
    <w:p w14:paraId="44C17F9A" w14:textId="36AE419B" w:rsidR="00E557D0" w:rsidRPr="00426B52" w:rsidRDefault="008451A5" w:rsidP="000A59B2">
      <w:pPr>
        <w:spacing w:after="120" w:line="240" w:lineRule="auto"/>
        <w:jc w:val="both"/>
        <w:rPr>
          <w:lang w:val="en-GB"/>
        </w:rPr>
      </w:pPr>
      <w:r>
        <w:rPr>
          <w:lang w:val="en-GB"/>
        </w:rPr>
        <w:lastRenderedPageBreak/>
        <w:t xml:space="preserve">Should the </w:t>
      </w:r>
      <w:r w:rsidR="00E0388E">
        <w:rPr>
          <w:lang w:val="en-GB"/>
        </w:rPr>
        <w:t>formal assessment</w:t>
      </w:r>
      <w:r>
        <w:rPr>
          <w:lang w:val="en-GB"/>
        </w:rPr>
        <w:t xml:space="preserve"> yield positive results</w:t>
      </w:r>
      <w:r w:rsidR="00E0388E">
        <w:rPr>
          <w:lang w:val="en-GB"/>
        </w:rPr>
        <w:t xml:space="preserve"> (under standard procedure or under appeal procedure), the applicant will be obliged to translate the application into English. EPIC MIA will notify the Applicant about the positive result of the formal assessment.</w:t>
      </w:r>
    </w:p>
    <w:p w14:paraId="0FB99A73" w14:textId="568864AC" w:rsidR="00DB24A1" w:rsidRPr="00426B52" w:rsidRDefault="00D22638" w:rsidP="00DB24A1">
      <w:pPr>
        <w:jc w:val="both"/>
        <w:rPr>
          <w:rStyle w:val="tlid-translation"/>
          <w:lang w:val="en-GB"/>
        </w:rPr>
      </w:pPr>
      <w:r>
        <w:rPr>
          <w:lang w:val="en-GB"/>
        </w:rPr>
        <w:t xml:space="preserve">The substantive assessment is carried out by at least two independent experts (representative of the PO or the EPIC MIA and </w:t>
      </w:r>
      <w:r w:rsidR="008451A5">
        <w:rPr>
          <w:lang w:val="en-GB"/>
        </w:rPr>
        <w:t xml:space="preserve">an </w:t>
      </w:r>
      <w:r w:rsidRPr="008847EF">
        <w:rPr>
          <w:lang w:val="en-GB"/>
        </w:rPr>
        <w:t xml:space="preserve">external expert). Each application is assessed by two experts and the final score awarded to the application </w:t>
      </w:r>
      <w:r w:rsidR="008451A5" w:rsidRPr="008847EF">
        <w:rPr>
          <w:lang w:val="en-GB"/>
        </w:rPr>
        <w:t xml:space="preserve">is </w:t>
      </w:r>
      <w:r w:rsidRPr="008847EF">
        <w:rPr>
          <w:lang w:val="en-GB"/>
        </w:rPr>
        <w:t xml:space="preserve">the average </w:t>
      </w:r>
      <w:r w:rsidR="008451A5" w:rsidRPr="008847EF">
        <w:rPr>
          <w:lang w:val="en-GB"/>
        </w:rPr>
        <w:t xml:space="preserve">derived from </w:t>
      </w:r>
      <w:r w:rsidRPr="008847EF">
        <w:rPr>
          <w:lang w:val="en-GB"/>
        </w:rPr>
        <w:t xml:space="preserve">points awarded by both experts. </w:t>
      </w:r>
      <w:r w:rsidR="008847EF" w:rsidRPr="008847EF">
        <w:rPr>
          <w:lang w:val="en-GB"/>
        </w:rPr>
        <w:t xml:space="preserve">If the difference between the number of points awarded by the two experts exceeds 30%, the application undergoes a substantive assessment by a third independent expert indicated by the PO. </w:t>
      </w:r>
      <w:r w:rsidR="008847EF" w:rsidRPr="008847EF">
        <w:rPr>
          <w:rStyle w:val="tlid-translation"/>
          <w:lang w:val="en-GB"/>
        </w:rPr>
        <w:t>In such cases, the average score of the two closest scoring results shall be used</w:t>
      </w:r>
      <w:r w:rsidR="008847EF" w:rsidRPr="00356870">
        <w:rPr>
          <w:rStyle w:val="tlid-translation"/>
          <w:lang w:val="en-GB"/>
        </w:rPr>
        <w:t>.</w:t>
      </w:r>
      <w:r>
        <w:rPr>
          <w:rStyle w:val="tlid-translation"/>
          <w:lang w:val="en-GB"/>
        </w:rPr>
        <w:t xml:space="preserve"> </w:t>
      </w:r>
    </w:p>
    <w:p w14:paraId="308CBF24" w14:textId="42B52BDA" w:rsidR="00717F59" w:rsidRPr="00426B52" w:rsidRDefault="00DB24A1" w:rsidP="00DB24A1">
      <w:pPr>
        <w:jc w:val="both"/>
        <w:rPr>
          <w:u w:val="single"/>
          <w:lang w:val="en-GB"/>
        </w:rPr>
      </w:pPr>
      <w:r>
        <w:rPr>
          <w:lang w:val="en-GB"/>
        </w:rPr>
        <w:t xml:space="preserve">The minimum total number of points (averaged over the experts' assessments) that would allow an application to be considered as recommended is: </w:t>
      </w:r>
      <w:r>
        <w:rPr>
          <w:b/>
          <w:bCs/>
          <w:lang w:val="en-GB"/>
        </w:rPr>
        <w:t>65 points</w:t>
      </w:r>
      <w:r>
        <w:rPr>
          <w:lang w:val="en-GB"/>
        </w:rPr>
        <w:t>, provided that the</w:t>
      </w:r>
      <w:r>
        <w:rPr>
          <w:b/>
          <w:bCs/>
          <w:lang w:val="en-GB"/>
        </w:rPr>
        <w:t xml:space="preserve"> eligibility criteria </w:t>
      </w:r>
      <w:r>
        <w:rPr>
          <w:lang w:val="en-GB"/>
        </w:rPr>
        <w:t xml:space="preserve">have also been met, i.e. </w:t>
      </w:r>
      <w:r>
        <w:rPr>
          <w:u w:val="single"/>
          <w:lang w:val="en-GB"/>
        </w:rPr>
        <w:t>under criterion 1, one should</w:t>
      </w:r>
      <w:r>
        <w:rPr>
          <w:lang w:val="en-GB"/>
        </w:rPr>
        <w:t>:</w:t>
      </w:r>
    </w:p>
    <w:p w14:paraId="607DAA8B" w14:textId="3D1A59B0" w:rsidR="00717F59" w:rsidRPr="00E106E2" w:rsidRDefault="00837B1E" w:rsidP="00717F59">
      <w:pPr>
        <w:pStyle w:val="Akapitzlist"/>
        <w:numPr>
          <w:ilvl w:val="0"/>
          <w:numId w:val="14"/>
        </w:numPr>
        <w:jc w:val="both"/>
      </w:pPr>
      <w:r>
        <w:rPr>
          <w:lang w:val="en-GB"/>
        </w:rPr>
        <w:t xml:space="preserve">score </w:t>
      </w:r>
      <w:r w:rsidR="00717F59">
        <w:rPr>
          <w:lang w:val="en-GB"/>
        </w:rPr>
        <w:t xml:space="preserve">at least 19 points, </w:t>
      </w:r>
    </w:p>
    <w:p w14:paraId="21A4F4B2" w14:textId="4C347478" w:rsidR="00E106E2" w:rsidRPr="00E106E2" w:rsidRDefault="00837B1E" w:rsidP="00717F59">
      <w:pPr>
        <w:pStyle w:val="Akapitzlist"/>
        <w:numPr>
          <w:ilvl w:val="0"/>
          <w:numId w:val="14"/>
        </w:numPr>
        <w:jc w:val="both"/>
        <w:rPr>
          <w:lang w:val="en-GB"/>
        </w:rPr>
      </w:pPr>
      <w:r>
        <w:rPr>
          <w:lang w:val="en-GB"/>
        </w:rPr>
        <w:t xml:space="preserve">score </w:t>
      </w:r>
      <w:r w:rsidR="00E106E2">
        <w:rPr>
          <w:lang w:val="en-GB"/>
        </w:rPr>
        <w:t xml:space="preserve">at least 8 points under </w:t>
      </w:r>
      <w:r w:rsidR="00393B87">
        <w:rPr>
          <w:lang w:val="en-GB"/>
        </w:rPr>
        <w:t xml:space="preserve">item </w:t>
      </w:r>
      <w:r w:rsidR="00E106E2">
        <w:rPr>
          <w:lang w:val="en-GB"/>
        </w:rPr>
        <w:t>1.4</w:t>
      </w:r>
      <w:r w:rsidR="00D2439E">
        <w:rPr>
          <w:lang w:val="en-GB"/>
        </w:rPr>
        <w:t>,</w:t>
      </w:r>
    </w:p>
    <w:p w14:paraId="65D5C549" w14:textId="4A0405DB" w:rsidR="00717F59" w:rsidRPr="00426B52" w:rsidRDefault="00717F59" w:rsidP="00717F59">
      <w:pPr>
        <w:pStyle w:val="Akapitzlist"/>
        <w:numPr>
          <w:ilvl w:val="0"/>
          <w:numId w:val="14"/>
        </w:numPr>
        <w:jc w:val="both"/>
        <w:rPr>
          <w:lang w:val="en-GB"/>
        </w:rPr>
      </w:pPr>
      <w:r>
        <w:rPr>
          <w:lang w:val="en-GB"/>
        </w:rPr>
        <w:t>choose at least one indicator provided for the “</w:t>
      </w:r>
      <w:r w:rsidR="00426B52">
        <w:rPr>
          <w:lang w:val="en-GB"/>
        </w:rPr>
        <w:t xml:space="preserve">Home </w:t>
      </w:r>
      <w:r>
        <w:rPr>
          <w:lang w:val="en-GB"/>
        </w:rPr>
        <w:t>Affairs” Programme,</w:t>
      </w:r>
    </w:p>
    <w:p w14:paraId="3A9D6172" w14:textId="69EFE782" w:rsidR="00717F59" w:rsidRPr="00426B52" w:rsidRDefault="00B7743C" w:rsidP="00717F59">
      <w:pPr>
        <w:pStyle w:val="Akapitzlist"/>
        <w:numPr>
          <w:ilvl w:val="0"/>
          <w:numId w:val="14"/>
        </w:numPr>
        <w:jc w:val="both"/>
        <w:rPr>
          <w:lang w:val="en-GB"/>
        </w:rPr>
      </w:pPr>
      <w:r>
        <w:rPr>
          <w:lang w:val="en-GB"/>
        </w:rPr>
        <w:t>specify at least one own indicator for the project,</w:t>
      </w:r>
    </w:p>
    <w:p w14:paraId="2638F5CD" w14:textId="3A514E0B" w:rsidR="00717F59" w:rsidRPr="00426B52" w:rsidRDefault="00717F59" w:rsidP="00717F59">
      <w:pPr>
        <w:pStyle w:val="Akapitzlist"/>
        <w:numPr>
          <w:ilvl w:val="0"/>
          <w:numId w:val="14"/>
        </w:numPr>
        <w:jc w:val="both"/>
        <w:rPr>
          <w:lang w:val="en-GB"/>
        </w:rPr>
      </w:pPr>
      <w:r>
        <w:rPr>
          <w:lang w:val="en-GB"/>
        </w:rPr>
        <w:t xml:space="preserve">in the case of </w:t>
      </w:r>
      <w:r w:rsidR="00837B1E">
        <w:rPr>
          <w:szCs w:val="24"/>
          <w:lang w:val="en-GB"/>
        </w:rPr>
        <w:t xml:space="preserve">a </w:t>
      </w:r>
      <w:r>
        <w:rPr>
          <w:szCs w:val="24"/>
          <w:lang w:val="en-GB"/>
        </w:rPr>
        <w:t xml:space="preserve">project run in partnership with a Norwegian institution </w:t>
      </w:r>
      <w:r w:rsidR="003E1324">
        <w:rPr>
          <w:szCs w:val="24"/>
          <w:lang w:val="en-GB"/>
        </w:rPr>
        <w:t xml:space="preserve">and/or international organisation </w:t>
      </w:r>
      <w:r>
        <w:rPr>
          <w:szCs w:val="24"/>
          <w:lang w:val="en-GB"/>
        </w:rPr>
        <w:t>– choose at least one bilateral indicator provided for the “</w:t>
      </w:r>
      <w:r w:rsidR="00426B52">
        <w:rPr>
          <w:szCs w:val="24"/>
          <w:lang w:val="en-GB"/>
        </w:rPr>
        <w:t xml:space="preserve">Home </w:t>
      </w:r>
      <w:r>
        <w:rPr>
          <w:szCs w:val="24"/>
          <w:lang w:val="en-GB"/>
        </w:rPr>
        <w:t>Affairs” Programme;</w:t>
      </w:r>
    </w:p>
    <w:p w14:paraId="5E66F6AE" w14:textId="1D1BDEAB" w:rsidR="00DB24A1" w:rsidRDefault="00717F59" w:rsidP="00717F59">
      <w:pPr>
        <w:jc w:val="both"/>
        <w:rPr>
          <w:lang w:val="en-GB"/>
        </w:rPr>
      </w:pPr>
      <w:r>
        <w:rPr>
          <w:u w:val="single"/>
          <w:lang w:val="en-GB"/>
        </w:rPr>
        <w:t>under criterion 2, one should</w:t>
      </w:r>
      <w:r w:rsidR="00E106E2">
        <w:rPr>
          <w:lang w:val="en-GB"/>
        </w:rPr>
        <w:t xml:space="preserve">: </w:t>
      </w:r>
      <w:r w:rsidR="00837B1E">
        <w:rPr>
          <w:lang w:val="en-GB"/>
        </w:rPr>
        <w:t xml:space="preserve">score </w:t>
      </w:r>
      <w:r w:rsidR="00E106E2">
        <w:rPr>
          <w:lang w:val="en-GB"/>
        </w:rPr>
        <w:t>at least 10 points.</w:t>
      </w:r>
    </w:p>
    <w:p w14:paraId="05BA7BA1" w14:textId="79A6F41D" w:rsidR="003A4AF2" w:rsidRPr="006D721D" w:rsidRDefault="003A4AF2" w:rsidP="000A59B2">
      <w:pPr>
        <w:spacing w:after="120" w:line="240" w:lineRule="auto"/>
        <w:jc w:val="both"/>
        <w:rPr>
          <w:u w:val="single"/>
          <w:lang w:val="en-GB"/>
        </w:rPr>
      </w:pPr>
      <w:r w:rsidRPr="006D721D">
        <w:rPr>
          <w:szCs w:val="24"/>
          <w:u w:val="single"/>
          <w:lang w:val="en-GB"/>
        </w:rPr>
        <w:t>The projects that have reached the minimum score</w:t>
      </w:r>
      <w:r w:rsidR="00331B6A" w:rsidRPr="006D721D">
        <w:rPr>
          <w:szCs w:val="24"/>
          <w:u w:val="single"/>
          <w:lang w:val="en-GB"/>
        </w:rPr>
        <w:t xml:space="preserve"> (65 points)</w:t>
      </w:r>
      <w:r w:rsidRPr="006D721D">
        <w:rPr>
          <w:szCs w:val="24"/>
          <w:u w:val="single"/>
          <w:lang w:val="en-GB"/>
        </w:rPr>
        <w:t xml:space="preserve"> are recommended, but only projects within the limit of available funds will receive funding. </w:t>
      </w:r>
    </w:p>
    <w:p w14:paraId="2F12674D" w14:textId="5E2590E6" w:rsidR="00E44757" w:rsidRPr="00426B52" w:rsidRDefault="005D1B02" w:rsidP="000A59B2">
      <w:pPr>
        <w:spacing w:after="120" w:line="240" w:lineRule="auto"/>
        <w:jc w:val="both"/>
        <w:rPr>
          <w:rStyle w:val="tlid-translation"/>
          <w:lang w:val="en-GB"/>
        </w:rPr>
      </w:pPr>
      <w:r>
        <w:rPr>
          <w:rStyle w:val="tlid-translation"/>
          <w:lang w:val="en-GB"/>
        </w:rPr>
        <w:t>No appeal procedure against the substantive assessment is envisaged.</w:t>
      </w:r>
    </w:p>
    <w:p w14:paraId="7011B2A3" w14:textId="7BF7BFDB" w:rsidR="00D22638" w:rsidRPr="00426B52" w:rsidRDefault="00875CE0" w:rsidP="000A59B2">
      <w:pPr>
        <w:spacing w:after="120" w:line="240" w:lineRule="auto"/>
        <w:jc w:val="both"/>
        <w:rPr>
          <w:rFonts w:ascii="Calibri" w:hAnsi="Calibri" w:cs="Calibri"/>
          <w:color w:val="010101"/>
          <w:lang w:val="en-GB"/>
        </w:rPr>
      </w:pPr>
      <w:r>
        <w:rPr>
          <w:lang w:val="en-GB"/>
        </w:rPr>
        <w:t xml:space="preserve">Following the substantive assessment, </w:t>
      </w:r>
      <w:r w:rsidR="00866F65">
        <w:rPr>
          <w:lang w:val="en-GB"/>
        </w:rPr>
        <w:t xml:space="preserve">a </w:t>
      </w:r>
      <w:r>
        <w:rPr>
          <w:lang w:val="en-GB"/>
        </w:rPr>
        <w:t xml:space="preserve">ranking list prepared by the PO shall be submitted to the Selection Committee that will consist of members indicated by the PO and the representatives of the </w:t>
      </w:r>
      <w:r w:rsidR="0072699C">
        <w:rPr>
          <w:lang w:val="en-GB"/>
        </w:rPr>
        <w:t xml:space="preserve">Donor </w:t>
      </w:r>
      <w:r>
        <w:rPr>
          <w:lang w:val="en-GB"/>
        </w:rPr>
        <w:t xml:space="preserve">Programme Partner. Representatives of the NFP and the Norwegian MFA will be invited to participate as observers in the process of project selection. </w:t>
      </w:r>
      <w:r w:rsidR="00837B1E">
        <w:rPr>
          <w:lang w:val="en-GB"/>
        </w:rPr>
        <w:t xml:space="preserve">The </w:t>
      </w:r>
      <w:r>
        <w:rPr>
          <w:rStyle w:val="tlid-translation"/>
          <w:lang w:val="en-GB"/>
        </w:rPr>
        <w:t xml:space="preserve">Committee reviews the ranking list of projects during the meeting or by mail, provided that the ranking list may be modified in justified cases. Justification of changes will be detailed in the Committee protocol. </w:t>
      </w:r>
    </w:p>
    <w:p w14:paraId="5F43F772" w14:textId="5D49CCF6" w:rsidR="000A59B2" w:rsidRPr="00426B52" w:rsidRDefault="00CA7B93" w:rsidP="00D22638">
      <w:pPr>
        <w:spacing w:after="0" w:line="240" w:lineRule="auto"/>
        <w:jc w:val="both"/>
        <w:rPr>
          <w:rStyle w:val="HTML-cytat"/>
          <w:lang w:val="en-GB"/>
        </w:rPr>
      </w:pPr>
      <w:r>
        <w:rPr>
          <w:lang w:val="en-GB"/>
        </w:rPr>
        <w:t xml:space="preserve">The final recommendation of projects for financing should be accepted by the </w:t>
      </w:r>
      <w:r>
        <w:rPr>
          <w:rStyle w:val="HTML-cytat"/>
          <w:lang w:val="en-GB"/>
        </w:rPr>
        <w:t>Inter</w:t>
      </w:r>
      <w:r w:rsidR="00F93152">
        <w:rPr>
          <w:rStyle w:val="HTML-cytat"/>
          <w:lang w:val="en-GB"/>
        </w:rPr>
        <w:t>-</w:t>
      </w:r>
      <w:r>
        <w:rPr>
          <w:rStyle w:val="HTML-cytat"/>
          <w:lang w:val="en-GB"/>
        </w:rPr>
        <w:t xml:space="preserve">ministerial Team for </w:t>
      </w:r>
      <w:r w:rsidR="00882A38">
        <w:rPr>
          <w:rStyle w:val="HTML-cytat"/>
          <w:lang w:val="en-GB"/>
        </w:rPr>
        <w:t xml:space="preserve">the </w:t>
      </w:r>
      <w:r w:rsidR="00F93152">
        <w:rPr>
          <w:rStyle w:val="HTML-cytat"/>
          <w:lang w:val="en-GB"/>
        </w:rPr>
        <w:t xml:space="preserve">Home Affairs </w:t>
      </w:r>
      <w:r>
        <w:rPr>
          <w:rStyle w:val="HTML-cytat"/>
          <w:lang w:val="en-GB"/>
        </w:rPr>
        <w:t>European Funds</w:t>
      </w:r>
      <w:r>
        <w:rPr>
          <w:rStyle w:val="HTML-cytat"/>
          <w:i w:val="0"/>
          <w:iCs w:val="0"/>
          <w:lang w:val="en-GB"/>
        </w:rPr>
        <w:t xml:space="preserve"> by way of a resolution.</w:t>
      </w:r>
      <w:r>
        <w:rPr>
          <w:rStyle w:val="HTML-cytat"/>
          <w:lang w:val="en-GB"/>
        </w:rPr>
        <w:t xml:space="preserve"> </w:t>
      </w:r>
    </w:p>
    <w:p w14:paraId="7430CC3C" w14:textId="77777777" w:rsidR="00875CE0" w:rsidRPr="00426B52" w:rsidRDefault="00875CE0" w:rsidP="00D22638">
      <w:pPr>
        <w:spacing w:after="0" w:line="240" w:lineRule="auto"/>
        <w:jc w:val="both"/>
        <w:rPr>
          <w:rStyle w:val="HTML-cytat"/>
          <w:lang w:val="en-GB"/>
        </w:rPr>
      </w:pPr>
    </w:p>
    <w:p w14:paraId="4D78B93D" w14:textId="5AF50E8C" w:rsidR="00870F82" w:rsidRPr="00426B52" w:rsidRDefault="00870F82" w:rsidP="00D22638">
      <w:pPr>
        <w:spacing w:after="0" w:line="240" w:lineRule="auto"/>
        <w:jc w:val="both"/>
        <w:rPr>
          <w:rStyle w:val="Hipercze"/>
          <w:rFonts w:ascii="Calibri" w:hAnsi="Calibri" w:cs="Calibri"/>
          <w:color w:val="auto"/>
          <w:lang w:val="en-GB"/>
        </w:rPr>
      </w:pPr>
      <w:r>
        <w:rPr>
          <w:rStyle w:val="Hipercze"/>
          <w:rFonts w:ascii="Calibri" w:hAnsi="Calibri" w:cs="Calibri"/>
          <w:color w:val="auto"/>
          <w:lang w:val="en-GB"/>
        </w:rPr>
        <w:t xml:space="preserve">The detailed rules </w:t>
      </w:r>
      <w:r w:rsidR="00837B1E">
        <w:rPr>
          <w:rStyle w:val="Hipercze"/>
          <w:rFonts w:ascii="Calibri" w:hAnsi="Calibri" w:cs="Calibri"/>
          <w:color w:val="auto"/>
          <w:lang w:val="en-GB"/>
        </w:rPr>
        <w:t xml:space="preserve">governing </w:t>
      </w:r>
      <w:r>
        <w:rPr>
          <w:rStyle w:val="Hipercze"/>
          <w:rFonts w:ascii="Calibri" w:hAnsi="Calibri" w:cs="Calibri"/>
          <w:color w:val="auto"/>
          <w:lang w:val="en-GB"/>
        </w:rPr>
        <w:t>recruitment, assessment and selection of applications</w:t>
      </w:r>
      <w:r w:rsidR="00837B1E">
        <w:rPr>
          <w:rStyle w:val="Hipercze"/>
          <w:rFonts w:ascii="Calibri" w:hAnsi="Calibri" w:cs="Calibri"/>
          <w:color w:val="auto"/>
          <w:lang w:val="en-GB"/>
        </w:rPr>
        <w:t>, along</w:t>
      </w:r>
      <w:r>
        <w:rPr>
          <w:rStyle w:val="Hipercze"/>
          <w:rFonts w:ascii="Calibri" w:hAnsi="Calibri" w:cs="Calibri"/>
          <w:color w:val="auto"/>
          <w:lang w:val="en-GB"/>
        </w:rPr>
        <w:t xml:space="preserve"> with</w:t>
      </w:r>
      <w:r w:rsidR="00837B1E">
        <w:rPr>
          <w:rStyle w:val="Hipercze"/>
          <w:rFonts w:ascii="Calibri" w:hAnsi="Calibri" w:cs="Calibri"/>
          <w:color w:val="auto"/>
          <w:lang w:val="en-GB"/>
        </w:rPr>
        <w:t xml:space="preserve"> the</w:t>
      </w:r>
      <w:r>
        <w:rPr>
          <w:rStyle w:val="Hipercze"/>
          <w:rFonts w:ascii="Calibri" w:hAnsi="Calibri" w:cs="Calibri"/>
          <w:color w:val="auto"/>
          <w:lang w:val="en-GB"/>
        </w:rPr>
        <w:t xml:space="preserve"> criteria of formal and substantive assessment</w:t>
      </w:r>
      <w:r w:rsidR="00837B1E">
        <w:rPr>
          <w:rStyle w:val="Hipercze"/>
          <w:rFonts w:ascii="Calibri" w:hAnsi="Calibri" w:cs="Calibri"/>
          <w:color w:val="auto"/>
          <w:lang w:val="en-GB"/>
        </w:rPr>
        <w:t>,</w:t>
      </w:r>
      <w:r>
        <w:rPr>
          <w:rStyle w:val="Hipercze"/>
          <w:rFonts w:ascii="Calibri" w:hAnsi="Calibri" w:cs="Calibri"/>
          <w:color w:val="auto"/>
          <w:lang w:val="en-GB"/>
        </w:rPr>
        <w:t xml:space="preserve"> are included in the </w:t>
      </w:r>
      <w:r>
        <w:rPr>
          <w:rStyle w:val="Hipercze"/>
          <w:rFonts w:ascii="Calibri" w:hAnsi="Calibri" w:cs="Calibri"/>
          <w:b/>
          <w:bCs/>
          <w:i/>
          <w:iCs/>
          <w:color w:val="auto"/>
          <w:lang w:val="en-GB"/>
        </w:rPr>
        <w:t xml:space="preserve">Rules </w:t>
      </w:r>
      <w:r w:rsidR="00DD334D">
        <w:rPr>
          <w:rStyle w:val="Hipercze"/>
          <w:rFonts w:ascii="Calibri" w:hAnsi="Calibri" w:cs="Calibri"/>
          <w:b/>
          <w:bCs/>
          <w:i/>
          <w:iCs/>
          <w:color w:val="auto"/>
          <w:lang w:val="en-GB"/>
        </w:rPr>
        <w:t>of procedure</w:t>
      </w:r>
      <w:r>
        <w:rPr>
          <w:rStyle w:val="Hipercze"/>
          <w:rFonts w:ascii="Calibri" w:hAnsi="Calibri" w:cs="Calibri"/>
          <w:b/>
          <w:bCs/>
          <w:i/>
          <w:iCs/>
          <w:color w:val="auto"/>
          <w:lang w:val="en-GB"/>
        </w:rPr>
        <w:t xml:space="preserve"> for the call for projects and selection</w:t>
      </w:r>
      <w:r>
        <w:rPr>
          <w:rStyle w:val="Hipercze"/>
          <w:rFonts w:ascii="Calibri" w:hAnsi="Calibri" w:cs="Calibri"/>
          <w:i/>
          <w:iCs/>
          <w:color w:val="auto"/>
          <w:lang w:val="en-GB"/>
        </w:rPr>
        <w:t xml:space="preserve"> </w:t>
      </w:r>
      <w:r>
        <w:rPr>
          <w:rStyle w:val="Hipercze"/>
          <w:b/>
          <w:bCs/>
          <w:i/>
          <w:iCs/>
          <w:color w:val="auto"/>
          <w:lang w:val="en-GB"/>
        </w:rPr>
        <w:t>of projects</w:t>
      </w:r>
      <w:r>
        <w:rPr>
          <w:rStyle w:val="Hipercze"/>
          <w:i/>
          <w:iCs/>
          <w:color w:val="auto"/>
          <w:lang w:val="en-GB"/>
        </w:rPr>
        <w:t xml:space="preserve"> under the “</w:t>
      </w:r>
      <w:r w:rsidR="00426B52">
        <w:rPr>
          <w:rStyle w:val="Hipercze"/>
          <w:i/>
          <w:iCs/>
          <w:color w:val="auto"/>
          <w:lang w:val="en-GB"/>
        </w:rPr>
        <w:t xml:space="preserve">Home </w:t>
      </w:r>
      <w:r>
        <w:rPr>
          <w:rStyle w:val="Hipercze"/>
          <w:i/>
          <w:iCs/>
          <w:color w:val="auto"/>
          <w:lang w:val="en-GB"/>
        </w:rPr>
        <w:t>Affairs” Programme of the thematic area 20</w:t>
      </w:r>
      <w:r>
        <w:rPr>
          <w:rStyle w:val="Hipercze"/>
          <w:color w:val="auto"/>
          <w:lang w:val="en-GB"/>
        </w:rPr>
        <w:t xml:space="preserve"> (Annex No. 3 to the Call for applications).</w:t>
      </w:r>
    </w:p>
    <w:p w14:paraId="2B67376C" w14:textId="77777777" w:rsidR="00870F82" w:rsidRPr="00426B52" w:rsidRDefault="00870F82" w:rsidP="00D22638">
      <w:pPr>
        <w:spacing w:after="0" w:line="240" w:lineRule="auto"/>
        <w:jc w:val="both"/>
        <w:rPr>
          <w:rStyle w:val="Hipercze"/>
          <w:rFonts w:ascii="Calibri" w:hAnsi="Calibri" w:cs="Calibri"/>
          <w:color w:val="auto"/>
          <w:u w:val="none"/>
          <w:lang w:val="en-GB"/>
        </w:rPr>
      </w:pPr>
    </w:p>
    <w:p w14:paraId="31C5F10B" w14:textId="5C2BDD54" w:rsidR="0024469C" w:rsidRPr="00426B52" w:rsidRDefault="00CA7B93" w:rsidP="00D22638">
      <w:pPr>
        <w:spacing w:after="0" w:line="240" w:lineRule="auto"/>
        <w:jc w:val="both"/>
        <w:rPr>
          <w:rStyle w:val="Hipercze"/>
          <w:rFonts w:ascii="Calibri" w:hAnsi="Calibri" w:cs="Calibri"/>
          <w:color w:val="auto"/>
          <w:u w:val="none"/>
          <w:lang w:val="en-GB"/>
        </w:rPr>
      </w:pPr>
      <w:r>
        <w:rPr>
          <w:rStyle w:val="Hipercze"/>
          <w:rFonts w:ascii="Calibri" w:hAnsi="Calibri" w:cs="Calibri"/>
          <w:color w:val="auto"/>
          <w:u w:val="none"/>
          <w:lang w:val="en-GB"/>
        </w:rPr>
        <w:t xml:space="preserve">The final ranking list </w:t>
      </w:r>
      <w:r w:rsidR="00837B1E">
        <w:rPr>
          <w:rStyle w:val="Hipercze"/>
          <w:rFonts w:ascii="Calibri" w:hAnsi="Calibri" w:cs="Calibri"/>
          <w:color w:val="auto"/>
          <w:u w:val="none"/>
          <w:lang w:val="en-GB"/>
        </w:rPr>
        <w:t xml:space="preserve">of </w:t>
      </w:r>
      <w:r>
        <w:rPr>
          <w:rStyle w:val="Hipercze"/>
          <w:rFonts w:ascii="Calibri" w:hAnsi="Calibri" w:cs="Calibri"/>
          <w:color w:val="auto"/>
          <w:u w:val="none"/>
          <w:lang w:val="en-GB"/>
        </w:rPr>
        <w:t>projects chosen for financing will be published on the website www.fundusze.mswia.gov.pl and applicants will receive official letters in this regard.</w:t>
      </w:r>
    </w:p>
    <w:p w14:paraId="11BCFF6D" w14:textId="19D6B77C" w:rsidR="00551AC9" w:rsidRPr="00426B52" w:rsidRDefault="00551AC9" w:rsidP="00D22638">
      <w:pPr>
        <w:spacing w:after="0" w:line="240" w:lineRule="auto"/>
        <w:jc w:val="both"/>
        <w:rPr>
          <w:lang w:val="en-GB"/>
        </w:rPr>
      </w:pPr>
      <w:r>
        <w:rPr>
          <w:lang w:val="en-GB"/>
        </w:rPr>
        <w:t>Projects which failed to receive financing due to insufficient funding will be placed on the reserve list.</w:t>
      </w:r>
    </w:p>
    <w:p w14:paraId="1A9FB691" w14:textId="77777777" w:rsidR="00AA6F6E" w:rsidRPr="00426B52" w:rsidRDefault="00AA6F6E" w:rsidP="00D22638">
      <w:pPr>
        <w:spacing w:after="0" w:line="240" w:lineRule="auto"/>
        <w:jc w:val="both"/>
        <w:rPr>
          <w:lang w:val="en-GB"/>
        </w:rPr>
      </w:pPr>
    </w:p>
    <w:p w14:paraId="7C2B9477" w14:textId="5D03A770" w:rsidR="00AA6F6E" w:rsidRPr="00426B52" w:rsidRDefault="00AA6F6E" w:rsidP="00AA6F6E">
      <w:pPr>
        <w:spacing w:after="120" w:line="240" w:lineRule="auto"/>
        <w:jc w:val="both"/>
        <w:rPr>
          <w:lang w:val="en-GB"/>
        </w:rPr>
      </w:pPr>
      <w:r>
        <w:rPr>
          <w:lang w:val="en-GB"/>
        </w:rPr>
        <w:lastRenderedPageBreak/>
        <w:t xml:space="preserve">Formal and substantive assessment sheets </w:t>
      </w:r>
      <w:r w:rsidR="00835FDE">
        <w:rPr>
          <w:lang w:val="en-GB"/>
        </w:rPr>
        <w:t xml:space="preserve">with </w:t>
      </w:r>
      <w:r>
        <w:rPr>
          <w:lang w:val="en-GB"/>
        </w:rPr>
        <w:t>criteria for project selection are included in the Annex to the announcement.</w:t>
      </w:r>
    </w:p>
    <w:p w14:paraId="2EEB977C" w14:textId="32CEA599" w:rsidR="00930772" w:rsidRPr="00426B52" w:rsidRDefault="00930772" w:rsidP="00BD27F5">
      <w:pPr>
        <w:jc w:val="both"/>
        <w:rPr>
          <w:lang w:val="en-GB"/>
        </w:rPr>
      </w:pPr>
      <w:r>
        <w:rPr>
          <w:lang w:val="en-GB"/>
        </w:rPr>
        <w:t>Questions on rules and scope of the call can be submitted via e-mail: fundusze.</w:t>
      </w:r>
      <w:hyperlink r:id="rId8" w:history="1">
        <w:r>
          <w:rPr>
            <w:rStyle w:val="Hipercze"/>
            <w:color w:val="auto"/>
            <w:u w:val="none"/>
            <w:lang w:val="en-GB"/>
          </w:rPr>
          <w:t>kontakt</w:t>
        </w:r>
      </w:hyperlink>
      <w:r>
        <w:rPr>
          <w:rStyle w:val="Hipercze"/>
          <w:color w:val="auto"/>
          <w:u w:val="none"/>
          <w:lang w:val="en-GB"/>
        </w:rPr>
        <w:t>@mswia.gov.pl</w:t>
      </w:r>
      <w:r>
        <w:rPr>
          <w:lang w:val="en-GB"/>
        </w:rPr>
        <w:t>, not later than 7 working days before the deadline for the submission of applications.</w:t>
      </w:r>
    </w:p>
    <w:p w14:paraId="1F1F4C70" w14:textId="586036D7" w:rsidR="00930772" w:rsidRPr="00426B52" w:rsidRDefault="00930772" w:rsidP="00BD27F5">
      <w:pPr>
        <w:jc w:val="both"/>
        <w:rPr>
          <w:rStyle w:val="Hipercze"/>
          <w:color w:val="auto"/>
          <w:u w:val="none"/>
          <w:lang w:val="en-GB"/>
        </w:rPr>
      </w:pPr>
      <w:r>
        <w:rPr>
          <w:lang w:val="en-GB"/>
        </w:rPr>
        <w:t xml:space="preserve">Questions </w:t>
      </w:r>
      <w:r w:rsidR="00866F65">
        <w:rPr>
          <w:lang w:val="en-GB"/>
        </w:rPr>
        <w:t xml:space="preserve">submitted </w:t>
      </w:r>
      <w:r>
        <w:rPr>
          <w:lang w:val="en-GB"/>
        </w:rPr>
        <w:t>within this deadline will be published</w:t>
      </w:r>
      <w:r w:rsidR="00835FDE">
        <w:rPr>
          <w:lang w:val="en-GB"/>
        </w:rPr>
        <w:t>, alongside</w:t>
      </w:r>
      <w:r>
        <w:rPr>
          <w:lang w:val="en-GB"/>
        </w:rPr>
        <w:t xml:space="preserve"> answers</w:t>
      </w:r>
      <w:r w:rsidR="00835FDE">
        <w:rPr>
          <w:lang w:val="en-GB"/>
        </w:rPr>
        <w:t xml:space="preserve"> to them,</w:t>
      </w:r>
      <w:r>
        <w:rPr>
          <w:lang w:val="en-GB"/>
        </w:rPr>
        <w:t xml:space="preserve"> on the website </w:t>
      </w:r>
      <w:r>
        <w:rPr>
          <w:rStyle w:val="Hipercze"/>
          <w:rFonts w:ascii="Calibri" w:hAnsi="Calibri" w:cs="Calibri"/>
          <w:color w:val="auto"/>
          <w:u w:val="none"/>
          <w:lang w:val="en-GB"/>
        </w:rPr>
        <w:t>www.fundusze.mswia.gov.pl</w:t>
      </w:r>
      <w:r>
        <w:rPr>
          <w:lang w:val="en-GB"/>
        </w:rPr>
        <w:t xml:space="preserve"> within up to 5 days prior to the deadline for the submission of applications. All documents, including</w:t>
      </w:r>
      <w:r w:rsidR="003E1324">
        <w:rPr>
          <w:lang w:val="en-GB"/>
        </w:rPr>
        <w:t xml:space="preserve"> NFM Regulation</w:t>
      </w:r>
      <w:r>
        <w:rPr>
          <w:lang w:val="en-GB"/>
        </w:rPr>
        <w:t xml:space="preserve"> and guidelines relevant to this call for proposals, are available on the website </w:t>
      </w:r>
      <w:r>
        <w:rPr>
          <w:rStyle w:val="Hipercze"/>
          <w:color w:val="auto"/>
          <w:u w:val="none"/>
          <w:lang w:val="en-GB"/>
        </w:rPr>
        <w:t>eog.gov.pl.</w:t>
      </w:r>
    </w:p>
    <w:p w14:paraId="2A1384E4" w14:textId="77777777" w:rsidR="00E66B2D" w:rsidRPr="00426B52" w:rsidRDefault="00E66B2D" w:rsidP="00E66B2D">
      <w:pPr>
        <w:jc w:val="both"/>
        <w:rPr>
          <w:lang w:val="en-GB"/>
        </w:rPr>
      </w:pPr>
      <w:r>
        <w:rPr>
          <w:b/>
          <w:bCs/>
          <w:lang w:val="en-GB"/>
        </w:rPr>
        <w:t xml:space="preserve">The complaints procedure: </w:t>
      </w:r>
      <w:r>
        <w:rPr>
          <w:lang w:val="en-GB"/>
        </w:rPr>
        <w:t>rules for reporting irregularities have been described on the website: eog.gov.pl.</w:t>
      </w:r>
    </w:p>
    <w:p w14:paraId="13A93764" w14:textId="77777777" w:rsidR="00FB0E9A" w:rsidRPr="00426B52" w:rsidRDefault="00FB0E9A" w:rsidP="00C33B75">
      <w:pPr>
        <w:pStyle w:val="NormalnyWeb"/>
        <w:jc w:val="both"/>
        <w:rPr>
          <w:rStyle w:val="Pogrubienie"/>
          <w:rFonts w:asciiTheme="minorHAnsi" w:hAnsiTheme="minorHAnsi"/>
          <w:sz w:val="22"/>
          <w:szCs w:val="22"/>
          <w:lang w:val="en-GB"/>
        </w:rPr>
      </w:pPr>
      <w:r>
        <w:rPr>
          <w:rStyle w:val="Pogrubienie"/>
          <w:rFonts w:asciiTheme="minorHAnsi" w:hAnsiTheme="minorHAnsi"/>
          <w:sz w:val="22"/>
          <w:szCs w:val="22"/>
          <w:lang w:val="en-GB"/>
        </w:rPr>
        <w:t>Annexes:</w:t>
      </w:r>
    </w:p>
    <w:p w14:paraId="5DBEABED" w14:textId="50997427" w:rsidR="00D9211F" w:rsidRPr="00426B52" w:rsidRDefault="002D6EC8" w:rsidP="00A5766F">
      <w:pPr>
        <w:pStyle w:val="NormalnyWeb"/>
        <w:spacing w:before="0" w:beforeAutospacing="0" w:after="0" w:afterAutospacing="0"/>
        <w:jc w:val="both"/>
        <w:rPr>
          <w:rStyle w:val="Pogrubienie"/>
          <w:rFonts w:asciiTheme="minorHAnsi" w:hAnsiTheme="minorHAnsi"/>
          <w:b w:val="0"/>
          <w:sz w:val="22"/>
          <w:szCs w:val="22"/>
          <w:lang w:val="en-GB"/>
        </w:rPr>
      </w:pPr>
      <w:r>
        <w:rPr>
          <w:rStyle w:val="Pogrubienie"/>
          <w:rFonts w:asciiTheme="minorHAnsi" w:hAnsiTheme="minorHAnsi"/>
          <w:b w:val="0"/>
          <w:bCs w:val="0"/>
          <w:sz w:val="22"/>
          <w:szCs w:val="22"/>
          <w:lang w:val="en-GB"/>
        </w:rPr>
        <w:t>1. An application form</w:t>
      </w:r>
      <w:r w:rsidR="00D9211F">
        <w:rPr>
          <w:rStyle w:val="Pogrubienie"/>
          <w:rFonts w:asciiTheme="minorHAnsi" w:hAnsiTheme="minorHAnsi"/>
          <w:b w:val="0"/>
          <w:bCs w:val="0"/>
          <w:sz w:val="22"/>
          <w:szCs w:val="22"/>
          <w:lang w:val="en-GB"/>
        </w:rPr>
        <w:t xml:space="preserve"> – Thematic area PA 20 of the “</w:t>
      </w:r>
      <w:r w:rsidR="00426B52">
        <w:rPr>
          <w:rStyle w:val="Pogrubienie"/>
          <w:rFonts w:asciiTheme="minorHAnsi" w:hAnsiTheme="minorHAnsi"/>
          <w:b w:val="0"/>
          <w:bCs w:val="0"/>
          <w:sz w:val="22"/>
          <w:szCs w:val="22"/>
          <w:lang w:val="en-GB"/>
        </w:rPr>
        <w:t xml:space="preserve">Home </w:t>
      </w:r>
      <w:r w:rsidR="00D9211F">
        <w:rPr>
          <w:rStyle w:val="Pogrubienie"/>
          <w:rFonts w:asciiTheme="minorHAnsi" w:hAnsiTheme="minorHAnsi"/>
          <w:b w:val="0"/>
          <w:bCs w:val="0"/>
          <w:sz w:val="22"/>
          <w:szCs w:val="22"/>
          <w:lang w:val="en-GB"/>
        </w:rPr>
        <w:t>Affairs” Programme NFM 2014–2021;</w:t>
      </w:r>
    </w:p>
    <w:p w14:paraId="76D69091" w14:textId="2E8097FD" w:rsidR="00FB0E9A" w:rsidRPr="00426B52" w:rsidRDefault="003677DF" w:rsidP="00A5766F">
      <w:pPr>
        <w:pStyle w:val="NormalnyWeb"/>
        <w:spacing w:before="0" w:beforeAutospacing="0" w:after="0" w:afterAutospacing="0"/>
        <w:jc w:val="both"/>
        <w:rPr>
          <w:rStyle w:val="Pogrubienie"/>
          <w:rFonts w:asciiTheme="minorHAnsi" w:hAnsiTheme="minorHAnsi"/>
          <w:b w:val="0"/>
          <w:sz w:val="22"/>
          <w:szCs w:val="22"/>
          <w:lang w:val="en-GB"/>
        </w:rPr>
      </w:pPr>
      <w:r>
        <w:rPr>
          <w:rStyle w:val="Pogrubienie"/>
          <w:rFonts w:asciiTheme="minorHAnsi" w:hAnsiTheme="minorHAnsi"/>
          <w:b w:val="0"/>
          <w:bCs w:val="0"/>
          <w:sz w:val="22"/>
          <w:szCs w:val="22"/>
          <w:lang w:val="en-GB"/>
        </w:rPr>
        <w:t>2. Guidelines for Project Promoters of the “</w:t>
      </w:r>
      <w:r w:rsidR="00426B52">
        <w:rPr>
          <w:rStyle w:val="Pogrubienie"/>
          <w:rFonts w:asciiTheme="minorHAnsi" w:hAnsiTheme="minorHAnsi"/>
          <w:b w:val="0"/>
          <w:bCs w:val="0"/>
          <w:sz w:val="22"/>
          <w:szCs w:val="22"/>
          <w:lang w:val="en-GB"/>
        </w:rPr>
        <w:t xml:space="preserve">Home </w:t>
      </w:r>
      <w:r>
        <w:rPr>
          <w:rStyle w:val="Pogrubienie"/>
          <w:rFonts w:asciiTheme="minorHAnsi" w:hAnsiTheme="minorHAnsi"/>
          <w:b w:val="0"/>
          <w:bCs w:val="0"/>
          <w:sz w:val="22"/>
          <w:szCs w:val="22"/>
          <w:lang w:val="en-GB"/>
        </w:rPr>
        <w:t>Affairs” Programme NFM 2014–2021;</w:t>
      </w:r>
    </w:p>
    <w:p w14:paraId="2074F2FA" w14:textId="453FD456" w:rsidR="000D188E" w:rsidRPr="00426B52" w:rsidRDefault="003677DF" w:rsidP="00A5766F">
      <w:pPr>
        <w:pStyle w:val="NormalnyWeb"/>
        <w:spacing w:before="0" w:beforeAutospacing="0" w:after="0" w:afterAutospacing="0"/>
        <w:jc w:val="both"/>
        <w:rPr>
          <w:rStyle w:val="Pogrubienie"/>
          <w:rFonts w:asciiTheme="minorHAnsi" w:hAnsiTheme="minorHAnsi"/>
          <w:b w:val="0"/>
          <w:sz w:val="22"/>
          <w:szCs w:val="22"/>
          <w:lang w:val="en-GB"/>
        </w:rPr>
      </w:pPr>
      <w:r>
        <w:rPr>
          <w:rStyle w:val="Pogrubienie"/>
          <w:rFonts w:asciiTheme="minorHAnsi" w:hAnsiTheme="minorHAnsi"/>
          <w:b w:val="0"/>
          <w:bCs w:val="0"/>
          <w:sz w:val="22"/>
          <w:szCs w:val="22"/>
          <w:lang w:val="en-GB"/>
        </w:rPr>
        <w:t xml:space="preserve">3. Rules of </w:t>
      </w:r>
      <w:r w:rsidR="00DD334D">
        <w:rPr>
          <w:rStyle w:val="Pogrubienie"/>
          <w:rFonts w:asciiTheme="minorHAnsi" w:hAnsiTheme="minorHAnsi"/>
          <w:b w:val="0"/>
          <w:bCs w:val="0"/>
          <w:sz w:val="22"/>
          <w:szCs w:val="22"/>
          <w:lang w:val="en-GB"/>
        </w:rPr>
        <w:t>p</w:t>
      </w:r>
      <w:r>
        <w:rPr>
          <w:rStyle w:val="Pogrubienie"/>
          <w:rFonts w:asciiTheme="minorHAnsi" w:hAnsiTheme="minorHAnsi"/>
          <w:b w:val="0"/>
          <w:bCs w:val="0"/>
          <w:sz w:val="22"/>
          <w:szCs w:val="22"/>
          <w:lang w:val="en-GB"/>
        </w:rPr>
        <w:t>rocedure for call for projects and project selection under the “</w:t>
      </w:r>
      <w:r w:rsidR="00426B52">
        <w:rPr>
          <w:rStyle w:val="Pogrubienie"/>
          <w:rFonts w:asciiTheme="minorHAnsi" w:hAnsiTheme="minorHAnsi"/>
          <w:b w:val="0"/>
          <w:bCs w:val="0"/>
          <w:sz w:val="22"/>
          <w:szCs w:val="22"/>
          <w:lang w:val="en-GB"/>
        </w:rPr>
        <w:t xml:space="preserve">Home </w:t>
      </w:r>
      <w:r>
        <w:rPr>
          <w:rStyle w:val="Pogrubienie"/>
          <w:rFonts w:asciiTheme="minorHAnsi" w:hAnsiTheme="minorHAnsi"/>
          <w:b w:val="0"/>
          <w:bCs w:val="0"/>
          <w:sz w:val="22"/>
          <w:szCs w:val="22"/>
          <w:lang w:val="en-GB"/>
        </w:rPr>
        <w:t>Affairs” Programme – thematic area PA 20;</w:t>
      </w:r>
    </w:p>
    <w:p w14:paraId="419A34AA" w14:textId="42E210E8" w:rsidR="000D188E" w:rsidRPr="00426B52" w:rsidRDefault="000D188E" w:rsidP="00A5766F">
      <w:pPr>
        <w:pStyle w:val="NormalnyWeb"/>
        <w:spacing w:before="0" w:beforeAutospacing="0" w:after="0" w:afterAutospacing="0"/>
        <w:jc w:val="both"/>
        <w:rPr>
          <w:rStyle w:val="Pogrubienie"/>
          <w:rFonts w:asciiTheme="minorHAnsi" w:hAnsiTheme="minorHAnsi"/>
          <w:b w:val="0"/>
          <w:sz w:val="22"/>
          <w:szCs w:val="22"/>
          <w:lang w:val="en-GB"/>
        </w:rPr>
      </w:pPr>
      <w:r>
        <w:rPr>
          <w:rStyle w:val="Pogrubienie"/>
          <w:rFonts w:asciiTheme="minorHAnsi" w:hAnsiTheme="minorHAnsi"/>
          <w:b w:val="0"/>
          <w:bCs w:val="0"/>
          <w:sz w:val="22"/>
          <w:szCs w:val="22"/>
          <w:lang w:val="en-GB"/>
        </w:rPr>
        <w:t>4. Formal assessment sheet;</w:t>
      </w:r>
    </w:p>
    <w:p w14:paraId="53E34169" w14:textId="75AF59D0" w:rsidR="000D188E" w:rsidRPr="00426B52" w:rsidRDefault="000D188E" w:rsidP="00A5766F">
      <w:pPr>
        <w:pStyle w:val="NormalnyWeb"/>
        <w:spacing w:before="0" w:beforeAutospacing="0" w:after="0" w:afterAutospacing="0"/>
        <w:jc w:val="both"/>
        <w:rPr>
          <w:rStyle w:val="Pogrubienie"/>
          <w:rFonts w:asciiTheme="minorHAnsi" w:hAnsiTheme="minorHAnsi"/>
          <w:b w:val="0"/>
          <w:sz w:val="22"/>
          <w:szCs w:val="22"/>
          <w:lang w:val="en-GB"/>
        </w:rPr>
      </w:pPr>
      <w:r>
        <w:rPr>
          <w:rStyle w:val="Pogrubienie"/>
          <w:rFonts w:asciiTheme="minorHAnsi" w:hAnsiTheme="minorHAnsi"/>
          <w:b w:val="0"/>
          <w:bCs w:val="0"/>
          <w:sz w:val="22"/>
          <w:szCs w:val="22"/>
          <w:lang w:val="en-GB"/>
        </w:rPr>
        <w:t>5. Substantive assessment sheet.</w:t>
      </w:r>
    </w:p>
    <w:p w14:paraId="50514950" w14:textId="77777777" w:rsidR="00C33B75" w:rsidRPr="00162DEE" w:rsidRDefault="00C33B75" w:rsidP="00A5766F">
      <w:pPr>
        <w:pStyle w:val="NormalnyWeb"/>
        <w:jc w:val="both"/>
        <w:rPr>
          <w:rFonts w:asciiTheme="minorHAnsi" w:hAnsiTheme="minorHAnsi"/>
          <w:sz w:val="22"/>
          <w:szCs w:val="22"/>
        </w:rPr>
      </w:pPr>
      <w:r>
        <w:rPr>
          <w:rStyle w:val="Pogrubienie"/>
          <w:rFonts w:asciiTheme="minorHAnsi" w:hAnsiTheme="minorHAnsi"/>
          <w:sz w:val="22"/>
          <w:szCs w:val="22"/>
          <w:lang w:val="en-GB"/>
        </w:rPr>
        <w:t>Policy papers:</w:t>
      </w:r>
    </w:p>
    <w:p w14:paraId="597658AE" w14:textId="3F437C38" w:rsidR="00C33B75" w:rsidRPr="00426B52" w:rsidRDefault="00C33B75" w:rsidP="00C33B75">
      <w:pPr>
        <w:numPr>
          <w:ilvl w:val="0"/>
          <w:numId w:val="12"/>
        </w:numPr>
        <w:spacing w:before="100" w:beforeAutospacing="1" w:after="100" w:afterAutospacing="1" w:line="240" w:lineRule="auto"/>
        <w:jc w:val="both"/>
        <w:rPr>
          <w:lang w:val="en-GB"/>
        </w:rPr>
      </w:pPr>
      <w:r>
        <w:rPr>
          <w:rStyle w:val="Hipercze"/>
          <w:color w:val="auto"/>
          <w:u w:val="none"/>
          <w:lang w:val="en-GB"/>
        </w:rPr>
        <w:t>Regulation on the implementation of the Norwegian Financial Mechanism 2014–2021;</w:t>
      </w:r>
    </w:p>
    <w:p w14:paraId="2C34E427" w14:textId="21A795CB" w:rsidR="00162DEE" w:rsidRPr="00426B52" w:rsidRDefault="00162DEE" w:rsidP="006A7819">
      <w:pPr>
        <w:numPr>
          <w:ilvl w:val="0"/>
          <w:numId w:val="12"/>
        </w:numPr>
        <w:spacing w:before="100" w:beforeAutospacing="1" w:after="100" w:afterAutospacing="1" w:line="240" w:lineRule="auto"/>
        <w:jc w:val="both"/>
        <w:rPr>
          <w:rStyle w:val="Hipercze"/>
          <w:color w:val="auto"/>
          <w:u w:val="none"/>
          <w:lang w:val="en-GB"/>
        </w:rPr>
      </w:pPr>
      <w:r>
        <w:rPr>
          <w:rStyle w:val="Hipercze"/>
          <w:color w:val="auto"/>
          <w:u w:val="none"/>
          <w:lang w:val="en-GB"/>
        </w:rPr>
        <w:t>Agreement on the “</w:t>
      </w:r>
      <w:r w:rsidR="00426B52">
        <w:rPr>
          <w:rStyle w:val="Hipercze"/>
          <w:color w:val="auto"/>
          <w:u w:val="none"/>
          <w:lang w:val="en-GB"/>
        </w:rPr>
        <w:t xml:space="preserve">Home </w:t>
      </w:r>
      <w:r>
        <w:rPr>
          <w:rStyle w:val="Hipercze"/>
          <w:color w:val="auto"/>
          <w:u w:val="none"/>
          <w:lang w:val="en-GB"/>
        </w:rPr>
        <w:t>Affairs” Programme;</w:t>
      </w:r>
    </w:p>
    <w:p w14:paraId="042176F3" w14:textId="19AD7416" w:rsidR="006A7819" w:rsidRPr="00426B52" w:rsidRDefault="006A7819" w:rsidP="006A7819">
      <w:pPr>
        <w:numPr>
          <w:ilvl w:val="0"/>
          <w:numId w:val="12"/>
        </w:numPr>
        <w:spacing w:before="100" w:beforeAutospacing="1" w:after="100" w:afterAutospacing="1" w:line="240" w:lineRule="auto"/>
        <w:jc w:val="both"/>
        <w:rPr>
          <w:rStyle w:val="Hipercze"/>
          <w:color w:val="auto"/>
          <w:u w:val="none"/>
          <w:lang w:val="en-GB"/>
        </w:rPr>
      </w:pPr>
      <w:r>
        <w:rPr>
          <w:rStyle w:val="Hipercze"/>
          <w:color w:val="auto"/>
          <w:u w:val="none"/>
          <w:lang w:val="en-GB"/>
        </w:rPr>
        <w:t>Guidelines on awarding procurement contracts under the EEA financial mechanism for 2014–2021 and the Norwegian Financial Mechanism for 2014–2021;</w:t>
      </w:r>
    </w:p>
    <w:p w14:paraId="12DD0665" w14:textId="2E4B3ED1" w:rsidR="00C33B75" w:rsidRPr="00426B52" w:rsidRDefault="00162DEE" w:rsidP="006A7819">
      <w:pPr>
        <w:numPr>
          <w:ilvl w:val="0"/>
          <w:numId w:val="12"/>
        </w:numPr>
        <w:spacing w:before="100" w:beforeAutospacing="1" w:after="100" w:afterAutospacing="1" w:line="240" w:lineRule="auto"/>
        <w:jc w:val="both"/>
        <w:rPr>
          <w:rStyle w:val="Hipercze"/>
          <w:color w:val="auto"/>
          <w:u w:val="none"/>
          <w:lang w:val="en-GB"/>
        </w:rPr>
      </w:pPr>
      <w:r>
        <w:rPr>
          <w:rStyle w:val="Hipercze"/>
          <w:color w:val="auto"/>
          <w:u w:val="none"/>
          <w:lang w:val="en-GB"/>
        </w:rPr>
        <w:t>Handbook of Communication and Visual Identity for EEA funds and Norway Grants 2014–2021.</w:t>
      </w:r>
    </w:p>
    <w:sectPr w:rsidR="00C33B75" w:rsidRPr="00426B52" w:rsidSect="00421216">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A8EDD" w14:textId="77777777" w:rsidR="003A4AF2" w:rsidRDefault="003A4AF2" w:rsidP="00DD7C94">
      <w:pPr>
        <w:spacing w:after="0" w:line="240" w:lineRule="auto"/>
      </w:pPr>
      <w:r>
        <w:separator/>
      </w:r>
    </w:p>
  </w:endnote>
  <w:endnote w:type="continuationSeparator" w:id="0">
    <w:p w14:paraId="45F1E4DB" w14:textId="77777777" w:rsidR="003A4AF2" w:rsidRDefault="003A4AF2" w:rsidP="00DD7C94">
      <w:pPr>
        <w:spacing w:after="0" w:line="240" w:lineRule="auto"/>
      </w:pPr>
      <w:r>
        <w:continuationSeparator/>
      </w:r>
    </w:p>
  </w:endnote>
  <w:endnote w:type="continuationNotice" w:id="1">
    <w:p w14:paraId="2A58BE7B" w14:textId="77777777" w:rsidR="003A4AF2" w:rsidRDefault="003A4A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B30E4" w14:textId="77777777" w:rsidR="003A4AF2" w:rsidRDefault="003A4AF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110377"/>
      <w:docPartObj>
        <w:docPartGallery w:val="Page Numbers (Bottom of Page)"/>
        <w:docPartUnique/>
      </w:docPartObj>
    </w:sdtPr>
    <w:sdtEndPr/>
    <w:sdtContent>
      <w:p w14:paraId="76A3CE87" w14:textId="2889FE81" w:rsidR="003A4AF2" w:rsidRDefault="003A4AF2">
        <w:pPr>
          <w:pStyle w:val="Stopka"/>
          <w:jc w:val="right"/>
        </w:pPr>
        <w:r>
          <w:rPr>
            <w:lang w:val="en-GB"/>
          </w:rPr>
          <w:fldChar w:fldCharType="begin"/>
        </w:r>
        <w:r>
          <w:rPr>
            <w:lang w:val="en-GB"/>
          </w:rPr>
          <w:instrText>PAGE   \* MERGEFORMAT</w:instrText>
        </w:r>
        <w:r>
          <w:rPr>
            <w:lang w:val="en-GB"/>
          </w:rPr>
          <w:fldChar w:fldCharType="separate"/>
        </w:r>
        <w:r w:rsidR="0021583A">
          <w:rPr>
            <w:noProof/>
            <w:lang w:val="en-GB"/>
          </w:rPr>
          <w:t>6</w:t>
        </w:r>
        <w:r>
          <w:rPr>
            <w:lang w:val="en-GB"/>
          </w:rPr>
          <w:fldChar w:fldCharType="end"/>
        </w:r>
      </w:p>
    </w:sdtContent>
  </w:sdt>
  <w:p w14:paraId="04302699" w14:textId="77777777" w:rsidR="003A4AF2" w:rsidRDefault="003A4AF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2C422" w14:textId="77777777" w:rsidR="003A4AF2" w:rsidRDefault="003A4A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E8349" w14:textId="77777777" w:rsidR="003A4AF2" w:rsidRDefault="003A4AF2" w:rsidP="00DD7C94">
      <w:pPr>
        <w:spacing w:after="0" w:line="240" w:lineRule="auto"/>
      </w:pPr>
      <w:r>
        <w:separator/>
      </w:r>
    </w:p>
  </w:footnote>
  <w:footnote w:type="continuationSeparator" w:id="0">
    <w:p w14:paraId="0644749B" w14:textId="77777777" w:rsidR="003A4AF2" w:rsidRDefault="003A4AF2" w:rsidP="00DD7C94">
      <w:pPr>
        <w:spacing w:after="0" w:line="240" w:lineRule="auto"/>
      </w:pPr>
      <w:r>
        <w:continuationSeparator/>
      </w:r>
    </w:p>
  </w:footnote>
  <w:footnote w:type="continuationNotice" w:id="1">
    <w:p w14:paraId="67BE45DE" w14:textId="77777777" w:rsidR="003A4AF2" w:rsidRDefault="003A4AF2">
      <w:pPr>
        <w:spacing w:after="0" w:line="240" w:lineRule="auto"/>
      </w:pPr>
    </w:p>
  </w:footnote>
  <w:footnote w:id="2">
    <w:p w14:paraId="35291E27" w14:textId="73E42F50" w:rsidR="003A4AF2" w:rsidRPr="00426B52" w:rsidRDefault="003A4AF2" w:rsidP="008E60B6">
      <w:pPr>
        <w:pStyle w:val="Tekstprzypisudolnego"/>
        <w:jc w:val="both"/>
        <w:rPr>
          <w:lang w:val="en-GB"/>
        </w:rPr>
      </w:pPr>
      <w:r>
        <w:rPr>
          <w:rStyle w:val="Odwoanieprzypisudolnego"/>
          <w:lang w:val="en-GB"/>
        </w:rPr>
        <w:footnoteRef/>
      </w:r>
      <w:r>
        <w:rPr>
          <w:rFonts w:cstheme="minorHAnsi"/>
          <w:lang w:val="en-GB"/>
        </w:rPr>
        <w:t>“</w:t>
      </w:r>
      <w:r>
        <w:rPr>
          <w:rFonts w:cstheme="minorHAnsi"/>
          <w:i/>
          <w:iCs/>
          <w:lang w:val="en-GB"/>
        </w:rPr>
        <w:t>Justice chain</w:t>
      </w:r>
      <w:r>
        <w:rPr>
          <w:rFonts w:cstheme="minorHAnsi"/>
          <w:lang w:val="en-GB"/>
        </w:rPr>
        <w:t>” – cooperation between institutions operating in the area of internal affairs, i.e. Police, Border Guard, Office for Foreigners, National Fire Service and the judicial system, including courts, the prosecutor’s office and prison services.</w:t>
      </w:r>
    </w:p>
  </w:footnote>
  <w:footnote w:id="3">
    <w:p w14:paraId="766FBA1B" w14:textId="5225805F" w:rsidR="003A4AF2" w:rsidRPr="00426B52" w:rsidRDefault="003A4AF2">
      <w:pPr>
        <w:pStyle w:val="Tekstprzypisudolnego"/>
        <w:rPr>
          <w:lang w:val="en-GB"/>
        </w:rPr>
      </w:pPr>
      <w:r>
        <w:rPr>
          <w:rStyle w:val="Odwoanieprzypisudolnego"/>
          <w:lang w:val="en-GB"/>
        </w:rPr>
        <w:footnoteRef/>
      </w:r>
      <w:r>
        <w:rPr>
          <w:lang w:val="en-GB"/>
        </w:rPr>
        <w:t xml:space="preserve"> The scope of an NGO’s operations must follow from its statute.</w:t>
      </w:r>
    </w:p>
  </w:footnote>
  <w:footnote w:id="4">
    <w:p w14:paraId="2B7C85F5" w14:textId="471636CB" w:rsidR="003A4AF2" w:rsidRPr="00426B52" w:rsidRDefault="003A4AF2">
      <w:pPr>
        <w:pStyle w:val="Tekstprzypisudolnego"/>
        <w:rPr>
          <w:lang w:val="en-GB"/>
        </w:rPr>
      </w:pPr>
      <w:r>
        <w:rPr>
          <w:rStyle w:val="Odwoanieprzypisudolnego"/>
          <w:lang w:val="en-GB"/>
        </w:rPr>
        <w:footnoteRef/>
      </w:r>
      <w:r>
        <w:rPr>
          <w:lang w:val="en-GB"/>
        </w:rPr>
        <w:t xml:space="preserve"> The scope of an international organisation’s operations and that of its body or agency must follow from the legal act establishing the international organisation, its body or agency.</w:t>
      </w:r>
    </w:p>
  </w:footnote>
  <w:footnote w:id="5">
    <w:p w14:paraId="64C1362C" w14:textId="1CAE817B" w:rsidR="003A4AF2" w:rsidRPr="00426B52" w:rsidRDefault="003A4AF2">
      <w:pPr>
        <w:pStyle w:val="Tekstprzypisudolnego"/>
        <w:rPr>
          <w:lang w:val="en-GB"/>
        </w:rPr>
      </w:pPr>
      <w:r>
        <w:rPr>
          <w:rStyle w:val="Odwoanieprzypisudolnego"/>
          <w:lang w:val="en-GB"/>
        </w:rPr>
        <w:footnoteRef/>
      </w:r>
      <w:r>
        <w:rPr>
          <w:lang w:val="en-GB"/>
        </w:rPr>
        <w:t xml:space="preserve"> See footnote 2.</w:t>
      </w:r>
    </w:p>
  </w:footnote>
  <w:footnote w:id="6">
    <w:p w14:paraId="25CC63A1" w14:textId="4F8C8A92" w:rsidR="003A4AF2" w:rsidRPr="00426B52" w:rsidRDefault="003A4AF2">
      <w:pPr>
        <w:pStyle w:val="Tekstprzypisudolnego"/>
        <w:rPr>
          <w:lang w:val="en-GB"/>
        </w:rPr>
      </w:pPr>
      <w:r>
        <w:rPr>
          <w:rStyle w:val="Odwoanieprzypisudolnego"/>
          <w:lang w:val="en-GB"/>
        </w:rPr>
        <w:footnoteRef/>
      </w:r>
      <w:r>
        <w:rPr>
          <w:lang w:val="en-GB"/>
        </w:rPr>
        <w:t xml:space="preserve"> See footnote 3.</w:t>
      </w:r>
    </w:p>
  </w:footnote>
  <w:footnote w:id="7">
    <w:p w14:paraId="68D04EF2" w14:textId="77777777" w:rsidR="003A4AF2" w:rsidRPr="00426B52" w:rsidRDefault="003A4AF2" w:rsidP="003E1324">
      <w:pPr>
        <w:pStyle w:val="Tekstprzypisudolnego"/>
        <w:rPr>
          <w:lang w:val="en-GB"/>
        </w:rPr>
      </w:pPr>
      <w:r>
        <w:rPr>
          <w:rStyle w:val="Odwoanieprzypisudolnego"/>
          <w:lang w:val="en-GB"/>
        </w:rPr>
        <w:footnoteRef/>
      </w:r>
      <w:r>
        <w:rPr>
          <w:lang w:val="en-GB"/>
        </w:rPr>
        <w:t xml:space="preserve"> 15% is a contribution of the State budget secured in the unit’s budget.</w:t>
      </w:r>
    </w:p>
  </w:footnote>
  <w:footnote w:id="8">
    <w:p w14:paraId="2326271D" w14:textId="13F7FE0F" w:rsidR="003A4AF2" w:rsidRPr="00426B52" w:rsidRDefault="003A4AF2" w:rsidP="00405706">
      <w:pPr>
        <w:pStyle w:val="Tekstprzypisudolnego"/>
        <w:jc w:val="both"/>
        <w:rPr>
          <w:lang w:val="en-GB"/>
        </w:rPr>
      </w:pPr>
      <w:r>
        <w:rPr>
          <w:rStyle w:val="Odwoanieprzypisudolnego"/>
          <w:lang w:val="en-GB"/>
        </w:rPr>
        <w:footnoteRef/>
      </w:r>
      <w:r>
        <w:rPr>
          <w:lang w:val="en-GB"/>
        </w:rPr>
        <w:t xml:space="preserve"> Investment expenditure – an investment expenditure shall be an expenditure incurred to purchase a tangible asset whose individual value exceeds PLN 10,000. As a rule, purchase of services (e.g. conference, training, transport services, etc.), even if their individual value exceeds PLN 10,000, shall not be considered an investment expenditure.</w:t>
      </w:r>
    </w:p>
  </w:footnote>
  <w:footnote w:id="9">
    <w:p w14:paraId="1AEA183D" w14:textId="697F4882" w:rsidR="003A4AF2" w:rsidRPr="00657FD8" w:rsidRDefault="003A4AF2">
      <w:pPr>
        <w:pStyle w:val="Tekstprzypisudolnego"/>
        <w:rPr>
          <w:lang w:val="en-GB"/>
        </w:rPr>
      </w:pPr>
      <w:r>
        <w:rPr>
          <w:rStyle w:val="Odwoanieprzypisudolnego"/>
        </w:rPr>
        <w:footnoteRef/>
      </w:r>
      <w:r w:rsidRPr="00657FD8">
        <w:rPr>
          <w:lang w:val="en-GB"/>
        </w:rPr>
        <w:t xml:space="preserve"> </w:t>
      </w:r>
      <w:r>
        <w:rPr>
          <w:rFonts w:cstheme="minorHAnsi"/>
          <w:lang w:val="en-GB"/>
        </w:rPr>
        <w:t>This does not apply to the situation when the document is accessible in the public register.</w:t>
      </w:r>
    </w:p>
  </w:footnote>
  <w:footnote w:id="10">
    <w:p w14:paraId="1D253365" w14:textId="77777777" w:rsidR="003A4AF2" w:rsidRPr="00657FD8" w:rsidRDefault="003A4AF2" w:rsidP="00B879DB">
      <w:pPr>
        <w:pStyle w:val="Tekstprzypisudolnego"/>
        <w:rPr>
          <w:lang w:val="en-GB"/>
        </w:rPr>
      </w:pPr>
      <w:r>
        <w:rPr>
          <w:rStyle w:val="Odwoanieprzypisudolnego"/>
        </w:rPr>
        <w:footnoteRef/>
      </w:r>
      <w:r w:rsidRPr="00657FD8">
        <w:rPr>
          <w:lang w:val="en-GB"/>
        </w:rPr>
        <w:t xml:space="preserve"> </w:t>
      </w:r>
      <w:r>
        <w:rPr>
          <w:rFonts w:cstheme="minorHAnsi"/>
          <w:lang w:val="en-GB"/>
        </w:rPr>
        <w:t>This does not apply to the situation when the document is accessible in the public register.</w:t>
      </w:r>
    </w:p>
    <w:p w14:paraId="069E3C37" w14:textId="55F7C3F3" w:rsidR="003A4AF2" w:rsidRPr="00657FD8" w:rsidRDefault="003A4AF2">
      <w:pPr>
        <w:pStyle w:val="Tekstprzypisudolnego"/>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80618" w14:textId="77777777" w:rsidR="003A4AF2" w:rsidRDefault="003A4AF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897E" w14:textId="7278AADC" w:rsidR="003A4AF2" w:rsidRDefault="003A4AF2">
    <w:pPr>
      <w:pStyle w:val="Nagwek"/>
    </w:pPr>
    <w:r w:rsidRPr="00F27CCD">
      <w:rPr>
        <w:noProof/>
        <w:lang w:eastAsia="pl-PL"/>
      </w:rPr>
      <w:drawing>
        <wp:anchor distT="0" distB="0" distL="114300" distR="114300" simplePos="0" relativeHeight="251663360" behindDoc="0" locked="0" layoutInCell="1" allowOverlap="1" wp14:anchorId="45D8D382" wp14:editId="04B02902">
          <wp:simplePos x="0" y="0"/>
          <wp:positionH relativeFrom="column">
            <wp:posOffset>1343601</wp:posOffset>
          </wp:positionH>
          <wp:positionV relativeFrom="paragraph">
            <wp:posOffset>214172</wp:posOffset>
          </wp:positionV>
          <wp:extent cx="2504440" cy="633095"/>
          <wp:effectExtent l="0" t="0" r="0" b="0"/>
          <wp:wrapThrough wrapText="bothSides">
            <wp:wrapPolygon edited="0">
              <wp:start x="1643" y="0"/>
              <wp:lineTo x="0" y="1300"/>
              <wp:lineTo x="0" y="19498"/>
              <wp:lineTo x="1972" y="20798"/>
              <wp:lineTo x="21359" y="20798"/>
              <wp:lineTo x="21359" y="16249"/>
              <wp:lineTo x="13144" y="1300"/>
              <wp:lineTo x="10844" y="0"/>
              <wp:lineTo x="1643" y="0"/>
            </wp:wrapPolygon>
          </wp:wrapThrough>
          <wp:docPr id="1" name="Obraz 1" descr="C:\Users\bbartik\Pictures\mswia_logo_wersja_mono-anglojezycz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artik\Pictures\mswia_logo_wersja_mono-anglojezyczn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4440" cy="633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963">
      <w:rPr>
        <w:noProof/>
        <w:lang w:eastAsia="pl-PL"/>
      </w:rPr>
      <w:drawing>
        <wp:anchor distT="0" distB="0" distL="114300" distR="114300" simplePos="0" relativeHeight="251662336" behindDoc="0" locked="0" layoutInCell="1" allowOverlap="1" wp14:anchorId="5A15464E" wp14:editId="7809B2F0">
          <wp:simplePos x="0" y="0"/>
          <wp:positionH relativeFrom="column">
            <wp:posOffset>4161746</wp:posOffset>
          </wp:positionH>
          <wp:positionV relativeFrom="paragraph">
            <wp:posOffset>31957</wp:posOffset>
          </wp:positionV>
          <wp:extent cx="1771086" cy="1052623"/>
          <wp:effectExtent l="0" t="0" r="635" b="0"/>
          <wp:wrapThrough wrapText="bothSides">
            <wp:wrapPolygon edited="0">
              <wp:start x="2323" y="0"/>
              <wp:lineTo x="0" y="5866"/>
              <wp:lineTo x="0" y="12123"/>
              <wp:lineTo x="2091" y="12514"/>
              <wp:lineTo x="2091" y="15252"/>
              <wp:lineTo x="6738" y="18771"/>
              <wp:lineTo x="5112" y="19553"/>
              <wp:lineTo x="5112" y="21118"/>
              <wp:lineTo x="9758" y="21118"/>
              <wp:lineTo x="10688" y="18771"/>
              <wp:lineTo x="21375" y="18380"/>
              <wp:lineTo x="21375" y="16425"/>
              <wp:lineTo x="17658" y="12514"/>
              <wp:lineTo x="8597" y="6257"/>
              <wp:lineTo x="6506" y="0"/>
              <wp:lineTo x="2323" y="0"/>
            </wp:wrapPolygon>
          </wp:wrapThrough>
          <wp:docPr id="4" name="Obraz 4" descr="C:\Users\bbartik\Desktop\Logo NR 2 COPE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bartik\Desktop\Logo NR 2 COPE_e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71086" cy="1052623"/>
                  </a:xfrm>
                  <a:prstGeom prst="rect">
                    <a:avLst/>
                  </a:prstGeom>
                  <a:noFill/>
                  <a:ln>
                    <a:noFill/>
                  </a:ln>
                </pic:spPr>
              </pic:pic>
            </a:graphicData>
          </a:graphic>
        </wp:anchor>
      </w:drawing>
    </w:r>
    <w:r>
      <w:rPr>
        <w:noProof/>
        <w:lang w:eastAsia="pl-PL"/>
      </w:rPr>
      <w:drawing>
        <wp:anchor distT="0" distB="0" distL="114300" distR="114300" simplePos="0" relativeHeight="251658240" behindDoc="1" locked="0" layoutInCell="1" allowOverlap="1" wp14:anchorId="1BFFE8CA" wp14:editId="4AB11C59">
          <wp:simplePos x="0" y="0"/>
          <wp:positionH relativeFrom="column">
            <wp:posOffset>128905</wp:posOffset>
          </wp:positionH>
          <wp:positionV relativeFrom="paragraph">
            <wp:posOffset>163830</wp:posOffset>
          </wp:positionV>
          <wp:extent cx="615315" cy="686435"/>
          <wp:effectExtent l="0" t="0" r="0" b="0"/>
          <wp:wrapTight wrapText="bothSides">
            <wp:wrapPolygon edited="0">
              <wp:start x="0" y="0"/>
              <wp:lineTo x="0" y="20981"/>
              <wp:lineTo x="20731" y="20981"/>
              <wp:lineTo x="20731" y="0"/>
              <wp:lineTo x="0" y="0"/>
            </wp:wrapPolygon>
          </wp:wrapTight>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5315" cy="6864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29916" w14:textId="77777777" w:rsidR="003A4AF2" w:rsidRDefault="003A4AF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1977"/>
    <w:multiLevelType w:val="hybridMultilevel"/>
    <w:tmpl w:val="A80697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8F50B4"/>
    <w:multiLevelType w:val="hybridMultilevel"/>
    <w:tmpl w:val="9A3C9058"/>
    <w:lvl w:ilvl="0" w:tplc="27122790">
      <w:start w:val="1"/>
      <w:numFmt w:val="decimal"/>
      <w:lvlText w:val="%1)"/>
      <w:lvlJc w:val="left"/>
      <w:pPr>
        <w:ind w:left="775" w:hanging="360"/>
      </w:pPr>
      <w:rPr>
        <w:b w:val="0"/>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2" w15:restartNumberingAfterBreak="0">
    <w:nsid w:val="2C033018"/>
    <w:multiLevelType w:val="hybridMultilevel"/>
    <w:tmpl w:val="A2A29D62"/>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36B86669"/>
    <w:multiLevelType w:val="multilevel"/>
    <w:tmpl w:val="C5E47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30BEB"/>
    <w:multiLevelType w:val="hybridMultilevel"/>
    <w:tmpl w:val="AE9AB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A6364D"/>
    <w:multiLevelType w:val="multilevel"/>
    <w:tmpl w:val="39DAC8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37C52"/>
    <w:multiLevelType w:val="hybridMultilevel"/>
    <w:tmpl w:val="5BDEAF6E"/>
    <w:lvl w:ilvl="0" w:tplc="0809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4B8628F3"/>
    <w:multiLevelType w:val="hybridMultilevel"/>
    <w:tmpl w:val="733AD8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663895"/>
    <w:multiLevelType w:val="hybridMultilevel"/>
    <w:tmpl w:val="EA404C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9490C73"/>
    <w:multiLevelType w:val="hybridMultilevel"/>
    <w:tmpl w:val="B79E9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022BBD"/>
    <w:multiLevelType w:val="multilevel"/>
    <w:tmpl w:val="574A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102A94"/>
    <w:multiLevelType w:val="multilevel"/>
    <w:tmpl w:val="62A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996F83"/>
    <w:multiLevelType w:val="hybridMultilevel"/>
    <w:tmpl w:val="79F086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6E7E89"/>
    <w:multiLevelType w:val="hybridMultilevel"/>
    <w:tmpl w:val="26227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BAB1CD4"/>
    <w:multiLevelType w:val="hybridMultilevel"/>
    <w:tmpl w:val="3EA6D8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4"/>
  </w:num>
  <w:num w:numId="5">
    <w:abstractNumId w:val="13"/>
  </w:num>
  <w:num w:numId="6">
    <w:abstractNumId w:val="7"/>
  </w:num>
  <w:num w:numId="7">
    <w:abstractNumId w:val="9"/>
  </w:num>
  <w:num w:numId="8">
    <w:abstractNumId w:val="12"/>
  </w:num>
  <w:num w:numId="9">
    <w:abstractNumId w:val="0"/>
  </w:num>
  <w:num w:numId="10">
    <w:abstractNumId w:val="8"/>
  </w:num>
  <w:num w:numId="11">
    <w:abstractNumId w:val="3"/>
  </w:num>
  <w:num w:numId="12">
    <w:abstractNumId w:val="5"/>
  </w:num>
  <w:num w:numId="13">
    <w:abstractNumId w:val="1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BE"/>
    <w:rsid w:val="00033C17"/>
    <w:rsid w:val="00043C4A"/>
    <w:rsid w:val="0005099C"/>
    <w:rsid w:val="00054C5A"/>
    <w:rsid w:val="00057529"/>
    <w:rsid w:val="00060A29"/>
    <w:rsid w:val="00064A82"/>
    <w:rsid w:val="0008408D"/>
    <w:rsid w:val="000A59B2"/>
    <w:rsid w:val="000B085E"/>
    <w:rsid w:val="000B65BD"/>
    <w:rsid w:val="000C2A90"/>
    <w:rsid w:val="000D0576"/>
    <w:rsid w:val="000D188E"/>
    <w:rsid w:val="000E1B5D"/>
    <w:rsid w:val="000F3FBA"/>
    <w:rsid w:val="00106C38"/>
    <w:rsid w:val="0012020A"/>
    <w:rsid w:val="00134E13"/>
    <w:rsid w:val="00137A93"/>
    <w:rsid w:val="00144875"/>
    <w:rsid w:val="00160F00"/>
    <w:rsid w:val="00162DEE"/>
    <w:rsid w:val="00163B29"/>
    <w:rsid w:val="00175938"/>
    <w:rsid w:val="001A6209"/>
    <w:rsid w:val="001B7659"/>
    <w:rsid w:val="001C6381"/>
    <w:rsid w:val="001C76DE"/>
    <w:rsid w:val="001D131F"/>
    <w:rsid w:val="001D2624"/>
    <w:rsid w:val="001E24AD"/>
    <w:rsid w:val="001E60F7"/>
    <w:rsid w:val="0020356A"/>
    <w:rsid w:val="00213A2E"/>
    <w:rsid w:val="0021583A"/>
    <w:rsid w:val="002251DF"/>
    <w:rsid w:val="00225266"/>
    <w:rsid w:val="00225A69"/>
    <w:rsid w:val="002326AD"/>
    <w:rsid w:val="0024125B"/>
    <w:rsid w:val="0024469C"/>
    <w:rsid w:val="00257886"/>
    <w:rsid w:val="002749DE"/>
    <w:rsid w:val="00285398"/>
    <w:rsid w:val="002B6CF0"/>
    <w:rsid w:val="002C7375"/>
    <w:rsid w:val="002C75CC"/>
    <w:rsid w:val="002D0045"/>
    <w:rsid w:val="002D2DBF"/>
    <w:rsid w:val="002D6EC8"/>
    <w:rsid w:val="002E00BE"/>
    <w:rsid w:val="002E44D8"/>
    <w:rsid w:val="002F1A04"/>
    <w:rsid w:val="002F69DD"/>
    <w:rsid w:val="00302616"/>
    <w:rsid w:val="00331B6A"/>
    <w:rsid w:val="0033547E"/>
    <w:rsid w:val="00340DE7"/>
    <w:rsid w:val="00346275"/>
    <w:rsid w:val="00346D94"/>
    <w:rsid w:val="003474DB"/>
    <w:rsid w:val="0035302A"/>
    <w:rsid w:val="00356870"/>
    <w:rsid w:val="003677DF"/>
    <w:rsid w:val="00375BA0"/>
    <w:rsid w:val="00393B87"/>
    <w:rsid w:val="00396F3B"/>
    <w:rsid w:val="003A4AF2"/>
    <w:rsid w:val="003A535E"/>
    <w:rsid w:val="003C0980"/>
    <w:rsid w:val="003C2AF4"/>
    <w:rsid w:val="003E1324"/>
    <w:rsid w:val="003F1EEC"/>
    <w:rsid w:val="0040045B"/>
    <w:rsid w:val="00405706"/>
    <w:rsid w:val="00407B67"/>
    <w:rsid w:val="00410617"/>
    <w:rsid w:val="00410DE4"/>
    <w:rsid w:val="00413CB8"/>
    <w:rsid w:val="00421216"/>
    <w:rsid w:val="00422AB5"/>
    <w:rsid w:val="00426B52"/>
    <w:rsid w:val="00434069"/>
    <w:rsid w:val="00434951"/>
    <w:rsid w:val="00451E11"/>
    <w:rsid w:val="00451F45"/>
    <w:rsid w:val="00454466"/>
    <w:rsid w:val="00456BDC"/>
    <w:rsid w:val="00481816"/>
    <w:rsid w:val="0048703F"/>
    <w:rsid w:val="0049731F"/>
    <w:rsid w:val="004B5041"/>
    <w:rsid w:val="004E174B"/>
    <w:rsid w:val="004E1BA1"/>
    <w:rsid w:val="004E52A3"/>
    <w:rsid w:val="00501157"/>
    <w:rsid w:val="00503B50"/>
    <w:rsid w:val="0051686E"/>
    <w:rsid w:val="005213E4"/>
    <w:rsid w:val="005316D5"/>
    <w:rsid w:val="00551AC9"/>
    <w:rsid w:val="0057386E"/>
    <w:rsid w:val="00584340"/>
    <w:rsid w:val="00584B4F"/>
    <w:rsid w:val="0059369D"/>
    <w:rsid w:val="00597522"/>
    <w:rsid w:val="005B2CBB"/>
    <w:rsid w:val="005D1B02"/>
    <w:rsid w:val="005D755E"/>
    <w:rsid w:val="005E14FC"/>
    <w:rsid w:val="005E66CC"/>
    <w:rsid w:val="00614063"/>
    <w:rsid w:val="006179E2"/>
    <w:rsid w:val="006260A4"/>
    <w:rsid w:val="00626B0C"/>
    <w:rsid w:val="00633AC9"/>
    <w:rsid w:val="0063402E"/>
    <w:rsid w:val="0064513B"/>
    <w:rsid w:val="00657FD8"/>
    <w:rsid w:val="00673C66"/>
    <w:rsid w:val="0067623F"/>
    <w:rsid w:val="006845C1"/>
    <w:rsid w:val="0068686A"/>
    <w:rsid w:val="0069355E"/>
    <w:rsid w:val="00697972"/>
    <w:rsid w:val="006A19D9"/>
    <w:rsid w:val="006A27B2"/>
    <w:rsid w:val="006A7819"/>
    <w:rsid w:val="006C33C6"/>
    <w:rsid w:val="006C5BA7"/>
    <w:rsid w:val="006D0C4F"/>
    <w:rsid w:val="006D721D"/>
    <w:rsid w:val="007000F0"/>
    <w:rsid w:val="00705778"/>
    <w:rsid w:val="00715165"/>
    <w:rsid w:val="00717F59"/>
    <w:rsid w:val="0072699C"/>
    <w:rsid w:val="00735B43"/>
    <w:rsid w:val="00740380"/>
    <w:rsid w:val="00744FF5"/>
    <w:rsid w:val="00747FB2"/>
    <w:rsid w:val="00750B08"/>
    <w:rsid w:val="00755129"/>
    <w:rsid w:val="00755F05"/>
    <w:rsid w:val="00760D8D"/>
    <w:rsid w:val="00782940"/>
    <w:rsid w:val="00783D23"/>
    <w:rsid w:val="007950CA"/>
    <w:rsid w:val="007A69F9"/>
    <w:rsid w:val="007B556A"/>
    <w:rsid w:val="007B56FF"/>
    <w:rsid w:val="00803593"/>
    <w:rsid w:val="0081755C"/>
    <w:rsid w:val="008216E0"/>
    <w:rsid w:val="00824634"/>
    <w:rsid w:val="00827436"/>
    <w:rsid w:val="008336FC"/>
    <w:rsid w:val="00835FDE"/>
    <w:rsid w:val="00837B1E"/>
    <w:rsid w:val="008451A5"/>
    <w:rsid w:val="00866F65"/>
    <w:rsid w:val="00867291"/>
    <w:rsid w:val="00870F82"/>
    <w:rsid w:val="00875CE0"/>
    <w:rsid w:val="00882A38"/>
    <w:rsid w:val="008847EF"/>
    <w:rsid w:val="008A12EA"/>
    <w:rsid w:val="008C0EBC"/>
    <w:rsid w:val="008C28CB"/>
    <w:rsid w:val="008C5339"/>
    <w:rsid w:val="008C75A6"/>
    <w:rsid w:val="008E60B6"/>
    <w:rsid w:val="008F3B0E"/>
    <w:rsid w:val="008F540F"/>
    <w:rsid w:val="009004CF"/>
    <w:rsid w:val="00924273"/>
    <w:rsid w:val="00930772"/>
    <w:rsid w:val="00933B88"/>
    <w:rsid w:val="00940946"/>
    <w:rsid w:val="009449B9"/>
    <w:rsid w:val="0095303D"/>
    <w:rsid w:val="00991C7A"/>
    <w:rsid w:val="009A2B57"/>
    <w:rsid w:val="009C7513"/>
    <w:rsid w:val="009C77D1"/>
    <w:rsid w:val="009D0A05"/>
    <w:rsid w:val="009D4C33"/>
    <w:rsid w:val="009E64C9"/>
    <w:rsid w:val="009F256E"/>
    <w:rsid w:val="00A0022C"/>
    <w:rsid w:val="00A1342B"/>
    <w:rsid w:val="00A15B58"/>
    <w:rsid w:val="00A21B68"/>
    <w:rsid w:val="00A40192"/>
    <w:rsid w:val="00A5766F"/>
    <w:rsid w:val="00A70EFA"/>
    <w:rsid w:val="00A851CC"/>
    <w:rsid w:val="00AA6F6E"/>
    <w:rsid w:val="00AA7E3D"/>
    <w:rsid w:val="00AB5845"/>
    <w:rsid w:val="00AB7FBD"/>
    <w:rsid w:val="00AC15AE"/>
    <w:rsid w:val="00AD4604"/>
    <w:rsid w:val="00AE0F41"/>
    <w:rsid w:val="00AF3536"/>
    <w:rsid w:val="00AF53F3"/>
    <w:rsid w:val="00B254E1"/>
    <w:rsid w:val="00B26B6D"/>
    <w:rsid w:val="00B4570D"/>
    <w:rsid w:val="00B56A8E"/>
    <w:rsid w:val="00B65258"/>
    <w:rsid w:val="00B7743C"/>
    <w:rsid w:val="00B80A37"/>
    <w:rsid w:val="00B83B91"/>
    <w:rsid w:val="00B879DB"/>
    <w:rsid w:val="00B94137"/>
    <w:rsid w:val="00BB695B"/>
    <w:rsid w:val="00BD27F5"/>
    <w:rsid w:val="00BD53D7"/>
    <w:rsid w:val="00BE7858"/>
    <w:rsid w:val="00C034A4"/>
    <w:rsid w:val="00C03BCE"/>
    <w:rsid w:val="00C33B75"/>
    <w:rsid w:val="00C35ED9"/>
    <w:rsid w:val="00C87EF1"/>
    <w:rsid w:val="00C96AB8"/>
    <w:rsid w:val="00CA7B93"/>
    <w:rsid w:val="00CC459C"/>
    <w:rsid w:val="00CE7AFB"/>
    <w:rsid w:val="00D00622"/>
    <w:rsid w:val="00D019AE"/>
    <w:rsid w:val="00D1075C"/>
    <w:rsid w:val="00D20267"/>
    <w:rsid w:val="00D20D88"/>
    <w:rsid w:val="00D22638"/>
    <w:rsid w:val="00D2439E"/>
    <w:rsid w:val="00D27BD1"/>
    <w:rsid w:val="00D33374"/>
    <w:rsid w:val="00D4325C"/>
    <w:rsid w:val="00D71804"/>
    <w:rsid w:val="00D803DB"/>
    <w:rsid w:val="00D8136A"/>
    <w:rsid w:val="00D8142A"/>
    <w:rsid w:val="00D82AB5"/>
    <w:rsid w:val="00D9211F"/>
    <w:rsid w:val="00DB24A1"/>
    <w:rsid w:val="00DC3248"/>
    <w:rsid w:val="00DC76AC"/>
    <w:rsid w:val="00DD334D"/>
    <w:rsid w:val="00DD3A53"/>
    <w:rsid w:val="00DD7C94"/>
    <w:rsid w:val="00DE471E"/>
    <w:rsid w:val="00E0388E"/>
    <w:rsid w:val="00E0601B"/>
    <w:rsid w:val="00E106E2"/>
    <w:rsid w:val="00E121F4"/>
    <w:rsid w:val="00E17300"/>
    <w:rsid w:val="00E2767D"/>
    <w:rsid w:val="00E40978"/>
    <w:rsid w:val="00E44757"/>
    <w:rsid w:val="00E46241"/>
    <w:rsid w:val="00E53131"/>
    <w:rsid w:val="00E557D0"/>
    <w:rsid w:val="00E66B2D"/>
    <w:rsid w:val="00E80454"/>
    <w:rsid w:val="00EA10A2"/>
    <w:rsid w:val="00EB1AE5"/>
    <w:rsid w:val="00EC7D02"/>
    <w:rsid w:val="00EE3B85"/>
    <w:rsid w:val="00EF1441"/>
    <w:rsid w:val="00EF71D2"/>
    <w:rsid w:val="00F24015"/>
    <w:rsid w:val="00F27CCD"/>
    <w:rsid w:val="00F33212"/>
    <w:rsid w:val="00F354A0"/>
    <w:rsid w:val="00F525E4"/>
    <w:rsid w:val="00F61A9E"/>
    <w:rsid w:val="00F85F34"/>
    <w:rsid w:val="00F93152"/>
    <w:rsid w:val="00FB0E9A"/>
    <w:rsid w:val="00FC2490"/>
    <w:rsid w:val="00FC7EF7"/>
    <w:rsid w:val="00FD61BC"/>
    <w:rsid w:val="00FE0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DA4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30772"/>
    <w:rPr>
      <w:color w:val="0563C1" w:themeColor="hyperlink"/>
      <w:u w:val="single"/>
    </w:rPr>
  </w:style>
  <w:style w:type="character" w:customStyle="1" w:styleId="tlid-translation">
    <w:name w:val="tlid-translation"/>
    <w:basedOn w:val="Domylnaczcionkaakapitu"/>
    <w:rsid w:val="00D27BD1"/>
  </w:style>
  <w:style w:type="paragraph" w:styleId="Akapitzlist">
    <w:name w:val="List Paragraph"/>
    <w:basedOn w:val="Normalny"/>
    <w:uiPriority w:val="34"/>
    <w:qFormat/>
    <w:rsid w:val="00E53131"/>
    <w:pPr>
      <w:ind w:left="720"/>
      <w:contextualSpacing/>
    </w:pPr>
  </w:style>
  <w:style w:type="character" w:styleId="HTML-cytat">
    <w:name w:val="HTML Cite"/>
    <w:basedOn w:val="Domylnaczcionkaakapitu"/>
    <w:uiPriority w:val="99"/>
    <w:semiHidden/>
    <w:unhideWhenUsed/>
    <w:rsid w:val="009C7513"/>
    <w:rPr>
      <w:i/>
      <w:iCs/>
    </w:rPr>
  </w:style>
  <w:style w:type="paragraph" w:styleId="NormalnyWeb">
    <w:name w:val="Normal (Web)"/>
    <w:basedOn w:val="Normalny"/>
    <w:uiPriority w:val="99"/>
    <w:semiHidden/>
    <w:unhideWhenUsed/>
    <w:rsid w:val="00C33B7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33B75"/>
    <w:rPr>
      <w:b/>
      <w:bCs/>
    </w:rPr>
  </w:style>
  <w:style w:type="character" w:styleId="Odwoaniedokomentarza">
    <w:name w:val="annotation reference"/>
    <w:basedOn w:val="Domylnaczcionkaakapitu"/>
    <w:uiPriority w:val="99"/>
    <w:semiHidden/>
    <w:unhideWhenUsed/>
    <w:rsid w:val="00285398"/>
    <w:rPr>
      <w:sz w:val="16"/>
      <w:szCs w:val="16"/>
    </w:rPr>
  </w:style>
  <w:style w:type="paragraph" w:styleId="Tekstkomentarza">
    <w:name w:val="annotation text"/>
    <w:basedOn w:val="Normalny"/>
    <w:link w:val="TekstkomentarzaZnak"/>
    <w:uiPriority w:val="99"/>
    <w:unhideWhenUsed/>
    <w:rsid w:val="00285398"/>
    <w:pPr>
      <w:spacing w:line="240" w:lineRule="auto"/>
    </w:pPr>
    <w:rPr>
      <w:sz w:val="20"/>
      <w:szCs w:val="20"/>
    </w:rPr>
  </w:style>
  <w:style w:type="character" w:customStyle="1" w:styleId="TekstkomentarzaZnak">
    <w:name w:val="Tekst komentarza Znak"/>
    <w:basedOn w:val="Domylnaczcionkaakapitu"/>
    <w:link w:val="Tekstkomentarza"/>
    <w:uiPriority w:val="99"/>
    <w:rsid w:val="00285398"/>
    <w:rPr>
      <w:sz w:val="20"/>
      <w:szCs w:val="20"/>
    </w:rPr>
  </w:style>
  <w:style w:type="paragraph" w:styleId="Tematkomentarza">
    <w:name w:val="annotation subject"/>
    <w:basedOn w:val="Tekstkomentarza"/>
    <w:next w:val="Tekstkomentarza"/>
    <w:link w:val="TematkomentarzaZnak"/>
    <w:uiPriority w:val="99"/>
    <w:semiHidden/>
    <w:unhideWhenUsed/>
    <w:rsid w:val="00285398"/>
    <w:rPr>
      <w:b/>
      <w:bCs/>
    </w:rPr>
  </w:style>
  <w:style w:type="character" w:customStyle="1" w:styleId="TematkomentarzaZnak">
    <w:name w:val="Temat komentarza Znak"/>
    <w:basedOn w:val="TekstkomentarzaZnak"/>
    <w:link w:val="Tematkomentarza"/>
    <w:uiPriority w:val="99"/>
    <w:semiHidden/>
    <w:rsid w:val="00285398"/>
    <w:rPr>
      <w:b/>
      <w:bCs/>
      <w:sz w:val="20"/>
      <w:szCs w:val="20"/>
    </w:rPr>
  </w:style>
  <w:style w:type="paragraph" w:styleId="Tekstdymka">
    <w:name w:val="Balloon Text"/>
    <w:basedOn w:val="Normalny"/>
    <w:link w:val="TekstdymkaZnak"/>
    <w:uiPriority w:val="99"/>
    <w:semiHidden/>
    <w:unhideWhenUsed/>
    <w:rsid w:val="002853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5398"/>
    <w:rPr>
      <w:rFonts w:ascii="Segoe UI" w:hAnsi="Segoe UI" w:cs="Segoe UI"/>
      <w:sz w:val="18"/>
      <w:szCs w:val="18"/>
    </w:rPr>
  </w:style>
  <w:style w:type="paragraph" w:styleId="Nagwek">
    <w:name w:val="header"/>
    <w:basedOn w:val="Normalny"/>
    <w:link w:val="NagwekZnak"/>
    <w:uiPriority w:val="99"/>
    <w:unhideWhenUsed/>
    <w:rsid w:val="00DD7C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7C94"/>
  </w:style>
  <w:style w:type="paragraph" w:styleId="Stopka">
    <w:name w:val="footer"/>
    <w:basedOn w:val="Normalny"/>
    <w:link w:val="StopkaZnak"/>
    <w:uiPriority w:val="99"/>
    <w:unhideWhenUsed/>
    <w:rsid w:val="00DD7C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7C94"/>
  </w:style>
  <w:style w:type="paragraph" w:styleId="Tekstprzypisudolnego">
    <w:name w:val="footnote text"/>
    <w:basedOn w:val="Normalny"/>
    <w:link w:val="TekstprzypisudolnegoZnak"/>
    <w:uiPriority w:val="99"/>
    <w:semiHidden/>
    <w:unhideWhenUsed/>
    <w:rsid w:val="0022526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25266"/>
    <w:rPr>
      <w:sz w:val="20"/>
      <w:szCs w:val="20"/>
    </w:rPr>
  </w:style>
  <w:style w:type="character" w:styleId="Odwoanieprzypisudolnego">
    <w:name w:val="footnote reference"/>
    <w:basedOn w:val="Domylnaczcionkaakapitu"/>
    <w:uiPriority w:val="99"/>
    <w:semiHidden/>
    <w:unhideWhenUsed/>
    <w:rsid w:val="00225266"/>
    <w:rPr>
      <w:vertAlign w:val="superscript"/>
    </w:rPr>
  </w:style>
  <w:style w:type="paragraph" w:customStyle="1" w:styleId="Default">
    <w:name w:val="Default"/>
    <w:rsid w:val="00454466"/>
    <w:pPr>
      <w:autoSpaceDE w:val="0"/>
      <w:autoSpaceDN w:val="0"/>
      <w:adjustRightInd w:val="0"/>
      <w:spacing w:after="0" w:line="240" w:lineRule="auto"/>
    </w:pPr>
    <w:rPr>
      <w:rFonts w:ascii="Calibri" w:hAnsi="Calibri" w:cs="Calibri"/>
      <w:color w:val="000000"/>
      <w:sz w:val="24"/>
      <w:szCs w:val="24"/>
    </w:rPr>
  </w:style>
  <w:style w:type="character" w:styleId="UyteHipercze">
    <w:name w:val="FollowedHyperlink"/>
    <w:basedOn w:val="Domylnaczcionkaakapitu"/>
    <w:uiPriority w:val="99"/>
    <w:semiHidden/>
    <w:unhideWhenUsed/>
    <w:rsid w:val="00144875"/>
    <w:rPr>
      <w:color w:val="954F72" w:themeColor="followedHyperlink"/>
      <w:u w:val="single"/>
    </w:rPr>
  </w:style>
  <w:style w:type="table" w:styleId="Tabela-Siatka">
    <w:name w:val="Table Grid"/>
    <w:basedOn w:val="Standardowy"/>
    <w:uiPriority w:val="39"/>
    <w:rsid w:val="00B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uiPriority w:val="99"/>
    <w:rsid w:val="00B7743C"/>
    <w:pPr>
      <w:widowControl w:val="0"/>
      <w:autoSpaceDE w:val="0"/>
      <w:autoSpaceDN w:val="0"/>
      <w:adjustRightInd w:val="0"/>
      <w:spacing w:after="0" w:line="240" w:lineRule="auto"/>
    </w:pPr>
    <w:rPr>
      <w:rFonts w:ascii="Times New Roman" w:eastAsia="Times New Roman" w:hAnsi="Times New Roman" w:cs="Times New Roman"/>
      <w:color w:val="000000"/>
      <w:sz w:val="20"/>
      <w:szCs w:val="20"/>
      <w:lang w:eastAsia="pl-PL"/>
    </w:rPr>
  </w:style>
  <w:style w:type="character" w:customStyle="1" w:styleId="CharacterStyle1">
    <w:name w:val="Character Style 1"/>
    <w:uiPriority w:val="99"/>
    <w:rsid w:val="00B7743C"/>
    <w:rPr>
      <w:color w:val="000000"/>
      <w:sz w:val="20"/>
    </w:rPr>
  </w:style>
  <w:style w:type="paragraph" w:styleId="Poprawka">
    <w:name w:val="Revision"/>
    <w:hidden/>
    <w:uiPriority w:val="99"/>
    <w:semiHidden/>
    <w:rsid w:val="00B77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21">
      <w:bodyDiv w:val="1"/>
      <w:marLeft w:val="0"/>
      <w:marRight w:val="0"/>
      <w:marTop w:val="0"/>
      <w:marBottom w:val="0"/>
      <w:divBdr>
        <w:top w:val="none" w:sz="0" w:space="0" w:color="auto"/>
        <w:left w:val="none" w:sz="0" w:space="0" w:color="auto"/>
        <w:bottom w:val="none" w:sz="0" w:space="0" w:color="auto"/>
        <w:right w:val="none" w:sz="0" w:space="0" w:color="auto"/>
      </w:divBdr>
    </w:div>
    <w:div w:id="100224419">
      <w:bodyDiv w:val="1"/>
      <w:marLeft w:val="0"/>
      <w:marRight w:val="0"/>
      <w:marTop w:val="0"/>
      <w:marBottom w:val="0"/>
      <w:divBdr>
        <w:top w:val="none" w:sz="0" w:space="0" w:color="auto"/>
        <w:left w:val="none" w:sz="0" w:space="0" w:color="auto"/>
        <w:bottom w:val="none" w:sz="0" w:space="0" w:color="auto"/>
        <w:right w:val="none" w:sz="0" w:space="0" w:color="auto"/>
      </w:divBdr>
      <w:divsChild>
        <w:div w:id="668020839">
          <w:marLeft w:val="0"/>
          <w:marRight w:val="0"/>
          <w:marTop w:val="0"/>
          <w:marBottom w:val="0"/>
          <w:divBdr>
            <w:top w:val="none" w:sz="0" w:space="0" w:color="auto"/>
            <w:left w:val="none" w:sz="0" w:space="0" w:color="auto"/>
            <w:bottom w:val="none" w:sz="0" w:space="0" w:color="auto"/>
            <w:right w:val="none" w:sz="0" w:space="0" w:color="auto"/>
          </w:divBdr>
        </w:div>
      </w:divsChild>
    </w:div>
    <w:div w:id="338436757">
      <w:bodyDiv w:val="1"/>
      <w:marLeft w:val="0"/>
      <w:marRight w:val="0"/>
      <w:marTop w:val="0"/>
      <w:marBottom w:val="0"/>
      <w:divBdr>
        <w:top w:val="none" w:sz="0" w:space="0" w:color="auto"/>
        <w:left w:val="none" w:sz="0" w:space="0" w:color="auto"/>
        <w:bottom w:val="none" w:sz="0" w:space="0" w:color="auto"/>
        <w:right w:val="none" w:sz="0" w:space="0" w:color="auto"/>
      </w:divBdr>
    </w:div>
    <w:div w:id="434373961">
      <w:bodyDiv w:val="1"/>
      <w:marLeft w:val="0"/>
      <w:marRight w:val="0"/>
      <w:marTop w:val="0"/>
      <w:marBottom w:val="0"/>
      <w:divBdr>
        <w:top w:val="none" w:sz="0" w:space="0" w:color="auto"/>
        <w:left w:val="none" w:sz="0" w:space="0" w:color="auto"/>
        <w:bottom w:val="none" w:sz="0" w:space="0" w:color="auto"/>
        <w:right w:val="none" w:sz="0" w:space="0" w:color="auto"/>
      </w:divBdr>
    </w:div>
    <w:div w:id="575288571">
      <w:bodyDiv w:val="1"/>
      <w:marLeft w:val="0"/>
      <w:marRight w:val="0"/>
      <w:marTop w:val="0"/>
      <w:marBottom w:val="0"/>
      <w:divBdr>
        <w:top w:val="none" w:sz="0" w:space="0" w:color="auto"/>
        <w:left w:val="none" w:sz="0" w:space="0" w:color="auto"/>
        <w:bottom w:val="none" w:sz="0" w:space="0" w:color="auto"/>
        <w:right w:val="none" w:sz="0" w:space="0" w:color="auto"/>
      </w:divBdr>
    </w:div>
    <w:div w:id="693311439">
      <w:bodyDiv w:val="1"/>
      <w:marLeft w:val="0"/>
      <w:marRight w:val="0"/>
      <w:marTop w:val="0"/>
      <w:marBottom w:val="0"/>
      <w:divBdr>
        <w:top w:val="none" w:sz="0" w:space="0" w:color="auto"/>
        <w:left w:val="none" w:sz="0" w:space="0" w:color="auto"/>
        <w:bottom w:val="none" w:sz="0" w:space="0" w:color="auto"/>
        <w:right w:val="none" w:sz="0" w:space="0" w:color="auto"/>
      </w:divBdr>
    </w:div>
    <w:div w:id="1287391082">
      <w:bodyDiv w:val="1"/>
      <w:marLeft w:val="0"/>
      <w:marRight w:val="0"/>
      <w:marTop w:val="0"/>
      <w:marBottom w:val="0"/>
      <w:divBdr>
        <w:top w:val="none" w:sz="0" w:space="0" w:color="auto"/>
        <w:left w:val="none" w:sz="0" w:space="0" w:color="auto"/>
        <w:bottom w:val="none" w:sz="0" w:space="0" w:color="auto"/>
        <w:right w:val="none" w:sz="0" w:space="0" w:color="auto"/>
      </w:divBdr>
    </w:div>
    <w:div w:id="1314677825">
      <w:bodyDiv w:val="1"/>
      <w:marLeft w:val="0"/>
      <w:marRight w:val="0"/>
      <w:marTop w:val="0"/>
      <w:marBottom w:val="0"/>
      <w:divBdr>
        <w:top w:val="none" w:sz="0" w:space="0" w:color="auto"/>
        <w:left w:val="none" w:sz="0" w:space="0" w:color="auto"/>
        <w:bottom w:val="none" w:sz="0" w:space="0" w:color="auto"/>
        <w:right w:val="none" w:sz="0" w:space="0" w:color="auto"/>
      </w:divBdr>
    </w:div>
    <w:div w:id="1795978746">
      <w:bodyDiv w:val="1"/>
      <w:marLeft w:val="0"/>
      <w:marRight w:val="0"/>
      <w:marTop w:val="0"/>
      <w:marBottom w:val="0"/>
      <w:divBdr>
        <w:top w:val="none" w:sz="0" w:space="0" w:color="auto"/>
        <w:left w:val="none" w:sz="0" w:space="0" w:color="auto"/>
        <w:bottom w:val="none" w:sz="0" w:space="0" w:color="auto"/>
        <w:right w:val="none" w:sz="0" w:space="0" w:color="auto"/>
      </w:divBdr>
    </w:div>
    <w:div w:id="21003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wojlokalny@miir.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751E7-CFEB-4338-8B64-45876195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2180</Words>
  <Characters>13084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2019-11-13T11:34:00Z</dcterms:created>
  <dcterms:modified xsi:type="dcterms:W3CDTF">2019-12-04T12:05:00Z</dcterms:modified>
</cp:coreProperties>
</file>