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FF" w:rsidRPr="002F6BB3" w:rsidRDefault="00F32DFF" w:rsidP="00F32DFF">
      <w:pPr>
        <w:suppressAutoHyphens/>
        <w:spacing w:line="271" w:lineRule="auto"/>
        <w:rPr>
          <w:rFonts w:ascii="Garamond" w:hAnsi="Garamond"/>
          <w:b/>
          <w:sz w:val="32"/>
          <w:szCs w:val="32"/>
        </w:rPr>
      </w:pPr>
      <w:bookmarkStart w:id="0" w:name="_GoBack"/>
      <w:r w:rsidRPr="002F6BB3">
        <w:rPr>
          <w:rFonts w:ascii="Garamond" w:hAnsi="Garamond"/>
          <w:b/>
          <w:sz w:val="32"/>
          <w:szCs w:val="32"/>
        </w:rPr>
        <w:t>Słowniczek</w:t>
      </w:r>
    </w:p>
    <w:bookmarkEnd w:id="0"/>
    <w:p w:rsidR="00F32DFF" w:rsidRPr="002F6BB3" w:rsidRDefault="00F32DFF" w:rsidP="00F32DFF">
      <w:pPr>
        <w:suppressAutoHyphens/>
        <w:spacing w:line="271" w:lineRule="auto"/>
        <w:rPr>
          <w:rFonts w:ascii="Garamond" w:hAnsi="Garamond"/>
          <w:b/>
          <w:sz w:val="22"/>
          <w:szCs w:val="22"/>
        </w:rPr>
      </w:pPr>
      <w:r w:rsidRPr="002F6BB3">
        <w:rPr>
          <w:rFonts w:ascii="Garamond" w:hAnsi="Garamond"/>
          <w:b/>
          <w:sz w:val="22"/>
          <w:szCs w:val="22"/>
        </w:rPr>
        <w:t>Aplikacja multimedialna z tłumaczeniem na polski język migowy (PJM)</w:t>
      </w:r>
    </w:p>
    <w:p w:rsidR="00F32DFF" w:rsidRPr="002F6BB3" w:rsidRDefault="00F32DFF" w:rsidP="00F32DFF">
      <w:pPr>
        <w:suppressAutoHyphens/>
        <w:spacing w:line="271" w:lineRule="auto"/>
        <w:rPr>
          <w:rFonts w:ascii="Garamond" w:hAnsi="Garamond" w:cstheme="minorHAnsi"/>
          <w:sz w:val="22"/>
          <w:szCs w:val="22"/>
        </w:rPr>
      </w:pPr>
      <w:r w:rsidRPr="002F6BB3">
        <w:rPr>
          <w:rFonts w:ascii="Garamond" w:hAnsi="Garamond" w:cstheme="minorHAnsi"/>
          <w:sz w:val="22"/>
          <w:szCs w:val="22"/>
        </w:rPr>
        <w:t>W aplikacji znajduje się cały pakiet materiałów ćwiczeniowych. Oprócz podstawowej funkcji wyświetlania poszczególnych stron aplikacja daje możliwość i</w:t>
      </w:r>
      <w:r w:rsidR="00BF08B2">
        <w:rPr>
          <w:rFonts w:ascii="Garamond" w:hAnsi="Garamond" w:cstheme="minorHAnsi"/>
          <w:sz w:val="22"/>
          <w:szCs w:val="22"/>
        </w:rPr>
        <w:t xml:space="preserve">ch powiększania/pomniejszania </w:t>
      </w:r>
      <w:r w:rsidRPr="002F6BB3">
        <w:rPr>
          <w:rFonts w:ascii="Garamond" w:hAnsi="Garamond" w:cstheme="minorHAnsi"/>
          <w:sz w:val="22"/>
          <w:szCs w:val="22"/>
        </w:rPr>
        <w:t xml:space="preserve">tak, aby skupić uwagę ucznia na wybranym elemencie. Najważniejszą częścią aplikacji jest jednak tłumaczenie tekstu lektury na polski język migowy. Do poszczególnych fragmentów tekstu można wyświetlić film w PJM. Okno odtwarzacza można zmniejszyć i dowolnie umiejscowić na ekranie. Dzięki temu możliwe jest jednoczesne śledzenie tekstu i tłumaczenia. Wszystkie filmy są dodatkowo dostępne z poziomu eksploratora plików. </w:t>
      </w:r>
    </w:p>
    <w:p w:rsidR="00F32DFF" w:rsidRDefault="00F32DFF" w:rsidP="00F32DFF">
      <w:pPr>
        <w:suppressAutoHyphens/>
        <w:spacing w:line="271" w:lineRule="auto"/>
        <w:rPr>
          <w:rFonts w:ascii="Garamond" w:hAnsi="Garamond" w:cstheme="minorHAnsi"/>
          <w:sz w:val="22"/>
          <w:szCs w:val="22"/>
        </w:rPr>
      </w:pPr>
      <w:r w:rsidRPr="002F6BB3">
        <w:rPr>
          <w:rFonts w:ascii="Garamond" w:hAnsi="Garamond" w:cstheme="minorHAnsi"/>
          <w:sz w:val="22"/>
          <w:szCs w:val="22"/>
        </w:rPr>
        <w:t xml:space="preserve">Aplikacja działa na systemach z rodziny Windows, Linux i </w:t>
      </w:r>
      <w:proofErr w:type="spellStart"/>
      <w:r w:rsidRPr="002F6BB3">
        <w:rPr>
          <w:rFonts w:ascii="Garamond" w:hAnsi="Garamond" w:cstheme="minorHAnsi"/>
          <w:sz w:val="22"/>
          <w:szCs w:val="22"/>
        </w:rPr>
        <w:t>macOS</w:t>
      </w:r>
      <w:proofErr w:type="spellEnd"/>
      <w:r w:rsidRPr="002F6BB3">
        <w:rPr>
          <w:rFonts w:ascii="Garamond" w:hAnsi="Garamond" w:cstheme="minorHAnsi"/>
          <w:sz w:val="22"/>
          <w:szCs w:val="22"/>
        </w:rPr>
        <w:t>.</w:t>
      </w:r>
    </w:p>
    <w:p w:rsidR="00F32DFF" w:rsidRPr="002F6BB3" w:rsidRDefault="00F32DFF" w:rsidP="00F32DFF">
      <w:pPr>
        <w:suppressAutoHyphens/>
        <w:spacing w:line="271" w:lineRule="auto"/>
        <w:rPr>
          <w:rFonts w:ascii="Garamond" w:hAnsi="Garamond" w:cstheme="minorHAnsi"/>
          <w:sz w:val="22"/>
          <w:szCs w:val="22"/>
        </w:rPr>
      </w:pPr>
    </w:p>
    <w:p w:rsidR="00F32DFF" w:rsidRPr="002F6BB3" w:rsidRDefault="00F32DFF" w:rsidP="00F32DFF">
      <w:pPr>
        <w:suppressAutoHyphens/>
        <w:spacing w:line="271" w:lineRule="auto"/>
        <w:rPr>
          <w:rFonts w:ascii="Garamond" w:hAnsi="Garamond"/>
          <w:b/>
          <w:sz w:val="22"/>
          <w:szCs w:val="22"/>
        </w:rPr>
      </w:pPr>
      <w:r w:rsidRPr="002F6BB3">
        <w:rPr>
          <w:rFonts w:ascii="Garamond" w:hAnsi="Garamond"/>
          <w:b/>
          <w:sz w:val="22"/>
          <w:szCs w:val="22"/>
        </w:rPr>
        <w:t xml:space="preserve">Tekst łatwy do czytania (ETR) </w:t>
      </w:r>
    </w:p>
    <w:p w:rsidR="00F32DFF" w:rsidRDefault="00F32DFF" w:rsidP="00F32DFF">
      <w:pPr>
        <w:suppressAutoHyphens/>
        <w:spacing w:line="271" w:lineRule="auto"/>
        <w:rPr>
          <w:rFonts w:ascii="Garamond" w:hAnsi="Garamond"/>
          <w:sz w:val="22"/>
          <w:szCs w:val="22"/>
        </w:rPr>
      </w:pPr>
      <w:r w:rsidRPr="002F6BB3">
        <w:rPr>
          <w:rFonts w:ascii="Garamond" w:hAnsi="Garamond"/>
          <w:sz w:val="22"/>
          <w:szCs w:val="22"/>
        </w:rPr>
        <w:t xml:space="preserve">Tekst łatwy do czytania (ETR) został opracowany zgodnie z najważniejszymi założeniami IFLA </w:t>
      </w:r>
      <w:proofErr w:type="spellStart"/>
      <w:r w:rsidRPr="002F6BB3">
        <w:rPr>
          <w:rFonts w:ascii="Garamond" w:hAnsi="Garamond"/>
          <w:sz w:val="22"/>
          <w:szCs w:val="22"/>
        </w:rPr>
        <w:t>Guidelines</w:t>
      </w:r>
      <w:proofErr w:type="spellEnd"/>
      <w:r w:rsidRPr="002F6BB3">
        <w:rPr>
          <w:rFonts w:ascii="Garamond" w:hAnsi="Garamond"/>
          <w:sz w:val="22"/>
          <w:szCs w:val="22"/>
        </w:rPr>
        <w:t xml:space="preserve"> for </w:t>
      </w:r>
      <w:proofErr w:type="spellStart"/>
      <w:r w:rsidRPr="002F6BB3">
        <w:rPr>
          <w:rFonts w:ascii="Garamond" w:hAnsi="Garamond"/>
          <w:sz w:val="22"/>
          <w:szCs w:val="22"/>
        </w:rPr>
        <w:t>easy</w:t>
      </w:r>
      <w:proofErr w:type="spellEnd"/>
      <w:r w:rsidRPr="002F6BB3">
        <w:rPr>
          <w:rFonts w:ascii="Garamond" w:hAnsi="Garamond"/>
          <w:sz w:val="22"/>
          <w:szCs w:val="22"/>
        </w:rPr>
        <w:t>-to-</w:t>
      </w:r>
      <w:proofErr w:type="spellStart"/>
      <w:r w:rsidRPr="002F6BB3">
        <w:rPr>
          <w:rFonts w:ascii="Garamond" w:hAnsi="Garamond"/>
          <w:sz w:val="22"/>
          <w:szCs w:val="22"/>
        </w:rPr>
        <w:t>read</w:t>
      </w:r>
      <w:proofErr w:type="spellEnd"/>
      <w:r w:rsidRPr="002F6BB3">
        <w:rPr>
          <w:rFonts w:ascii="Garamond" w:hAnsi="Garamond"/>
          <w:sz w:val="22"/>
          <w:szCs w:val="22"/>
        </w:rPr>
        <w:t xml:space="preserve"> materials oraz publikacją Informacja dla wszystkich. Europejskie standardy przygotowania tekstu łatwego do czytania i zrozumienia. Jego zadaniem jest przybliżenie treści lektury odbiorcom, którzy z różnych powodów nie są w stanie przeczytać ze zrozumieniem oryginalnego tekstu. Będą to przede wszystkim uczniowie z afazją oraz niepełnosprawnością intelektualną, choć tekst łatwy do czytania może być pomocny dla każdego dziecka, dla którego barierą jest język utworu oraz nadmiar treści. Zmiany wprowadzone w wersji ETR dotyczą dwóch warstw: językowej oraz treściowej. Warstwa językowa została zmodyfikowana pod względem leksyki oraz składni </w:t>
      </w:r>
      <w:r w:rsidR="001F68FC">
        <w:rPr>
          <w:rFonts w:ascii="Garamond" w:hAnsi="Garamond"/>
          <w:sz w:val="22"/>
          <w:szCs w:val="22"/>
        </w:rPr>
        <w:t>–</w:t>
      </w:r>
      <w:r w:rsidRPr="002F6BB3">
        <w:rPr>
          <w:rFonts w:ascii="Garamond" w:hAnsi="Garamond"/>
          <w:sz w:val="22"/>
          <w:szCs w:val="22"/>
        </w:rPr>
        <w:t xml:space="preserve"> zastosowano wyrazy o wysokiej frekwencji, łatwe do zrozumienia, a informacje zapisano głównie w postaci zdań prostych ułożonych zgodnie z następującą zasadą: 1 linia tekstu = 1 myśl, trudniejsze wyrazy zostały również opatrzone objaśnieniami w tekście. Z fabuły lektury usunięto wątki poboczne, a w dłuższych tekstach dodatkowo zastosowano śródtytuły. </w:t>
      </w:r>
    </w:p>
    <w:p w:rsidR="00F32DFF" w:rsidRPr="002F6BB3" w:rsidRDefault="00F32DFF" w:rsidP="00F32DFF">
      <w:pPr>
        <w:suppressAutoHyphens/>
        <w:spacing w:line="271" w:lineRule="auto"/>
        <w:rPr>
          <w:rFonts w:ascii="Garamond" w:hAnsi="Garamond"/>
          <w:sz w:val="22"/>
          <w:szCs w:val="22"/>
        </w:rPr>
      </w:pPr>
    </w:p>
    <w:p w:rsidR="00F32DFF" w:rsidRPr="002F6BB3" w:rsidRDefault="00F32DFF" w:rsidP="00F32DFF">
      <w:pPr>
        <w:suppressAutoHyphens/>
        <w:spacing w:line="271" w:lineRule="auto"/>
        <w:rPr>
          <w:rFonts w:ascii="Garamond" w:hAnsi="Garamond"/>
          <w:sz w:val="22"/>
          <w:szCs w:val="22"/>
        </w:rPr>
      </w:pPr>
      <w:r w:rsidRPr="002F6BB3">
        <w:rPr>
          <w:rFonts w:ascii="Garamond" w:hAnsi="Garamond"/>
          <w:b/>
          <w:sz w:val="22"/>
          <w:szCs w:val="22"/>
        </w:rPr>
        <w:t>Opracowanie graficzne w formie komiksu</w:t>
      </w:r>
      <w:r w:rsidRPr="002F6BB3">
        <w:rPr>
          <w:rFonts w:ascii="Garamond" w:hAnsi="Garamond"/>
          <w:sz w:val="22"/>
          <w:szCs w:val="22"/>
        </w:rPr>
        <w:t xml:space="preserve"> </w:t>
      </w:r>
    </w:p>
    <w:p w:rsidR="00F32DFF" w:rsidRDefault="00F32DFF" w:rsidP="00F32DFF">
      <w:pPr>
        <w:suppressAutoHyphens/>
        <w:spacing w:line="271" w:lineRule="auto"/>
        <w:rPr>
          <w:rFonts w:ascii="Garamond" w:hAnsi="Garamond"/>
          <w:sz w:val="22"/>
          <w:szCs w:val="22"/>
        </w:rPr>
      </w:pPr>
      <w:r w:rsidRPr="002F6BB3">
        <w:rPr>
          <w:rFonts w:ascii="Garamond" w:hAnsi="Garamond"/>
          <w:sz w:val="22"/>
          <w:szCs w:val="22"/>
        </w:rPr>
        <w:t>Graficzne opracowanie lektury w formie komiksu ma za zadanie przybliżyć uczniom treść utworu. Komiks ożywia i uatrakcyjnia tekst. Często literacka forma dzieła i wielowarstwowość znaczeniowa utrudniają uczniom odczytanie i zrozumienie treści. Do zaproponowanych ilustracji nauczyciel może odwoły</w:t>
      </w:r>
      <w:r w:rsidR="00A6468F">
        <w:rPr>
          <w:rFonts w:ascii="Garamond" w:hAnsi="Garamond"/>
          <w:sz w:val="22"/>
          <w:szCs w:val="22"/>
        </w:rPr>
        <w:t>wać się podczas pracy z tekstem,</w:t>
      </w:r>
      <w:r w:rsidRPr="002F6BB3">
        <w:rPr>
          <w:rFonts w:ascii="Garamond" w:hAnsi="Garamond"/>
          <w:sz w:val="22"/>
          <w:szCs w:val="22"/>
        </w:rPr>
        <w:t xml:space="preserve"> wykorzystując zarówno całość komiksu, jak i jego wybrane elementy. Dla uczniów jest to pomoc w wizualnym odtworzeniu fabuły utworu, a także jej zapamiętaniu. Dla niektórych zaś krótkie teksty w kadrach są jedyną formą kontaktu z lekturą. </w:t>
      </w:r>
    </w:p>
    <w:p w:rsidR="00F32DFF" w:rsidRPr="002F6BB3" w:rsidRDefault="00F32DFF" w:rsidP="00F32DFF">
      <w:pPr>
        <w:suppressAutoHyphens/>
        <w:spacing w:line="271" w:lineRule="auto"/>
        <w:rPr>
          <w:rFonts w:ascii="Garamond" w:hAnsi="Garamond"/>
          <w:sz w:val="22"/>
          <w:szCs w:val="22"/>
        </w:rPr>
      </w:pPr>
    </w:p>
    <w:p w:rsidR="00F32DFF" w:rsidRPr="002F6BB3" w:rsidRDefault="00F32DFF" w:rsidP="00F32DFF">
      <w:pPr>
        <w:suppressAutoHyphens/>
        <w:spacing w:line="271" w:lineRule="auto"/>
        <w:rPr>
          <w:rFonts w:ascii="Garamond" w:hAnsi="Garamond"/>
          <w:b/>
          <w:sz w:val="22"/>
          <w:szCs w:val="22"/>
        </w:rPr>
      </w:pPr>
      <w:r w:rsidRPr="002F6BB3">
        <w:rPr>
          <w:rFonts w:ascii="Garamond" w:hAnsi="Garamond"/>
          <w:b/>
          <w:sz w:val="22"/>
          <w:szCs w:val="22"/>
        </w:rPr>
        <w:t xml:space="preserve">Karty pracy </w:t>
      </w:r>
    </w:p>
    <w:p w:rsidR="00F32DFF" w:rsidRDefault="00F32DFF" w:rsidP="00F32DFF">
      <w:pPr>
        <w:suppressAutoHyphens/>
        <w:spacing w:line="271" w:lineRule="auto"/>
        <w:rPr>
          <w:rFonts w:ascii="Garamond" w:hAnsi="Garamond"/>
          <w:sz w:val="22"/>
          <w:szCs w:val="22"/>
        </w:rPr>
      </w:pPr>
      <w:r w:rsidRPr="002F6BB3">
        <w:rPr>
          <w:rFonts w:ascii="Garamond" w:hAnsi="Garamond"/>
          <w:sz w:val="22"/>
          <w:szCs w:val="22"/>
        </w:rPr>
        <w:t xml:space="preserve">Karty pracy mają za zadanie utrwalić i podsumować informacje o treści lektury. Ponadto zachęcają ucznia do samodzielnego rozwiązywania zadań i sprawdzenia swojej wiedzy. Przygotowane propozycje mogą okazać się pomocne zarówno podczas omawiania treści lektur w czasie zajęć szkolnych, jak i w pracy samodzielnej ucznia. </w:t>
      </w:r>
    </w:p>
    <w:p w:rsidR="00F32DFF" w:rsidRPr="002F6BB3" w:rsidRDefault="00F32DFF" w:rsidP="00F32DFF">
      <w:pPr>
        <w:suppressAutoHyphens/>
        <w:spacing w:line="271" w:lineRule="auto"/>
        <w:rPr>
          <w:rFonts w:ascii="Garamond" w:hAnsi="Garamond"/>
          <w:sz w:val="22"/>
          <w:szCs w:val="22"/>
        </w:rPr>
      </w:pPr>
    </w:p>
    <w:p w:rsidR="00F32DFF" w:rsidRPr="002F6BB3" w:rsidRDefault="00F32DFF" w:rsidP="00F32DFF">
      <w:pPr>
        <w:suppressAutoHyphens/>
        <w:spacing w:line="271" w:lineRule="auto"/>
        <w:rPr>
          <w:rFonts w:ascii="Garamond" w:hAnsi="Garamond"/>
          <w:sz w:val="22"/>
          <w:szCs w:val="22"/>
        </w:rPr>
      </w:pPr>
      <w:r w:rsidRPr="002F6BB3">
        <w:rPr>
          <w:rFonts w:ascii="Garamond" w:hAnsi="Garamond"/>
          <w:b/>
          <w:sz w:val="22"/>
          <w:szCs w:val="22"/>
        </w:rPr>
        <w:t>Tablice komunikacyjne wykorzystujące piktogramy PCS</w:t>
      </w:r>
      <w:r w:rsidRPr="002F6BB3">
        <w:rPr>
          <w:rFonts w:ascii="Garamond" w:hAnsi="Garamond"/>
          <w:sz w:val="22"/>
          <w:szCs w:val="22"/>
        </w:rPr>
        <w:t xml:space="preserve"> </w:t>
      </w:r>
    </w:p>
    <w:p w:rsidR="00F32DFF" w:rsidRDefault="00F32DFF" w:rsidP="00F32DFF">
      <w:pPr>
        <w:suppressAutoHyphens/>
        <w:spacing w:line="271" w:lineRule="auto"/>
        <w:rPr>
          <w:rFonts w:ascii="Garamond" w:hAnsi="Garamond"/>
          <w:sz w:val="22"/>
          <w:szCs w:val="22"/>
        </w:rPr>
      </w:pPr>
      <w:r w:rsidRPr="002F6BB3">
        <w:rPr>
          <w:rFonts w:ascii="Garamond" w:hAnsi="Garamond"/>
          <w:sz w:val="22"/>
          <w:szCs w:val="22"/>
        </w:rPr>
        <w:t xml:space="preserve">Tablice komunikacyjne ze znakami PCS są przeznaczone dla uczniów </w:t>
      </w:r>
      <w:proofErr w:type="spellStart"/>
      <w:r w:rsidRPr="002F6BB3">
        <w:rPr>
          <w:rFonts w:ascii="Garamond" w:hAnsi="Garamond"/>
          <w:sz w:val="22"/>
          <w:szCs w:val="22"/>
        </w:rPr>
        <w:t>niemówiacych</w:t>
      </w:r>
      <w:proofErr w:type="spellEnd"/>
      <w:r w:rsidRPr="002F6BB3">
        <w:rPr>
          <w:rFonts w:ascii="Garamond" w:hAnsi="Garamond"/>
          <w:sz w:val="22"/>
          <w:szCs w:val="22"/>
        </w:rPr>
        <w:t xml:space="preserve">, posługujących się alternatywną i/lub wspomagającą komunikacją. Uczniowie ci mają zwykle osobiste pomoce do komunikacji w formie tzw. książek do komunikacji (skoroszytów z piktogramami) lub pomocy elektronicznych na tabletach lub laptopach. Tablice do każdej lektury zawierają symbole związane z tekstem, głównie rzeczowniki, czasowniki i określenia. Tablice umożliwiają osobie niemówiącej opowiadanie treści lektury, odpowiadanie na pytania nauczyciela, uczestniczenie w rozmowie na temat lektury, ułatwiają również rozumienie treści utworu. W rozmowie na temat lektury może </w:t>
      </w:r>
      <w:r w:rsidR="00A6468F">
        <w:rPr>
          <w:rFonts w:ascii="Garamond" w:hAnsi="Garamond"/>
          <w:sz w:val="22"/>
          <w:szCs w:val="22"/>
        </w:rPr>
        <w:t>–</w:t>
      </w:r>
      <w:r w:rsidRPr="002F6BB3">
        <w:rPr>
          <w:rFonts w:ascii="Garamond" w:hAnsi="Garamond"/>
          <w:sz w:val="22"/>
          <w:szCs w:val="22"/>
        </w:rPr>
        <w:t xml:space="preserve"> i powinna </w:t>
      </w:r>
      <w:r w:rsidR="00A6468F">
        <w:rPr>
          <w:rFonts w:ascii="Garamond" w:hAnsi="Garamond"/>
          <w:sz w:val="22"/>
          <w:szCs w:val="22"/>
        </w:rPr>
        <w:t>–</w:t>
      </w:r>
      <w:r w:rsidRPr="002F6BB3">
        <w:rPr>
          <w:rFonts w:ascii="Garamond" w:hAnsi="Garamond"/>
          <w:sz w:val="22"/>
          <w:szCs w:val="22"/>
        </w:rPr>
        <w:t xml:space="preserve"> być wykorzystywana również osobista książka komunikacyjna ucznia, która zawiera m.in. zaimki, przyimki, przydatne liczby i litery. </w:t>
      </w:r>
    </w:p>
    <w:p w:rsidR="00F32DFF" w:rsidRPr="002F6BB3" w:rsidRDefault="00F32DFF" w:rsidP="00F32DFF">
      <w:pPr>
        <w:suppressAutoHyphens/>
        <w:spacing w:line="271" w:lineRule="auto"/>
        <w:rPr>
          <w:rFonts w:ascii="Garamond" w:hAnsi="Garamond"/>
          <w:sz w:val="22"/>
          <w:szCs w:val="22"/>
        </w:rPr>
      </w:pPr>
    </w:p>
    <w:p w:rsidR="00F32DFF" w:rsidRPr="002F6BB3" w:rsidRDefault="00F32DFF" w:rsidP="00F32DFF">
      <w:pPr>
        <w:suppressAutoHyphens/>
        <w:spacing w:line="271" w:lineRule="auto"/>
        <w:rPr>
          <w:rFonts w:ascii="Garamond" w:hAnsi="Garamond"/>
          <w:b/>
          <w:sz w:val="22"/>
          <w:szCs w:val="22"/>
        </w:rPr>
      </w:pPr>
      <w:r w:rsidRPr="002F6BB3">
        <w:rPr>
          <w:rFonts w:ascii="Garamond" w:hAnsi="Garamond"/>
          <w:b/>
          <w:sz w:val="22"/>
          <w:szCs w:val="22"/>
        </w:rPr>
        <w:lastRenderedPageBreak/>
        <w:t xml:space="preserve">Karty pracy zawierające piktogramy PCS </w:t>
      </w:r>
    </w:p>
    <w:p w:rsidR="00F32DFF" w:rsidRPr="002F6BB3" w:rsidRDefault="00F32DFF" w:rsidP="00F32DFF">
      <w:pPr>
        <w:suppressAutoHyphens/>
        <w:spacing w:line="271" w:lineRule="auto"/>
        <w:rPr>
          <w:rFonts w:ascii="Garamond" w:hAnsi="Garamond"/>
          <w:sz w:val="22"/>
          <w:szCs w:val="22"/>
        </w:rPr>
      </w:pPr>
      <w:r w:rsidRPr="002F6BB3">
        <w:rPr>
          <w:rFonts w:ascii="Garamond" w:hAnsi="Garamond"/>
          <w:sz w:val="22"/>
          <w:szCs w:val="22"/>
        </w:rPr>
        <w:t xml:space="preserve">Karty pracy PCS zostały opracowane przede wszystkim dla uczniów niemówiących, użytkowników wspomagających i alternatywnych metod komunikacji. Mają one na celu sprawdzenie tego, czy uczeń zrozumiał treść lektury oraz jak wiele wiadomości zapamiętał. Pozwalają także na rozwijanie i utrwalanie nowego słownictwa. Wszystkie polecenia oraz pytania zostały zapisane za pomocą słów oraz znaków systemu PCS. Uczeń może próbować odczytać treść poleceń sam lub z pomocą nauczyciela. Jeśli to nauczyciel będzie czytał treść, to zalecane jest, by kolejno wskazywał uczniowi odczytywane znaki. Karty pracy zawierają takie zadania, w których należy wskazać i zaznaczyć właściwą odpowiedź, wybrać ją spośród podanych i zaznaczyć lub wyciąć oraz takie, które polegają na samodzielnym sformułowaniu odpowiedzi za pomocą tablic komunikacyjnych PCS opracowanych do każdej lektury i/lub z pomocą książki/narzędzia do komunikacji. W tego typu zadaniach nauczyciel może zapisać odpowiedź ucznia sam lub np. wydrukować tablicę komunikacyjną PCS w dwóch egzemplarzach i z drugiej wyciąć do przyklejenia znaki wybrane przez ucznia w odpowiedzi na zadane pytanie. W kartach pracy oraz tablicach komunikacyjnych wykorzystujących piktogramy PCS użyte zostały te same znaki oddające poszczególne znaczenia danych wyrazów. Jednocześnie w kartach pracy zastosowano określone strategie językowe </w:t>
      </w:r>
      <w:r w:rsidR="001705F3">
        <w:rPr>
          <w:rFonts w:ascii="Garamond" w:hAnsi="Garamond"/>
          <w:sz w:val="22"/>
          <w:szCs w:val="22"/>
        </w:rPr>
        <w:t>–</w:t>
      </w:r>
      <w:r w:rsidRPr="002F6BB3">
        <w:rPr>
          <w:rFonts w:ascii="Garamond" w:hAnsi="Garamond"/>
          <w:sz w:val="22"/>
          <w:szCs w:val="22"/>
        </w:rPr>
        <w:t xml:space="preserve"> strzałki stanowiące określenie czasu na górze, z lewej strony symbolu o znaczeniu czasownikowym, dla wyrażenia cz</w:t>
      </w:r>
      <w:r w:rsidR="00EE0E7C">
        <w:rPr>
          <w:rFonts w:ascii="Garamond" w:hAnsi="Garamond"/>
          <w:sz w:val="22"/>
          <w:szCs w:val="22"/>
        </w:rPr>
        <w:t xml:space="preserve">asu przeszłego lub przyszłego, </w:t>
      </w:r>
      <w:r w:rsidRPr="002F6BB3">
        <w:rPr>
          <w:rFonts w:ascii="Garamond" w:hAnsi="Garamond"/>
          <w:sz w:val="22"/>
          <w:szCs w:val="22"/>
        </w:rPr>
        <w:t xml:space="preserve">pomniejszony symbol ‘ty’, także z lewej górnej strony znaku oznaczającego czynność w poleceniach </w:t>
      </w:r>
      <w:r w:rsidR="001705F3">
        <w:rPr>
          <w:rFonts w:ascii="Garamond" w:hAnsi="Garamond"/>
          <w:sz w:val="22"/>
          <w:szCs w:val="22"/>
        </w:rPr>
        <w:t>–</w:t>
      </w:r>
      <w:r w:rsidRPr="002F6BB3">
        <w:rPr>
          <w:rFonts w:ascii="Garamond" w:hAnsi="Garamond"/>
          <w:sz w:val="22"/>
          <w:szCs w:val="22"/>
        </w:rPr>
        <w:t xml:space="preserve"> zdaniach rozkaźnikowych. Dla zwiększenia czytelności zadań poszczególne fragmenty można wycinać i w toku odpowiadania na pytania ponownie przyklejać potrzebne elementy.</w:t>
      </w:r>
    </w:p>
    <w:p w:rsidR="00C6197A" w:rsidRDefault="00EE0E7C"/>
    <w:sectPr w:rsidR="00C6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FF"/>
    <w:rsid w:val="001705F3"/>
    <w:rsid w:val="001F68FC"/>
    <w:rsid w:val="00303528"/>
    <w:rsid w:val="008262E3"/>
    <w:rsid w:val="008C681E"/>
    <w:rsid w:val="00937F5D"/>
    <w:rsid w:val="00A6468F"/>
    <w:rsid w:val="00BF08B2"/>
    <w:rsid w:val="00D1059A"/>
    <w:rsid w:val="00EE0E7C"/>
    <w:rsid w:val="00F3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7E8BA-7666-4076-8A99-E44FC5B8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D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Stanios-Korycka Ewelina</dc:creator>
  <cp:keywords/>
  <dc:description/>
  <cp:lastModifiedBy>Stanios-Korycka Ewelina</cp:lastModifiedBy>
  <cp:revision>7</cp:revision>
  <dcterms:created xsi:type="dcterms:W3CDTF">2022-03-30T09:41:00Z</dcterms:created>
  <dcterms:modified xsi:type="dcterms:W3CDTF">2022-03-30T10:04:00Z</dcterms:modified>
</cp:coreProperties>
</file>