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98" w:rsidRPr="00815CC2" w:rsidRDefault="0076102F" w:rsidP="001A7698">
      <w:pPr>
        <w:pStyle w:val="Nagwek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ogłoszenia Otwartego Konkursu O</w:t>
      </w:r>
      <w:r w:rsidR="001A7698" w:rsidRPr="00815CC2">
        <w:rPr>
          <w:rFonts w:ascii="Times New Roman" w:hAnsi="Times New Roman" w:cs="Times New Roman"/>
          <w:b/>
        </w:rPr>
        <w:t>fert Nr</w:t>
      </w:r>
      <w:r w:rsidR="00815CC2" w:rsidRPr="00815CC2">
        <w:rPr>
          <w:rFonts w:ascii="Times New Roman" w:hAnsi="Times New Roman" w:cs="Times New Roman"/>
          <w:b/>
        </w:rPr>
        <w:t xml:space="preserve"> ew. 13</w:t>
      </w:r>
      <w:r w:rsidR="001A7698" w:rsidRPr="00815CC2">
        <w:rPr>
          <w:rFonts w:ascii="Times New Roman" w:hAnsi="Times New Roman" w:cs="Times New Roman"/>
          <w:b/>
        </w:rPr>
        <w:t>/2021/WD/DEKiD</w:t>
      </w:r>
    </w:p>
    <w:p w:rsidR="001A7698" w:rsidRPr="00054C92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698" w:rsidRPr="00AA415F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1A7698" w:rsidRPr="00AA415F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1A7698" w:rsidRPr="00AA415F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1A7698" w:rsidRPr="00054C92" w:rsidRDefault="001A7698" w:rsidP="001A7698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1057, z późn. zm.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1A7698" w:rsidRPr="00054C92" w:rsidRDefault="001A7698" w:rsidP="001A7698">
      <w:pPr>
        <w:pStyle w:val="Akapitzlist"/>
        <w:numPr>
          <w:ilvl w:val="0"/>
          <w:numId w:val="15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i związków wyznaniowych oraz 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1A7698" w:rsidRPr="00054C92" w:rsidRDefault="001A7698" w:rsidP="001A7698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2020 r. poz. 1133),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działają w celu osiągniecia zysku oraz przeznaczają całość dochodu na realizację celów statutowych oraz nie przeznaczają zysku do podziału między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1A7698" w:rsidRPr="00054C92" w:rsidRDefault="001A7698" w:rsidP="001A7698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1A7698" w:rsidRPr="003B3E14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tuacji epidemicznej związanej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rozprzestrzenianiem się choroby COVID-19 oraz wynikającymi z tego faktu ograniczeniami, realizacja działań opisanych w ramach oferty zgłoszonej do udziału w Ot</w:t>
      </w:r>
      <w:r w:rsidR="000A70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wartym Konkursie ofert nr ew. 13</w:t>
      </w:r>
      <w:bookmarkStart w:id="0" w:name="_GoBack"/>
      <w:bookmarkEnd w:id="0"/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/2021/WD/DEKiD musi uwzględniać spełnienie wszelkich aktualnych wymagań związanych z bieżącą sytuacją epidemiczną, zgodnie z obowiązującymi i systematycznie aktualizowanymi przepisami o ograniczeniach, nakazach i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akazach określonych w związku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komputerowo, według wzoru stanowiącego załącznik nr 1 do rozporządzenia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</w:t>
      </w:r>
      <w:r w:rsidR="004814DB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wozdań z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2018 r.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>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wpisać wszystkie działania, które zaplanowane zostały do realizacji.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zadania musi być czytelny i logiczny.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after="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zadania oferent zobowiązany jest przeznaczyć środki 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inansowe w 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dotacji, które mogą pochodzić z: </w:t>
      </w:r>
    </w:p>
    <w:p w:rsidR="001A7698" w:rsidRPr="00054C92" w:rsidRDefault="001A7698" w:rsidP="001A7698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:rsidR="001A7698" w:rsidRPr="00054C92" w:rsidRDefault="001A7698" w:rsidP="001A7698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:rsidR="001A7698" w:rsidRPr="00054C92" w:rsidRDefault="001A7698" w:rsidP="001A7698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:rsidR="001A7698" w:rsidRPr="00054C92" w:rsidRDefault="001A7698" w:rsidP="001A7698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:rsidR="001A7698" w:rsidRPr="00054C92" w:rsidRDefault="001A7698" w:rsidP="001A7698">
      <w:pPr>
        <w:pStyle w:val="Akapitzlist"/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 wkładu własnego finansowego, środków finansowych z innych źródeł publicznych, pozostałych środków finansowych należy wykazać w pkt. 3.1 tabeli V.B. oferty „wkład własny finansowy”. Poszczególne wartości ww. środków należy wykazać w części VI. 3 (Inne informacje).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 planowanej kwoty dotacji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(łącznie osobowy i rzeczowy)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części VI. 3 (Inne informacje) należy wskazać szacunkową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wkładu niefinansowego. Jeżeli obejmuje on zarówno wkład osobowy, jak i rzeczowy należy wskazać ich szacunkową wartość.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wkładu finansowego, o którym mowa w części 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i wkładu własnego niefinansowego powod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ować będzie odrzucenie oferty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przyczyn formalnych.</w:t>
      </w:r>
    </w:p>
    <w:p w:rsidR="001A7698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:rsidR="001A7698" w:rsidRPr="00253469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469">
        <w:rPr>
          <w:rFonts w:ascii="Times New Roman" w:hAnsi="Times New Roman" w:cs="Times New Roman"/>
          <w:sz w:val="24"/>
          <w:szCs w:val="24"/>
        </w:rPr>
        <w:t>Oferent jest zobowiązany w części VI. Oferty „Inne informacje” do wskazania warunków słu</w:t>
      </w:r>
      <w:r w:rsidR="004814DB">
        <w:rPr>
          <w:rFonts w:ascii="Times New Roman" w:hAnsi="Times New Roman" w:cs="Times New Roman"/>
          <w:sz w:val="24"/>
          <w:szCs w:val="24"/>
        </w:rPr>
        <w:t xml:space="preserve">żących zapewnieniu dostępności </w:t>
      </w:r>
      <w:r w:rsidRPr="00253469">
        <w:rPr>
          <w:rFonts w:ascii="Times New Roman" w:hAnsi="Times New Roman" w:cs="Times New Roman"/>
          <w:sz w:val="24"/>
          <w:szCs w:val="24"/>
        </w:rPr>
        <w:t xml:space="preserve">osobom ze szczególnymi potrzebami w zakresie realizowanego zadania publicznego z uwzględnieniem postanowień ustawy z dnia 19 lipca 2019 r. </w:t>
      </w:r>
      <w:r w:rsidRPr="00253469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 w:rsidRPr="00253469">
        <w:rPr>
          <w:rFonts w:ascii="Times New Roman" w:hAnsi="Times New Roman" w:cs="Times New Roman"/>
          <w:sz w:val="24"/>
          <w:szCs w:val="24"/>
        </w:rPr>
        <w:t xml:space="preserve"> (Dz. U. z 2020 r. poz. 1062);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realizacji zadań publicznych związanych z wykorzystaniem broni i amunicji muszą zawierać szczegółowe informacje na temat planowanej liczby i rodzaju wykonywanych strzelań wraz z podaniem liczby i rodzaju amunicji wykorzystywanej podczas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przedmiotowych strzeleń, liczby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kiedy oferent planuje zlecić określoną część zadania innemu podmiotowi, zobowiązany jest do wskazania w harmonogramie (część III.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oferty) zakresu działania realizowanego przez podmiot niebędący stroną umowy. Jeżeli oferent nie planuje powierzyć realizacji poszczególnego działania podmiotowi niebędącemu stroną umowy należy wpisać </w:t>
      </w:r>
      <w:r w:rsidRPr="00D64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rubryce „Zakres działania realizowany przez podmiot niebędący stroną umowy”.</w:t>
      </w:r>
    </w:p>
    <w:p w:rsidR="001A7698" w:rsidRPr="001D4E36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1A7698" w:rsidRPr="007267F5" w:rsidRDefault="001A7698" w:rsidP="001A7698">
      <w:pPr>
        <w:pStyle w:val="Akapitzlist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maksymalnie dwóch ofert przez tego samego oferenta.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>„Otwarty Konkurs Ofert Nr ew. ...”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</w:t>
      </w:r>
      <w:r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1A7698" w:rsidRPr="00054C92" w:rsidRDefault="001A7698" w:rsidP="001A7698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Edukacji, Kultury i Dziedzictwa MON</w:t>
      </w:r>
    </w:p>
    <w:p w:rsidR="001A7698" w:rsidRPr="00054C92" w:rsidRDefault="001A7698" w:rsidP="001A7698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1A7698" w:rsidRPr="00054C92" w:rsidRDefault="001A7698" w:rsidP="001A7698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1A7698" w:rsidRPr="00054C92" w:rsidRDefault="001A7698" w:rsidP="001A7698">
      <w:pPr>
        <w:numPr>
          <w:ilvl w:val="0"/>
          <w:numId w:val="1"/>
        </w:numPr>
        <w:spacing w:before="120" w:after="0" w:line="276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1A7698" w:rsidRPr="00054C92" w:rsidRDefault="001A7698" w:rsidP="001A7698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:rsidR="001A7698" w:rsidRPr="00054C92" w:rsidRDefault="001A7698" w:rsidP="001A7698">
      <w:pPr>
        <w:pStyle w:val="Akapitzlist"/>
        <w:numPr>
          <w:ilvl w:val="0"/>
          <w:numId w:val="31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:rsidR="001A7698" w:rsidRPr="00054C92" w:rsidRDefault="001A7698" w:rsidP="001A7698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ewidencji,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wykonania zadania publicznego (cz. VI. „Inne informacje” oferty),</w:t>
      </w:r>
    </w:p>
    <w:p w:rsidR="001A7698" w:rsidRPr="00253469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stosownej treści oświadczeń w cz. VII oferty,</w:t>
      </w:r>
    </w:p>
    <w:p w:rsidR="001A7698" w:rsidRPr="00253469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53469">
        <w:rPr>
          <w:rFonts w:ascii="Times New Roman" w:hAnsi="Times New Roman" w:cs="Times New Roman"/>
          <w:sz w:val="24"/>
          <w:szCs w:val="24"/>
        </w:rPr>
        <w:lastRenderedPageBreak/>
        <w:t>brak wskazania warunków służących zapewnieniu dostępności osobom ze szczególnymi potrzebami;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:rsidR="001A7698" w:rsidRPr="00054C92" w:rsidRDefault="001A7698" w:rsidP="001A7698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E21F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1A7698" w:rsidRPr="002F366D" w:rsidRDefault="001A7698" w:rsidP="001A7698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Oferenci, u których stwierdzono w złożonych ofertach uchybienia formalne w terminie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7 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 od dnia opublikowania wykazu na stronie internetowej mają prawo do usunięcia stwierdzonych uchybień (decyduje data wpływu usuniętych braków do kancelarii ogólnej MON, zgodnie z pkt III. ppkt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Niezłożenie stosownych uzupełnień lub wyjaśnień dotyczących uchybień formalnych we wskazanym terminie, a także złożenie uzupełnień lub wyjaśnień z nieusuniętymi uchybieniami formalnymi, powodować będzie odrzucenie oferty z przyczyn formalnych, co spowoduje, iż oferta nie będzie podlegała ocenie merytorycznej.</w:t>
      </w:r>
    </w:p>
    <w:p w:rsidR="001A7698" w:rsidRDefault="001A7698" w:rsidP="001A7698">
      <w:p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złożył oferty w liczbie przekraczającej dopuszczalny limit, jest zobowiązany wskazać, którą ofertę/oferty wycofuje z konkursu.</w:t>
      </w:r>
    </w:p>
    <w:p w:rsidR="001A7698" w:rsidRPr="00054C92" w:rsidRDefault="001A7698" w:rsidP="001A7698">
      <w:pPr>
        <w:pStyle w:val="Akapitzlist"/>
        <w:numPr>
          <w:ilvl w:val="0"/>
          <w:numId w:val="31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:rsidR="001A7698" w:rsidRPr="00054C92" w:rsidRDefault="001A7698" w:rsidP="001A7698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zgodności treści oferty ze wskazanym w ogłoszeniu otwartego konkursu ofert rodzajem zadania,</w:t>
      </w:r>
    </w:p>
    <w:p w:rsidR="001A7698" w:rsidRPr="00054C92" w:rsidRDefault="001A7698" w:rsidP="001A7698">
      <w:pPr>
        <w:numPr>
          <w:ilvl w:val="0"/>
          <w:numId w:val="3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ogłoszeniu otwartego konkursu ofert,</w:t>
      </w:r>
    </w:p>
    <w:p w:rsidR="001A7698" w:rsidRPr="00054C92" w:rsidRDefault="001A7698" w:rsidP="001A7698">
      <w:pPr>
        <w:numPr>
          <w:ilvl w:val="0"/>
          <w:numId w:val="33"/>
        </w:numPr>
        <w:spacing w:after="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brak obowiązkowego wkładu finansowego podmiotu, 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którym mowa w części III.5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w wysokości minimum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10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% planowanej kwoty dotacji,</w:t>
      </w:r>
    </w:p>
    <w:p w:rsidR="001A7698" w:rsidRDefault="001A7698" w:rsidP="001A7698">
      <w:pPr>
        <w:numPr>
          <w:ilvl w:val="0"/>
          <w:numId w:val="33"/>
        </w:numPr>
        <w:spacing w:after="120" w:line="276" w:lineRule="auto"/>
        <w:ind w:left="141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 wkładu własnego niefinansowego (osobowego i rzeczowego), w wysokości minim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 10% planowanej kwoty dotacji.</w:t>
      </w:r>
    </w:p>
    <w:p w:rsidR="001A7698" w:rsidRPr="00054C92" w:rsidRDefault="001A7698" w:rsidP="001A7698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:rsidR="001A7698" w:rsidRPr="00054C92" w:rsidRDefault="001A7698" w:rsidP="001A7698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 </w:t>
      </w:r>
      <w:hyperlink r:id="rId9" w:history="1">
        <w:r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A7698" w:rsidRPr="00FD4FA1" w:rsidRDefault="001A7698" w:rsidP="001A7698">
      <w:pPr>
        <w:pStyle w:val="Akapitzlist"/>
        <w:numPr>
          <w:ilvl w:val="0"/>
          <w:numId w:val="4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FD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hAnsi="Times New Roman" w:cs="Times New Roman"/>
          <w:sz w:val="24"/>
          <w:szCs w:val="24"/>
        </w:rPr>
        <w:t>dokonywana jest przez nieetatową Komisję 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przewidywane efekty realizacji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 możliwość do osiągnięcia dzięki realizacji zaplanowanych działań;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 adekwatność proponowanych stawek jednostkowych w odniesieniu do celów, rezultatów i zakresu rzeczowego zadania, które obejmuje oferta;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finansowego i niefinansowego wkładu oferenta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przedsięwzięcia oraz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posiadane zasoby lokalowe i sprzętowe;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jest wybranie najlepszych ofert. Posiedzenia Komisji odbywają się w siedzibi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Ministerstwa Obrony Narod</w:t>
      </w:r>
      <w:r w:rsidR="003F0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owej, w sytuacji epidemicznej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online.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:rsidR="001A7698" w:rsidRPr="00E9602E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5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zawierające listę podmiotów i zadań publicznych, na realizację których przyznane zostały środki z dotacji oraz ich wysokość, ogłaszane są </w:t>
      </w:r>
      <w:r w:rsidRPr="00E9602E">
        <w:rPr>
          <w:rFonts w:ascii="Times New Roman" w:hAnsi="Times New Roman" w:cs="Times New Roman"/>
          <w:sz w:val="24"/>
          <w:szCs w:val="24"/>
        </w:rPr>
        <w:t>w Biuletynie Informacji Publicznej Ministerstwa Obrony Narodowej, link: </w:t>
      </w:r>
      <w:hyperlink r:id="rId10" w:history="1">
        <w:r w:rsidRPr="00E9602E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Pr="00E9602E"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r w:rsidRPr="00E9602E">
        <w:rPr>
          <w:rFonts w:ascii="Times New Roman" w:eastAsia="Times New Roman" w:hAnsi="Times New Roman" w:cs="Times New Roman"/>
          <w:sz w:val="24"/>
          <w:szCs w:val="24"/>
          <w:lang w:eastAsia="pl-PL"/>
        </w:rPr>
        <w:t>a także w siedzibie organu.</w:t>
      </w:r>
    </w:p>
    <w:p w:rsidR="001A7698" w:rsidRPr="00FD4FA1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Podmioty, które otrzymały dotację zobowiązane są do skontaktowania się z DEKiD MON drogą elektroniczną: </w:t>
      </w:r>
      <w:hyperlink r:id="rId11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</w:t>
      </w:r>
      <w:r w:rsidR="00481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 stosownej umowy oraz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aktualizacji niezbędnych dokumentów, w terminie 30 dni od dnia ogłoszenia wyników otwartego konkursu ofert. Brak 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ntaktu ze strony oferenta </w:t>
      </w:r>
      <w:r w:rsidR="00481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zostanie uznany za rezygnację z podpisania umowy. </w:t>
      </w:r>
    </w:p>
    <w:p w:rsidR="001A7698" w:rsidRPr="00253485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 zastrzega sobie prawo anulowania otwartego konkursu ofert w związku z sytuacja epidemiologiczną, która uniemożliwi jego przeprowadzenie w terminach określonych w ogłoszeniu.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1A7698" w:rsidRPr="00054C92" w:rsidRDefault="001A7698" w:rsidP="001A7698">
      <w:pPr>
        <w:pStyle w:val="Akapitzlist"/>
        <w:numPr>
          <w:ilvl w:val="3"/>
          <w:numId w:val="5"/>
        </w:numPr>
        <w:suppressAutoHyphens/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1A7698" w:rsidRPr="00054C92" w:rsidRDefault="001A7698" w:rsidP="001A7698">
      <w:pPr>
        <w:numPr>
          <w:ilvl w:val="0"/>
          <w:numId w:val="5"/>
        </w:numPr>
        <w:spacing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1A7698" w:rsidRPr="00054C92" w:rsidRDefault="001A7698" w:rsidP="001A7698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1A7698" w:rsidRPr="00054C92" w:rsidRDefault="001A7698" w:rsidP="001A7698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1A7698" w:rsidRPr="00054C92" w:rsidRDefault="001A7698" w:rsidP="001A7698">
      <w:pPr>
        <w:numPr>
          <w:ilvl w:val="0"/>
          <w:numId w:val="17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:rsidR="001A7698" w:rsidRPr="00054C92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:rsidR="001A7698" w:rsidRPr="00054C92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1A7698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uzasadnionych przypadkach, w tym związanych z obostrzeniami epidemiologicznymi,  umowa (trzy egzemplarze) może zostać przesłana do zleceniobiorcy za pośrednictwem operatora pocztowego. Zleceniobiorca zobowiązany jest podpisać wszystkie egzemplarze umowy, dołączyć wymagane załączniki i odesłać dwa egz. umowy do zleceniodawcy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A7698" w:rsidRPr="00054C92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droga elektroniczną;</w:t>
      </w:r>
    </w:p>
    <w:p w:rsidR="001A7698" w:rsidRPr="00054C92" w:rsidRDefault="001A7698" w:rsidP="001A7698">
      <w:pPr>
        <w:pStyle w:val="Akapitzlist"/>
        <w:numPr>
          <w:ilvl w:val="4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sąd administracyjny oddalił skargę na decyzję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postepowanie egzekucyjne przeciwko oferentowi, co mogłoby spowodować zajęcie dotacji na poczet zobowiązań oferenta;</w:t>
      </w:r>
    </w:p>
    <w:p w:rsidR="001A7698" w:rsidRDefault="001A7698" w:rsidP="001A7698">
      <w:pPr>
        <w:pStyle w:val="Akapitzlist"/>
        <w:numPr>
          <w:ilvl w:val="4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="004814D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2020 r. poz. 2176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 zastrzeżeniem wynikającym z art. 5 ust 2 ww. ustawy.</w:t>
      </w:r>
    </w:p>
    <w:p w:rsidR="001A7698" w:rsidRPr="00054C92" w:rsidRDefault="001A7698" w:rsidP="001A7698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umowy: 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 wymaga zmiany umowy dokonanej w formie pisemnej;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pkt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niniejszego Regulaminu, bez konieczności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pisemnej; stosowna informacja o wniesieniu dodatkowego wkładu do zadania musi zostać zawarta w sprawozdaniu z realizacji zadania publicznego;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zostać dokonana wyłącznie w terminie realizacji zadania, po złożeniu stosownego wniosku. Wniosek o zmianę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:rsidR="001A7698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1A7698" w:rsidRPr="003C50C2" w:rsidRDefault="001A7698" w:rsidP="001A7698">
      <w:pPr>
        <w:pStyle w:val="Akapitzlist"/>
        <w:numPr>
          <w:ilvl w:val="3"/>
          <w:numId w:val="6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koronawirusa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zgodnie z 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:rsidR="001A7698" w:rsidRPr="00253469" w:rsidRDefault="001A7698" w:rsidP="001A7698">
      <w:pPr>
        <w:pStyle w:val="Akapitzlist"/>
        <w:numPr>
          <w:ilvl w:val="3"/>
          <w:numId w:val="6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469">
        <w:rPr>
          <w:rFonts w:ascii="Times New Roman" w:hAnsi="Times New Roman" w:cs="Times New Roman"/>
          <w:sz w:val="24"/>
          <w:szCs w:val="24"/>
        </w:rPr>
        <w:t>W trakcie realizacji zadania publicznego, które zostało s</w:t>
      </w:r>
      <w:r w:rsidR="004814DB">
        <w:rPr>
          <w:rFonts w:ascii="Times New Roman" w:hAnsi="Times New Roman" w:cs="Times New Roman"/>
          <w:sz w:val="24"/>
          <w:szCs w:val="24"/>
        </w:rPr>
        <w:t>finansowane lub dofinansowane z </w:t>
      </w:r>
      <w:r w:rsidRPr="00253469">
        <w:rPr>
          <w:rFonts w:ascii="Times New Roman" w:hAnsi="Times New Roman" w:cs="Times New Roman"/>
          <w:sz w:val="24"/>
          <w:szCs w:val="24"/>
        </w:rPr>
        <w:t>budżetu państwa w wysokości powyżej 50.</w:t>
      </w:r>
      <w:r w:rsidR="004814DB">
        <w:rPr>
          <w:rFonts w:ascii="Times New Roman" w:hAnsi="Times New Roman" w:cs="Times New Roman"/>
          <w:sz w:val="24"/>
          <w:szCs w:val="24"/>
        </w:rPr>
        <w:t xml:space="preserve">000,00 zł, realizujący zadanie </w:t>
      </w:r>
      <w:r w:rsidRPr="00253469">
        <w:rPr>
          <w:rFonts w:ascii="Times New Roman" w:hAnsi="Times New Roman" w:cs="Times New Roman"/>
          <w:sz w:val="24"/>
          <w:szCs w:val="24"/>
        </w:rPr>
        <w:t>jest zobowiązany do wykonania obowiązku, o którym mowa w art. 35a usta</w:t>
      </w:r>
      <w:r>
        <w:rPr>
          <w:rFonts w:ascii="Times New Roman" w:hAnsi="Times New Roman" w:cs="Times New Roman"/>
          <w:sz w:val="24"/>
          <w:szCs w:val="24"/>
        </w:rPr>
        <w:t>wy z dnia 27 sierpnia 2009 r. o </w:t>
      </w:r>
      <w:r w:rsidRPr="00253469">
        <w:rPr>
          <w:rFonts w:ascii="Times New Roman" w:hAnsi="Times New Roman" w:cs="Times New Roman"/>
          <w:sz w:val="24"/>
          <w:szCs w:val="24"/>
        </w:rPr>
        <w:t>finansach publicznych (Dz.U. z 2021 poz. 305), tj. do podjęcia działań informacyjnych dotyczących udzielonego finansowania lub dof</w:t>
      </w:r>
      <w:r>
        <w:rPr>
          <w:rFonts w:ascii="Times New Roman" w:hAnsi="Times New Roman" w:cs="Times New Roman"/>
          <w:sz w:val="24"/>
          <w:szCs w:val="24"/>
        </w:rPr>
        <w:t xml:space="preserve">inansowania z budżetu państwa, </w:t>
      </w:r>
      <w:r w:rsidRPr="00253469">
        <w:rPr>
          <w:rFonts w:ascii="Times New Roman" w:hAnsi="Times New Roman" w:cs="Times New Roman"/>
          <w:sz w:val="24"/>
          <w:szCs w:val="24"/>
        </w:rPr>
        <w:t xml:space="preserve">o których mowa w § 2 pkt 2 i 3 </w:t>
      </w:r>
      <w:r w:rsidRPr="00253469">
        <w:rPr>
          <w:rFonts w:ascii="Times New Roman" w:hAnsi="Times New Roman" w:cs="Times New Roman"/>
          <w:color w:val="000000"/>
          <w:sz w:val="24"/>
          <w:szCs w:val="24"/>
        </w:rPr>
        <w:t>rozporządzenia Rady Ministrów z dnia 7 maja 2021 r.</w:t>
      </w:r>
      <w:r w:rsidRPr="00253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sprawie określenia działań informacyjnych podejmowanych przez podmioty realizujące zadania finansowane i dofinansowane z budżetu państwa lub z państwowych funduszy celowych</w:t>
      </w:r>
      <w:r w:rsidRPr="00253469">
        <w:rPr>
          <w:rFonts w:ascii="Times New Roman" w:hAnsi="Times New Roman" w:cs="Times New Roman"/>
          <w:color w:val="000000"/>
          <w:sz w:val="24"/>
          <w:szCs w:val="24"/>
        </w:rPr>
        <w:t xml:space="preserve"> (Dz. U. poz. 953), w sposób określony w tym rozporządzeniu.</w:t>
      </w:r>
    </w:p>
    <w:p w:rsidR="001A7698" w:rsidRPr="00253469" w:rsidRDefault="001A7698" w:rsidP="004814DB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469">
        <w:rPr>
          <w:rFonts w:ascii="Times New Roman" w:hAnsi="Times New Roman" w:cs="Times New Roman"/>
          <w:sz w:val="24"/>
          <w:szCs w:val="24"/>
        </w:rPr>
        <w:lastRenderedPageBreak/>
        <w:t xml:space="preserve">Oferent realizując zadanie publiczne, jest zobowiązany do zapewnienia dostępności osobom ze szczególnymi potrzebami w zakresie określonym w zawartej umowie, o czym mowa w art. 5 ustawy z dnia 19 lipca 2019 r. </w:t>
      </w:r>
      <w:r w:rsidRPr="00253469">
        <w:rPr>
          <w:rFonts w:ascii="Times New Roman" w:hAnsi="Times New Roman" w:cs="Times New Roman"/>
          <w:i/>
          <w:iCs/>
          <w:sz w:val="24"/>
          <w:szCs w:val="24"/>
        </w:rPr>
        <w:t>o za</w:t>
      </w:r>
      <w:r w:rsidR="004814DB">
        <w:rPr>
          <w:rFonts w:ascii="Times New Roman" w:hAnsi="Times New Roman" w:cs="Times New Roman"/>
          <w:i/>
          <w:iCs/>
          <w:sz w:val="24"/>
          <w:szCs w:val="24"/>
        </w:rPr>
        <w:t>pewnieniu dostępności osobom ze </w:t>
      </w:r>
      <w:r w:rsidRPr="00253469">
        <w:rPr>
          <w:rFonts w:ascii="Times New Roman" w:hAnsi="Times New Roman" w:cs="Times New Roman"/>
          <w:i/>
          <w:iCs/>
          <w:sz w:val="24"/>
          <w:szCs w:val="24"/>
        </w:rPr>
        <w:t>szczególnymi potrzebami</w:t>
      </w:r>
      <w:r w:rsidRPr="00253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698" w:rsidRPr="00054C92" w:rsidRDefault="001A7698" w:rsidP="001A7698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realizacji zadania publicznego, nie później jednak niż do dnia 31 grudnia danego roku; 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przyznane w ramach dotacji mają "znaczony" charakter i mogą być wykorzystane wyłącznie po otrzymaniu przez zleceniobiorcę dotacji na rachunek bankowy, tj. dotacja nie może być przeznaczona np. na zwrot wydatków wcześniej poniesionych przez zleceniobiorcę;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:rsidR="001A7698" w:rsidRPr="00054C92" w:rsidRDefault="001A7698" w:rsidP="001A7698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1A7698" w:rsidRPr="00054C92" w:rsidRDefault="001A7698" w:rsidP="001A7698">
      <w:pPr>
        <w:pStyle w:val="Akapitzlist"/>
        <w:numPr>
          <w:ilvl w:val="4"/>
          <w:numId w:val="37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:rsidR="001A7698" w:rsidRPr="00054C92" w:rsidRDefault="001A7698" w:rsidP="001A7698">
      <w:pPr>
        <w:pStyle w:val="Akapitzlist"/>
        <w:numPr>
          <w:ilvl w:val="4"/>
          <w:numId w:val="37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strzelnice, na których realizowane są zadania publiczne muszą posiadać wymagane prawem zezwolenia (decyzje) umożliwiające jej funkcjonowanie;</w:t>
      </w:r>
    </w:p>
    <w:p w:rsidR="001A7698" w:rsidRPr="00054C92" w:rsidRDefault="001A7698" w:rsidP="001A7698">
      <w:pPr>
        <w:pStyle w:val="Akapitzlist"/>
        <w:numPr>
          <w:ilvl w:val="4"/>
          <w:numId w:val="37"/>
        </w:numPr>
        <w:suppressAutoHyphens/>
        <w:autoSpaceDN w:val="0"/>
        <w:spacing w:after="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zamieszcza się następujące dane:</w:t>
      </w:r>
    </w:p>
    <w:p w:rsidR="001A7698" w:rsidRPr="00054C92" w:rsidRDefault="001A7698" w:rsidP="001A7698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1A7698" w:rsidRPr="00054C92" w:rsidRDefault="001A7698" w:rsidP="001A7698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pozwolenia na broń oraz nazwę organu, który je wydał, albo adres korzystającego ze strzelnicy, jeśli nie posiada on pozwolenia na broń,</w:t>
      </w:r>
    </w:p>
    <w:p w:rsidR="001A7698" w:rsidRPr="00054C92" w:rsidRDefault="001A7698" w:rsidP="001A7698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1A7698" w:rsidRPr="00054C92" w:rsidRDefault="001A7698" w:rsidP="001A7698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426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:rsidR="001A7698" w:rsidRPr="00054C92" w:rsidRDefault="001A7698" w:rsidP="001A7698">
      <w:pPr>
        <w:numPr>
          <w:ilvl w:val="0"/>
          <w:numId w:val="30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sięgowych spełniających warunki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 2021 r. poz. 217, z późn. zm.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 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2021 r. poz. 685, z późn. zm.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wytycznymi określonymi w niniejszym Regulaminie,</w:t>
      </w:r>
    </w:p>
    <w:p w:rsidR="001A7698" w:rsidRPr="00054C92" w:rsidRDefault="001A7698" w:rsidP="001A7698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:rsidR="001A7698" w:rsidRPr="00054C92" w:rsidRDefault="001A7698" w:rsidP="001A7698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realizacją zadania publicznego;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1406, z późn. zm.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  <w:r w:rsidRPr="002F20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:rsidR="001A7698" w:rsidRPr="00054C92" w:rsidRDefault="001A7698" w:rsidP="001A7698">
      <w:pPr>
        <w:numPr>
          <w:ilvl w:val="1"/>
          <w:numId w:val="2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:rsidR="001A7698" w:rsidRPr="00054C92" w:rsidRDefault="001A7698" w:rsidP="001A7698">
      <w:pPr>
        <w:numPr>
          <w:ilvl w:val="1"/>
          <w:numId w:val="2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z 27 sierpnia 2009 r. o finansach publicznych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2021 r. poz. 305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sposób umożliwiający identyfikację poszczególnych operacji księgowych;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chyba, że umowa zezwala na wykonanie określonej części zadania przez taki podmiot; intencja powierzenia realizacji części zadania innemu podmiotowi (podmiotom) musi wynikać z oferty, co też stanowić będzie podstawę do udzielenia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stosownego zezwolenia na wykonanie określonej części zadania przez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:rsidR="001A7698" w:rsidRPr="00054C92" w:rsidRDefault="001A7698" w:rsidP="001A7698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1A7698" w:rsidRPr="00054C92" w:rsidRDefault="001A7698" w:rsidP="001A7698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1A7698" w:rsidRPr="00054C92" w:rsidRDefault="001A7698" w:rsidP="001A7698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:rsidR="001A7698" w:rsidRPr="00054C92" w:rsidRDefault="001A7698" w:rsidP="001A7698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</w:t>
      </w:r>
      <w:r w:rsidR="004814DB">
        <w:rPr>
          <w:rFonts w:ascii="Times New Roman" w:eastAsia="Times New Roman" w:hAnsi="Times New Roman" w:cs="Times New Roman"/>
          <w:sz w:val="24"/>
          <w:szCs w:val="24"/>
          <w:lang w:eastAsia="pl-PL"/>
        </w:rPr>
        <w:t>żnioną (data i czytelny podpis).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 w:line="276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wkładu osobowego (praca wolontariuszy, praca społeczna członków zleceniobiorcy) winno być udokumentowane w następujący sposób: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wolontariusza – poprzez zawarte na piśmie porozumienie (umowę) wolontariacką,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członka zleceniobiorcy – poprzez pisemne oświadczenie władz statutowych zleceniobiorcy;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:rsidR="001A7698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rzeczowy może zostać wniesiony w postaci:</w:t>
      </w:r>
    </w:p>
    <w:p w:rsidR="001A7698" w:rsidRPr="00054C92" w:rsidRDefault="001A7698" w:rsidP="001A7698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:rsidR="001A7698" w:rsidRPr="00054C92" w:rsidRDefault="001A7698" w:rsidP="001A7698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:rsidR="001A7698" w:rsidRPr="00054C92" w:rsidRDefault="001A7698" w:rsidP="001A7698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udostępnionych zleceniobiorcy pomieszczeń i obiektów - wyliczonych na podstawie czynszów, opłat, itp.;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może wyrazić zgodę na przejazd w podróży służbowej samochodem prywatnym; w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</w:t>
      </w:r>
      <w:r w:rsidRPr="00C12D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ustalenia oraz sposobu dokonywania zwrotu kosztów używania do celów służbowych samochodów osobowych, motocykli i motorowerów niebędących własnością pracodawcy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27, poz. 271, z późn. zm.), tj.:</w:t>
      </w:r>
    </w:p>
    <w:p w:rsidR="001A7698" w:rsidRPr="00054C92" w:rsidRDefault="001A7698" w:rsidP="001A7698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:rsidR="001A7698" w:rsidRPr="00054C92" w:rsidRDefault="001A7698" w:rsidP="001A7698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samochodu o poj. pow. 900 cm3 - 0,8358 zł/km,</w:t>
      </w:r>
    </w:p>
    <w:p w:rsidR="001A7698" w:rsidRPr="00054C92" w:rsidRDefault="001A7698" w:rsidP="001A7698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:rsidR="001A7698" w:rsidRPr="00054C92" w:rsidRDefault="001A7698" w:rsidP="001A7698">
      <w:pPr>
        <w:pStyle w:val="Akapitzlist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:rsidR="001A7698" w:rsidRPr="00054C92" w:rsidRDefault="001A7698" w:rsidP="001A7698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:rsidR="001A7698" w:rsidRPr="00054C92" w:rsidRDefault="001A7698" w:rsidP="001A7698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:rsidR="001A7698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stawki za jeden kilometr przebiegu,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terminie; płatności dokonane poza terminem płatności wskazanym w umowie stanowią koszt niekwalifikowany zadania publicznego;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rzez zleceniodawcę założonych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rezultatów, działań oraz prawidłowości poniesionych kosztów.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Zadanie uznaje się za zrealizowane, jeżeli zlece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ierdza oświadczeniem zawartym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treści sprawozdania.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porcjonalnego zwrotu środków. O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zwrocie środków zadecyduje przeprowadzona analiza sprawozdania pod kątem:</w:t>
      </w:r>
    </w:p>
    <w:p w:rsidR="001A7698" w:rsidRPr="00054C92" w:rsidRDefault="001A7698" w:rsidP="001A7698">
      <w:pPr>
        <w:pStyle w:val="Akapitzlist"/>
        <w:numPr>
          <w:ilvl w:val="0"/>
          <w:numId w:val="23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:rsidR="001A7698" w:rsidRPr="00054C92" w:rsidRDefault="001A7698" w:rsidP="001A7698">
      <w:pPr>
        <w:pStyle w:val="Akapitzlist"/>
        <w:numPr>
          <w:ilvl w:val="0"/>
          <w:numId w:val="23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1A7698" w:rsidRPr="00054C92" w:rsidRDefault="001A7698" w:rsidP="001A7698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Edukacji, Kultury i Dziedzictwa MON</w:t>
      </w:r>
    </w:p>
    <w:p w:rsidR="001A7698" w:rsidRPr="00054C92" w:rsidRDefault="001A7698" w:rsidP="001A7698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związanych z wykorzystaniem broni i amunicji zleceniobiorca jest zobowiązany do przedstawienia na żądanie zleceniodawcy:</w:t>
      </w:r>
    </w:p>
    <w:p w:rsidR="001A7698" w:rsidRPr="00054C92" w:rsidRDefault="001A7698" w:rsidP="001A7698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1A7698" w:rsidRPr="00054C92" w:rsidRDefault="001A7698" w:rsidP="001A7698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(rodzajów) amunicji zużytej podczas strzelania (strzelań);</w:t>
      </w:r>
    </w:p>
    <w:p w:rsidR="001A7698" w:rsidRPr="00054C92" w:rsidRDefault="001A7698" w:rsidP="001A7698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na każde wezwanie komórki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organizacyjnej MON właściwej do prowadzenia monitoringu i ewaluacji efektywności działalności proobronnej. </w:t>
      </w:r>
    </w:p>
    <w:p w:rsidR="001A7698" w:rsidRDefault="001A7698" w:rsidP="004814DB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kopie dokumentów (np. listy strzeleń, wykaz uczestników) zwierające dane osobowe winny zostać poddane procesowi anonimizacji.</w:t>
      </w:r>
    </w:p>
    <w:p w:rsidR="001A7698" w:rsidRPr="003C50C2" w:rsidRDefault="001A7698" w:rsidP="004814DB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0C2">
        <w:rPr>
          <w:rFonts w:ascii="Times New Roman" w:hAnsi="Times New Roman" w:cs="Times New Roman"/>
          <w:color w:val="000000"/>
          <w:sz w:val="24"/>
          <w:szCs w:val="24"/>
        </w:rPr>
        <w:t xml:space="preserve">Zleceniobiorca zamieszcza w sprawozdaniu w części III. „Dodatkowe Informacje”, </w:t>
      </w:r>
      <w:r w:rsidRPr="003C50C2">
        <w:rPr>
          <w:rFonts w:ascii="Times New Roman" w:hAnsi="Times New Roman" w:cs="Times New Roman"/>
          <w:sz w:val="24"/>
          <w:szCs w:val="24"/>
        </w:rPr>
        <w:t>informacje o podjętych działaniach informacyjnych w trakcie realizacji zadania publicznego oraz o spełnieniu warunków służących zapewnieniu dostępności osobom ze szczególnymi potrzebami.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1A7698" w:rsidRPr="00054C92" w:rsidRDefault="001A7698" w:rsidP="001A7698">
      <w:pPr>
        <w:numPr>
          <w:ilvl w:val="0"/>
          <w:numId w:val="25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prawem przewidzianym terminie; 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upoważnienie do działania w imieniu 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sprawozdanie podpisuje się czytelnie (pełnym imieniem i nazwiskiem). 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A7698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1A7698" w:rsidRPr="00054C92" w:rsidRDefault="001A7698" w:rsidP="001A7698">
      <w:pPr>
        <w:pStyle w:val="Akapitzlist"/>
        <w:numPr>
          <w:ilvl w:val="3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w wydatkowaniu dotacji może być zwrot części lub całości przyznanej dotacji. </w:t>
      </w:r>
    </w:p>
    <w:p w:rsidR="001A7698" w:rsidRPr="00054C92" w:rsidRDefault="001A7698" w:rsidP="001A7698">
      <w:pPr>
        <w:pStyle w:val="Akapitzlist"/>
        <w:numPr>
          <w:ilvl w:val="3"/>
          <w:numId w:val="30"/>
        </w:numPr>
        <w:spacing w:before="60" w:after="60" w:line="276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dotacja została pobrana w nadmiernej wysokości;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</w:t>
      </w:r>
      <w:r w:rsidRPr="003C5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3C50C2">
        <w:rPr>
          <w:rFonts w:ascii="Times New Roman" w:hAnsi="Times New Roman" w:cs="Times New Roman"/>
          <w:sz w:val="24"/>
          <w:szCs w:val="24"/>
        </w:rPr>
        <w:t>a także wykonania obowiązku do podjęcia działań informacyjnych dotyczących udzielonego finansowania lub dofinansowania</w:t>
      </w:r>
      <w:r>
        <w:rPr>
          <w:rFonts w:ascii="Arial" w:hAnsi="Arial" w:cs="Arial"/>
          <w:sz w:val="24"/>
          <w:szCs w:val="24"/>
        </w:rPr>
        <w:t>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może być prowadzona zarówno w trakcie, jak i po zakończeniu realizacji zadania publicznego. Prawo do kontroli prawidłowości realizacji zadania public</w:t>
      </w:r>
      <w:r w:rsidR="0048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znego wynika z art. 17 ustawy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i o wolontariacie.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w wyznaczonym terminie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do przedłożenia do wglądu oryginałów faktur i innych dowodów księgowych dotyczących wydatków poniesionych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twierdzenie podjętych działań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realizacji zadania.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nim wydatków, by organ, od którego środki te pochodzą, w oparciu o przedstawione i wiarygodne dokumenty, był w stanie powiązać każdy poniesiony wydatek z realizowanym w ramach zadania działaniem.</w:t>
      </w:r>
    </w:p>
    <w:p w:rsidR="001A7698" w:rsidRPr="004814DB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2018 r.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>poz. 2057).</w:t>
      </w:r>
    </w:p>
    <w:p w:rsidR="004814DB" w:rsidRPr="00054C92" w:rsidRDefault="004814DB" w:rsidP="004814DB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nadzorowanych. Osoba dokonująca oceny merytorycznej zadania publicznego przygotowuje notatkę, którą przesyła do dyrektora Departamentu Eduk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1A7698" w:rsidRPr="00054C92" w:rsidRDefault="001A7698" w:rsidP="001A7698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1A7698" w:rsidRPr="00054C92" w:rsidRDefault="001A7698" w:rsidP="001A7698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t>W zakresie związanym z realizacją zadania publicznego, w tym z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Zleceniobiorca(-cy) postępuje(-ją) zgodnie z postanowieniami rozporządzenia Parlamentu Europejskiego i Rady (UE) 2</w:t>
      </w:r>
      <w:r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</w:t>
      </w:r>
      <w:r>
        <w:rPr>
          <w:rFonts w:ascii="Times New Roman" w:eastAsia="Calibri" w:hAnsi="Times New Roman" w:cs="Times New Roman"/>
          <w:sz w:val="24"/>
          <w:szCs w:val="24"/>
        </w:rPr>
        <w:t>danych oraz uchylenia dyrektywy </w:t>
      </w:r>
      <w:r w:rsidRPr="00054C92">
        <w:rPr>
          <w:rFonts w:ascii="Times New Roman" w:eastAsia="Calibri" w:hAnsi="Times New Roman" w:cs="Times New Roman"/>
          <w:sz w:val="24"/>
          <w:szCs w:val="24"/>
        </w:rPr>
        <w:t>95/46/WE (ogólnego rozporządzenia o ochronie danych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</w:t>
      </w:r>
      <w:r w:rsidRPr="00F13727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str. 1</w:t>
      </w:r>
      <w:r w:rsidRPr="00054C92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:rsidR="001A7698" w:rsidRPr="00054C92" w:rsidRDefault="001A7698" w:rsidP="001A7698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p w:rsidR="001A7698" w:rsidRDefault="001A7698" w:rsidP="001A7698"/>
    <w:p w:rsidR="00FA0BD0" w:rsidRDefault="00FA0BD0"/>
    <w:sectPr w:rsidR="00FA0BD0" w:rsidSect="00491C72">
      <w:footerReference w:type="even" r:id="rId12"/>
      <w:footerReference w:type="default" r:id="rId13"/>
      <w:pgSz w:w="11906" w:h="16838"/>
      <w:pgMar w:top="96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98" w:rsidRDefault="001A7698" w:rsidP="001A7698">
      <w:pPr>
        <w:spacing w:after="0" w:line="240" w:lineRule="auto"/>
      </w:pPr>
      <w:r>
        <w:separator/>
      </w:r>
    </w:p>
  </w:endnote>
  <w:endnote w:type="continuationSeparator" w:id="0">
    <w:p w:rsidR="001A7698" w:rsidRDefault="001A7698" w:rsidP="001A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1A76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0A70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1A76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702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4BC1" w:rsidRDefault="000A70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98" w:rsidRDefault="001A7698" w:rsidP="001A7698">
      <w:pPr>
        <w:spacing w:after="0" w:line="240" w:lineRule="auto"/>
      </w:pPr>
      <w:r>
        <w:separator/>
      </w:r>
    </w:p>
  </w:footnote>
  <w:footnote w:type="continuationSeparator" w:id="0">
    <w:p w:rsidR="001A7698" w:rsidRDefault="001A7698" w:rsidP="001A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430598"/>
    <w:multiLevelType w:val="hybridMultilevel"/>
    <w:tmpl w:val="B148CD9E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4683E"/>
    <w:multiLevelType w:val="multilevel"/>
    <w:tmpl w:val="09A67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AD78E5"/>
    <w:multiLevelType w:val="hybridMultilevel"/>
    <w:tmpl w:val="3F7C02FE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5C06ED0"/>
    <w:multiLevelType w:val="multilevel"/>
    <w:tmpl w:val="CA8E32B2"/>
    <w:lvl w:ilvl="0">
      <w:start w:val="1"/>
      <w:numFmt w:val="lowerLetter"/>
      <w:lvlText w:val="%1)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0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7"/>
  </w:num>
  <w:num w:numId="2">
    <w:abstractNumId w:val="0"/>
  </w:num>
  <w:num w:numId="3">
    <w:abstractNumId w:val="16"/>
  </w:num>
  <w:num w:numId="4">
    <w:abstractNumId w:val="9"/>
  </w:num>
  <w:num w:numId="5">
    <w:abstractNumId w:val="36"/>
  </w:num>
  <w:num w:numId="6">
    <w:abstractNumId w:val="20"/>
  </w:num>
  <w:num w:numId="7">
    <w:abstractNumId w:val="33"/>
  </w:num>
  <w:num w:numId="8">
    <w:abstractNumId w:val="29"/>
  </w:num>
  <w:num w:numId="9">
    <w:abstractNumId w:val="25"/>
  </w:num>
  <w:num w:numId="10">
    <w:abstractNumId w:val="18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30"/>
  </w:num>
  <w:num w:numId="19">
    <w:abstractNumId w:val="8"/>
  </w:num>
  <w:num w:numId="20">
    <w:abstractNumId w:val="34"/>
  </w:num>
  <w:num w:numId="21">
    <w:abstractNumId w:val="35"/>
  </w:num>
  <w:num w:numId="22">
    <w:abstractNumId w:val="10"/>
  </w:num>
  <w:num w:numId="23">
    <w:abstractNumId w:val="7"/>
  </w:num>
  <w:num w:numId="24">
    <w:abstractNumId w:val="31"/>
  </w:num>
  <w:num w:numId="25">
    <w:abstractNumId w:val="2"/>
  </w:num>
  <w:num w:numId="26">
    <w:abstractNumId w:val="28"/>
  </w:num>
  <w:num w:numId="27">
    <w:abstractNumId w:val="1"/>
  </w:num>
  <w:num w:numId="28">
    <w:abstractNumId w:val="26"/>
  </w:num>
  <w:num w:numId="29">
    <w:abstractNumId w:val="15"/>
  </w:num>
  <w:num w:numId="30">
    <w:abstractNumId w:val="32"/>
  </w:num>
  <w:num w:numId="31">
    <w:abstractNumId w:val="24"/>
  </w:num>
  <w:num w:numId="32">
    <w:abstractNumId w:val="21"/>
  </w:num>
  <w:num w:numId="33">
    <w:abstractNumId w:val="22"/>
  </w:num>
  <w:num w:numId="34">
    <w:abstractNumId w:val="23"/>
  </w:num>
  <w:num w:numId="35">
    <w:abstractNumId w:val="17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8"/>
    <w:rsid w:val="000A7020"/>
    <w:rsid w:val="001A7698"/>
    <w:rsid w:val="003F02BB"/>
    <w:rsid w:val="004814DB"/>
    <w:rsid w:val="0076102F"/>
    <w:rsid w:val="00815CC2"/>
    <w:rsid w:val="00DA647C"/>
    <w:rsid w:val="00F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FB5195"/>
  <w15:chartTrackingRefBased/>
  <w15:docId w15:val="{D402140A-F14D-417A-BB6E-A747726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98"/>
  </w:style>
  <w:style w:type="paragraph" w:styleId="Stopka">
    <w:name w:val="footer"/>
    <w:basedOn w:val="Normalny"/>
    <w:link w:val="StopkaZnak"/>
    <w:uiPriority w:val="99"/>
    <w:unhideWhenUsed/>
    <w:rsid w:val="001A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98"/>
  </w:style>
  <w:style w:type="character" w:styleId="Numerstrony">
    <w:name w:val="page number"/>
    <w:basedOn w:val="Domylnaczcionkaakapitu"/>
    <w:semiHidden/>
    <w:rsid w:val="001A7698"/>
  </w:style>
  <w:style w:type="paragraph" w:styleId="Akapitzlist">
    <w:name w:val="List Paragraph"/>
    <w:basedOn w:val="Normalny"/>
    <w:uiPriority w:val="34"/>
    <w:qFormat/>
    <w:rsid w:val="001A7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76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DEKiD@mon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84535C8-E112-41BB-99AE-D198F5EA7E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6667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7</cp:revision>
  <cp:lastPrinted>2021-08-18T14:25:00Z</cp:lastPrinted>
  <dcterms:created xsi:type="dcterms:W3CDTF">2021-08-10T15:18:00Z</dcterms:created>
  <dcterms:modified xsi:type="dcterms:W3CDTF">2021-08-24T12:26:00Z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b9e28355-d1f0-49fa-a781-1ea428aa7f89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