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1131E" w:rsidRDefault="00F2610E">
      <w:pPr>
        <w:tabs>
          <w:tab w:val="center" w:pos="1418"/>
        </w:tabs>
        <w:snapToGrid w:val="0"/>
        <w:ind w:right="15"/>
        <w:jc w:val="right"/>
        <w:rPr>
          <w:lang w:val="en-US"/>
        </w:rPr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  <w:lang w:val="en-US"/>
        </w:rPr>
        <w:t>Łódź, 14 października 202</w:t>
      </w:r>
      <w:bookmarkStart w:id="2" w:name="ezdDataPodpisu"/>
      <w:r>
        <w:rPr>
          <w:sz w:val="24"/>
          <w:szCs w:val="24"/>
          <w:lang w:val="en-US"/>
        </w:rPr>
        <w:t>2</w:t>
      </w:r>
      <w:bookmarkEnd w:id="2"/>
      <w:r>
        <w:rPr>
          <w:sz w:val="24"/>
          <w:szCs w:val="24"/>
          <w:lang w:val="en-US"/>
        </w:rPr>
        <w:t xml:space="preserve"> r.</w:t>
      </w:r>
    </w:p>
    <w:p w:rsidR="00A1131E" w:rsidRDefault="00F2610E">
      <w:pPr>
        <w:tabs>
          <w:tab w:val="center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bookmarkStart w:id="3" w:name="ezdSprawaZnak"/>
      <w:r>
        <w:rPr>
          <w:sz w:val="24"/>
          <w:szCs w:val="24"/>
          <w:lang w:val="en-US"/>
        </w:rPr>
        <w:t>RPS-I.431.20.2022</w:t>
      </w:r>
      <w:bookmarkEnd w:id="3"/>
    </w:p>
    <w:p w:rsidR="00A1131E" w:rsidRDefault="00A1131E">
      <w:pPr>
        <w:spacing w:line="480" w:lineRule="auto"/>
        <w:rPr>
          <w:color w:val="000000"/>
          <w:sz w:val="24"/>
          <w:szCs w:val="24"/>
          <w:lang w:val="en-US"/>
        </w:rPr>
      </w:pPr>
    </w:p>
    <w:p w:rsidR="00A1131E" w:rsidRDefault="00A1131E">
      <w:pPr>
        <w:snapToGrid w:val="0"/>
        <w:rPr>
          <w:sz w:val="24"/>
          <w:szCs w:val="24"/>
          <w:lang w:val="en-US"/>
        </w:rPr>
      </w:pPr>
    </w:p>
    <w:p w:rsidR="00A1131E" w:rsidRDefault="00F2610E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 </w:t>
      </w:r>
    </w:p>
    <w:p w:rsidR="00A1131E" w:rsidRDefault="00F2610E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Krzysztof Chojniak </w:t>
      </w:r>
    </w:p>
    <w:p w:rsidR="00A1131E" w:rsidRDefault="00F2610E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Prezydent Miasta Piotrków Trybunalski </w:t>
      </w:r>
    </w:p>
    <w:p w:rsidR="00A1131E" w:rsidRDefault="00A1131E">
      <w:pPr>
        <w:spacing w:line="360" w:lineRule="auto"/>
        <w:ind w:left="-15" w:firstLine="720"/>
        <w:rPr>
          <w:szCs w:val="24"/>
        </w:rPr>
      </w:pPr>
    </w:p>
    <w:p w:rsidR="00A1131E" w:rsidRDefault="00F2610E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WYSTĄPIENIE POKONTROLNE </w:t>
      </w:r>
    </w:p>
    <w:p w:rsidR="00A1131E" w:rsidRDefault="00A1131E">
      <w:pPr>
        <w:pStyle w:val="Tekstpodstawowywcity31"/>
        <w:snapToGri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A1131E" w:rsidRDefault="00F2610E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 podstawie art. 122 w zwi</w:t>
      </w:r>
      <w:r>
        <w:rPr>
          <w:sz w:val="24"/>
          <w:szCs w:val="24"/>
        </w:rPr>
        <w:t xml:space="preserve">ązku z art. 186 pkt 3 ustawy z dnia 9 czerwca 2011 r. o wspieraniu rodziny i </w:t>
      </w:r>
      <w:r>
        <w:rPr>
          <w:sz w:val="24"/>
          <w:szCs w:val="24"/>
        </w:rPr>
        <w:t>systemie pieczy zastępczej</w:t>
      </w:r>
      <w:r>
        <w:rPr>
          <w:rStyle w:val="Zakotwiczenieprzypisudolnego"/>
          <w:sz w:val="24"/>
          <w:szCs w:val="24"/>
        </w:rPr>
        <w:footnoteReference w:id="1"/>
      </w:r>
      <w:r>
        <w:rPr>
          <w:sz w:val="24"/>
          <w:szCs w:val="24"/>
        </w:rPr>
        <w:t>, w Domu Dziecka w Piotrkowie Trybunalskim ul. Wysoka 24/26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97-300 Piotrków Trybunalski</w:t>
      </w:r>
      <w:r>
        <w:rPr>
          <w:rStyle w:val="Zakotwiczenieprzypisudolnego"/>
          <w:sz w:val="24"/>
          <w:szCs w:val="24"/>
        </w:rPr>
        <w:footnoteReference w:id="2"/>
      </w:r>
      <w:r>
        <w:rPr>
          <w:sz w:val="24"/>
          <w:szCs w:val="24"/>
        </w:rPr>
        <w:t>, 5 sierpnia 2022 r., przeprowadzona została kontrola w zakresie weryfikacji warunków bytowych wychowanków Placówki wynikająca z wniosku Mia</w:t>
      </w:r>
      <w:r>
        <w:rPr>
          <w:sz w:val="24"/>
          <w:szCs w:val="24"/>
        </w:rPr>
        <w:t>sta Piotrków Trybunalski kierowanego do Wojewody Łódzkiego o niewliczanie małoletniej obywatelki Ukrainy do limitu określonego w art. 95 ust. 3 ustawy w związku z art. 27 ust. 3 ustawy z dnia 12 marca 2022 r. o pomocy obywatelom Ukrainy w związku z konflik</w:t>
      </w:r>
      <w:r>
        <w:rPr>
          <w:sz w:val="24"/>
          <w:szCs w:val="24"/>
        </w:rPr>
        <w:t xml:space="preserve">tem zbrojnym na terytorium tego państwa </w:t>
      </w:r>
      <w:r>
        <w:rPr>
          <w:rStyle w:val="Zakotwiczenieprzypisudolnego"/>
          <w:sz w:val="24"/>
          <w:szCs w:val="24"/>
        </w:rPr>
        <w:footnoteReference w:id="3"/>
      </w:r>
      <w:r>
        <w:rPr>
          <w:sz w:val="24"/>
          <w:szCs w:val="24"/>
        </w:rPr>
        <w:t>. Okres kontroli to:</w:t>
      </w:r>
      <w:r>
        <w:rPr>
          <w:color w:val="000000"/>
          <w:sz w:val="24"/>
          <w:szCs w:val="24"/>
        </w:rPr>
        <w:t xml:space="preserve"> 8 lipca 2022 r. - 5 sierpnia 2022 r. 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Kontrolę w trybie uproszczonym, zgodnie z upoważnieniami wydanymi przez  Dyrektora Wydziału Rodziny i Polityki Społecznej Łódzkiego Urzędu Wojewódzkiego w </w:t>
      </w:r>
      <w:r>
        <w:rPr>
          <w:rFonts w:ascii="Times New Roman" w:hAnsi="Times New Roman" w:cs="Times New Roman"/>
          <w:szCs w:val="24"/>
        </w:rPr>
        <w:t xml:space="preserve">Łodzi, działającego z upoważnienia Wojewody Łódzkiego, przeprowadzili pracownicy Oddziału do Spraw Rodziny Wydziału Rodziny i Polityki Społecznej Łódzkiego Urzędu Wojewódzkiego w Łodzi: </w:t>
      </w:r>
    </w:p>
    <w:p w:rsidR="00A1131E" w:rsidRDefault="00F2610E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Anna Kowalczyk – starszy specjalista (inspektor kierujący zespołem in</w:t>
      </w:r>
      <w:r>
        <w:rPr>
          <w:rFonts w:ascii="Times New Roman" w:hAnsi="Times New Roman" w:cs="Times New Roman"/>
          <w:szCs w:val="24"/>
        </w:rPr>
        <w:t>spektorów), upoważnienie Nr 155 /2022 z 29 lipca 2022 r.,</w:t>
      </w:r>
    </w:p>
    <w:p w:rsidR="00A1131E" w:rsidRDefault="00F2610E">
      <w:pPr>
        <w:pStyle w:val="Tekstpodstawowywcity3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Lidia Woźniak – starszy specjalista (członek zespołu inspektorów), upoważnienie Nr 156/2022 z 29 lipca 2022 r.,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Czynności kontrolne przeprowadzono w Placówce przy </w:t>
      </w:r>
      <w:r>
        <w:rPr>
          <w:rFonts w:ascii="Times New Roman" w:hAnsi="Times New Roman"/>
          <w:szCs w:val="24"/>
        </w:rPr>
        <w:t>ul. Wysokiej 24/26 w obecności Dyre</w:t>
      </w:r>
      <w:r>
        <w:rPr>
          <w:rFonts w:ascii="Times New Roman" w:hAnsi="Times New Roman"/>
          <w:szCs w:val="24"/>
        </w:rPr>
        <w:t>ktora Pani Danuty Malik.</w:t>
      </w:r>
    </w:p>
    <w:p w:rsidR="00A1131E" w:rsidRDefault="00F2610E">
      <w:pPr>
        <w:pStyle w:val="Tekstpodstawowywcity31"/>
        <w:spacing w:line="360" w:lineRule="auto"/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Celem kontroli było:</w:t>
      </w:r>
    </w:p>
    <w:p w:rsidR="00A1131E" w:rsidRDefault="00F2610E">
      <w:pPr>
        <w:pStyle w:val="Tekstpodstawowywcity3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ustalenie pobytu i faktycznego umieszczenia małoletniej obywatelki w Placówce,</w:t>
      </w:r>
    </w:p>
    <w:p w:rsidR="00A1131E" w:rsidRDefault="00F2610E">
      <w:pPr>
        <w:pStyle w:val="Tekstpodstawowywcity3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ocena warunków bytowych Placówki w związku z pismem Kierownika Referatu Spraw Społecznych Urzędu Miasta Piotrkowa Trybunalskiego działającego z upoważnienia Prezydenta Miasta Piotrkowa Trybunalskiego o niewliczanie małoletniej obywatelki Ukrainy  do limitu</w:t>
      </w:r>
      <w:r>
        <w:rPr>
          <w:rFonts w:ascii="Times New Roman" w:hAnsi="Times New Roman" w:cs="Times New Roman"/>
          <w:szCs w:val="24"/>
        </w:rPr>
        <w:t xml:space="preserve">, o którym mowa w art. 95 ust. 3 ustawy  w związku z art. 27 ust. 3  specustawy. </w:t>
      </w:r>
    </w:p>
    <w:p w:rsidR="00A1131E" w:rsidRDefault="00F2610E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W toku kontroli badano dokumenty dot. zakresu kontroli, przeprowadzono wizytację obiektu i pomieszczeń Placówki, a także przyjęto wyjaśnienia Dyrektora Placówki. Na ich podst</w:t>
      </w:r>
      <w:r>
        <w:rPr>
          <w:rFonts w:ascii="Times New Roman" w:hAnsi="Times New Roman" w:cs="Times New Roman"/>
          <w:szCs w:val="24"/>
        </w:rPr>
        <w:t xml:space="preserve">awie ustalono, co następuje: 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Placówka jest jednostką organizacyjną Miasta Piotrków Trybunalski działającą                  w formie jednostki budżetowej. Zezwolenie na jej prowadzenie Miasto Piotrków Trybunalski otrzymało na czas nieokreślony na podstawi</w:t>
      </w:r>
      <w:r>
        <w:rPr>
          <w:rFonts w:ascii="Times New Roman" w:hAnsi="Times New Roman" w:cs="Times New Roman"/>
          <w:color w:val="000000"/>
          <w:szCs w:val="24"/>
        </w:rPr>
        <w:t>e decyzji Wojewody Łódzkiego z 22 lipca 2010 r., znak:PS.II.90190/10-64/10. Placówka działa na podstawie statutu</w:t>
      </w:r>
      <w:r>
        <w:rPr>
          <w:rStyle w:val="Zakotwiczenieprzypisudolnego"/>
          <w:rFonts w:ascii="Times New Roman" w:hAnsi="Times New Roman" w:cs="Times New Roman"/>
          <w:color w:val="000000"/>
          <w:szCs w:val="24"/>
        </w:rPr>
        <w:footnoteReference w:id="4"/>
      </w:r>
      <w:r>
        <w:rPr>
          <w:rFonts w:ascii="Times New Roman" w:hAnsi="Times New Roman" w:cs="Times New Roman"/>
          <w:color w:val="000000"/>
          <w:szCs w:val="24"/>
        </w:rPr>
        <w:t xml:space="preserve"> oraz regulaminu organizacyjnego</w:t>
      </w:r>
      <w:r>
        <w:rPr>
          <w:rStyle w:val="Zakotwiczenieprzypisudolnego"/>
          <w:rFonts w:ascii="Times New Roman" w:hAnsi="Times New Roman" w:cs="Times New Roman"/>
          <w:color w:val="000000"/>
          <w:szCs w:val="24"/>
        </w:rPr>
        <w:footnoteReference w:id="5"/>
      </w:r>
      <w:r>
        <w:rPr>
          <w:rFonts w:ascii="Times New Roman" w:hAnsi="Times New Roman" w:cs="Times New Roman"/>
          <w:color w:val="000000"/>
          <w:szCs w:val="24"/>
        </w:rPr>
        <w:t>, posiada typ socjalizacyjny i dysponuje również miejscami interwencyjnymi. Zgodnie z przywołanymi dokumentami</w:t>
      </w:r>
      <w:r>
        <w:rPr>
          <w:rFonts w:ascii="Times New Roman" w:hAnsi="Times New Roman" w:cs="Times New Roman"/>
          <w:color w:val="000000"/>
          <w:szCs w:val="24"/>
        </w:rPr>
        <w:t xml:space="preserve"> - przeznaczona jest dla 30 dzieci. Przepis przejściowy - art. 229 ustawy stanowił, że całodobowe placówki opiekuńczo-wychowawcze działające na podstawie ustawy o pomocy społecznej, z dniem wejścia w życie ustawy, zostały przekształcone w placówki opiekuńc</w:t>
      </w:r>
      <w:r>
        <w:rPr>
          <w:rFonts w:ascii="Times New Roman" w:hAnsi="Times New Roman" w:cs="Times New Roman"/>
          <w:color w:val="000000"/>
          <w:szCs w:val="24"/>
        </w:rPr>
        <w:t>zo-wychowawcze typu socjalizacyjnego,  interwencyjnego oraz specjalistyczno-terapeutyczne. Tym samym, w myśl art. 230 ustawy po 1 stycznia 2013 r. nie dłużej jednak niż do dnia 1 stycznia 2021 r., liczba dzieci w nich umieszczona nie mogła być wyższa niż 3</w:t>
      </w:r>
      <w:r>
        <w:rPr>
          <w:rFonts w:ascii="Times New Roman" w:hAnsi="Times New Roman" w:cs="Times New Roman"/>
          <w:color w:val="000000"/>
          <w:szCs w:val="24"/>
        </w:rPr>
        <w:t xml:space="preserve">0. W związku z powyższym, od 1 stycznia 2021 r. Dom Dziecka w Piotrkowie Trybunalskim nie spełnia warunków i standardów usług określonych w przepisach na podstawie art. 127 </w:t>
      </w:r>
      <w:r>
        <w:rPr>
          <w:rFonts w:ascii="TimesNewRomanPSMT" w:hAnsi="TimesNewRomanPSMT" w:cs="Times New Roman"/>
          <w:color w:val="000000"/>
          <w:szCs w:val="24"/>
        </w:rPr>
        <w:t>ustawy.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 xml:space="preserve">Weryfikacji poddano zgodność liczby dzieci przebywających i umieszczonych </w:t>
      </w:r>
      <w:r>
        <w:rPr>
          <w:rFonts w:ascii="Times New Roman" w:hAnsi="Times New Roman" w:cs="Times New Roman"/>
          <w:color w:val="000000"/>
          <w:szCs w:val="24"/>
        </w:rPr>
        <w:t>w Placówce z prowadzoną ewidencją o jakiej mowa w § 17 ust. 5 Rozporządzenia Ministra Pracy i Polityki Społecznej z dnia 22 grudnia 2011 r. w sprawie instytucjonalnej pieczy zastępczej</w:t>
      </w:r>
      <w:r>
        <w:rPr>
          <w:rStyle w:val="Zakotwiczenieprzypisudolnego"/>
          <w:rFonts w:ascii="Times New Roman" w:hAnsi="Times New Roman" w:cs="Times New Roman"/>
          <w:color w:val="000000"/>
          <w:szCs w:val="24"/>
        </w:rPr>
        <w:footnoteReference w:id="6"/>
      </w:r>
      <w:r>
        <w:rPr>
          <w:rFonts w:ascii="Times New Roman" w:hAnsi="Times New Roman" w:cs="Times New Roman"/>
          <w:color w:val="000000"/>
          <w:szCs w:val="24"/>
        </w:rPr>
        <w:t>. Ustalono, że według stanu na 5 sierpnia 2022 r. w Placówce winno prze</w:t>
      </w:r>
      <w:r>
        <w:rPr>
          <w:rFonts w:ascii="Times New Roman" w:hAnsi="Times New Roman" w:cs="Times New Roman"/>
          <w:color w:val="000000"/>
          <w:szCs w:val="24"/>
        </w:rPr>
        <w:t xml:space="preserve">bywać 41 osób w tym 1 małoletnia obywatelka Ukrainy. Analiza prowadzonej ewidencji potwierdziła, że </w:t>
      </w:r>
      <w:r>
        <w:rPr>
          <w:rFonts w:ascii="Times New Roman" w:hAnsi="Times New Roman" w:cs="Times New Roman"/>
          <w:color w:val="000000"/>
          <w:szCs w:val="24"/>
        </w:rPr>
        <w:lastRenderedPageBreak/>
        <w:t>małoletnia została wpisana do ww. dokumentu.</w:t>
      </w:r>
      <w:r>
        <w:rPr>
          <w:rFonts w:ascii="Times New Roman" w:hAnsi="Times New Roman" w:cs="Times New Roman"/>
          <w:color w:val="C9211E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Zaznaczyć należy że prowadzona ewidencja zawiera szerszy zakres informacji i danych osobowych, aniżeli wskazany</w:t>
      </w:r>
      <w:r>
        <w:rPr>
          <w:rFonts w:ascii="Times New Roman" w:hAnsi="Times New Roman" w:cs="Times New Roman"/>
          <w:color w:val="000000"/>
          <w:szCs w:val="24"/>
        </w:rPr>
        <w:t xml:space="preserve"> w § 17 ust. 5 rozrządzenia, a informacje w niej zawarte są niepełne i niekompletne. Ewidencja dzieci ma charakter katalogu zamkniętego i nie może być dowolnie rozszerzana. Winna zawierać wyłącznie informacje uregulowane w powołanym rozporządzeniu.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Ustalo</w:t>
      </w:r>
      <w:r>
        <w:rPr>
          <w:rFonts w:ascii="Times New Roman" w:hAnsi="Times New Roman" w:cs="Times New Roman"/>
          <w:color w:val="000000"/>
          <w:szCs w:val="24"/>
        </w:rPr>
        <w:t>no, że w okresie kontrolowanym w Placówce została przekroczona dopuszczalna liczba dzieci o 27 osób. Wojewoda Łódzki nie wydał zezwolenia na przekroczenie dopuszczalnej liczby dzieci w Placówce w trybie art. 95 ust. 3 w związku z art. 95 ust. 3a ustawy gdy</w:t>
      </w:r>
      <w:r>
        <w:rPr>
          <w:rFonts w:ascii="Times New Roman" w:hAnsi="Times New Roman" w:cs="Times New Roman"/>
          <w:color w:val="000000"/>
          <w:szCs w:val="24"/>
        </w:rPr>
        <w:t xml:space="preserve">ż w przypadku 26 dzieci Miasto Piotrków Trybunalski nie wystąpiło o zgodę na przyjęcie kolejnego dziecka ponad limit. 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W okresie objętym kontrolą, tj 8 lipca 2022 r. do 5 sierpnia 2022 r. w Placówce przebywało 29 dzieci poniżej 10 roku życia. Dyrektor Pla</w:t>
      </w:r>
      <w:r>
        <w:rPr>
          <w:rFonts w:ascii="Times New Roman" w:hAnsi="Times New Roman" w:cs="Times New Roman"/>
          <w:color w:val="000000"/>
          <w:szCs w:val="24"/>
        </w:rPr>
        <w:t>cówki złożył w tej kwestii wyjaśnienia, z których wynika, że: 12 dzieci zostało umieszczonych ze starszym rodzeństwem, 7 z uwagi na inne wyjątkowe przypadki, 2 ze względu stan zdrowia. W odniesieniu do 8 dzieci jako powód umieszczenia w Placówce wskazano b</w:t>
      </w:r>
      <w:r>
        <w:rPr>
          <w:rFonts w:ascii="Times New Roman" w:hAnsi="Times New Roman" w:cs="Times New Roman"/>
          <w:color w:val="000000"/>
          <w:szCs w:val="24"/>
        </w:rPr>
        <w:t>rak miejsc w rodzinnej pieczy zastępczej. Przesłanka ta nie stanowi okoliczności uzasadniającej umieszczenie dziecka poniżej 10 roku życia w Placówce, bowiem zgodnie z art. 95 ust. 2 ustawy umieszczenie dziecka poniżej 10 roku życia w placówce opiekuńczo-w</w:t>
      </w:r>
      <w:r>
        <w:rPr>
          <w:rFonts w:ascii="Times New Roman" w:hAnsi="Times New Roman" w:cs="Times New Roman"/>
          <w:color w:val="000000"/>
          <w:szCs w:val="24"/>
        </w:rPr>
        <w:t xml:space="preserve">ychowawczej typu socjalizacyjnego, interwencyjnego lub specjalistyczno-terapeutycznego jest możliwe w przypadku, gdy w danej placówce opiekuńczo-wychowawczej umieszczona jest matka lub ojciec tego dziecka oraz w innych wyjątkowych przypadkach, szczególnie </w:t>
      </w:r>
      <w:r>
        <w:rPr>
          <w:rFonts w:ascii="Times New Roman" w:hAnsi="Times New Roman" w:cs="Times New Roman"/>
          <w:color w:val="000000"/>
          <w:szCs w:val="24"/>
        </w:rPr>
        <w:t>gdy przemawia za tym stan zdrowia dziecka lub dotyczy to rodzeństwa. Tym samym 8 dzieci poniżej 10 roku życia przebywa w Placówce niezgodnie z zapisem art. 95 ust 2 ustawy, co stanowi nieprawidłowość. W przypadku umieszczenia w Placówce 8 miesięcznej obywa</w:t>
      </w:r>
      <w:r>
        <w:rPr>
          <w:rFonts w:ascii="Times New Roman" w:hAnsi="Times New Roman" w:cs="Times New Roman"/>
          <w:color w:val="000000"/>
          <w:szCs w:val="24"/>
        </w:rPr>
        <w:t xml:space="preserve">telki Ukrainy zastosowanie ma również art. 27 ust. 4 specustawy, w którym określono, zasady pobytu dzieci w wieku do 3 lat w placówce opiekuńczo-wychowawczej typu socjalizacyjnego, interwencyjnego lub specjalistyczno – terapeutycznego. W toku kontroli nie </w:t>
      </w:r>
      <w:r>
        <w:rPr>
          <w:rFonts w:ascii="Times New Roman" w:hAnsi="Times New Roman" w:cs="Times New Roman"/>
          <w:color w:val="000000"/>
          <w:szCs w:val="24"/>
        </w:rPr>
        <w:t xml:space="preserve">okazano inspektorom dokumentu stanowiącego uzasadnienie zastosowania powyższego przepisu.  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ab/>
        <w:t>W dniu kontroli w Placówce faktycznie przebywało 35 wychowanków (1 przebywał na ucieczce, 5 przebywało na zorganizowanym wypoczynku letnim). W przypadku nieusprawi</w:t>
      </w:r>
      <w:r>
        <w:rPr>
          <w:rFonts w:ascii="Times New Roman" w:hAnsi="Times New Roman" w:cs="Times New Roman"/>
          <w:color w:val="000000"/>
          <w:szCs w:val="24"/>
        </w:rPr>
        <w:t>edliwionej nieobecności 1 dziecka Dyrektor Placówki przeprowadził postępowanie wyjaśniające, o którym mowa w § 5 rozporządzenia.</w:t>
      </w:r>
    </w:p>
    <w:p w:rsidR="00A1131E" w:rsidRDefault="00F2610E">
      <w:pPr>
        <w:pStyle w:val="Tekstpodstawowywcity31"/>
        <w:spacing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Cs w:val="24"/>
        </w:rPr>
        <w:tab/>
        <w:t>Analizie poddano dokumentację określoną w § 8 ust. 2 pkt 1-7 rozporządzenia, którą Dyrektor Miejskiego Ośrodka Pomocy Rodzinie</w:t>
      </w:r>
      <w:r>
        <w:rPr>
          <w:rFonts w:ascii="Times New Roman" w:hAnsi="Times New Roman" w:cs="Times New Roman"/>
          <w:color w:val="000000"/>
          <w:szCs w:val="24"/>
        </w:rPr>
        <w:t xml:space="preserve"> w Piotrkowie Trybunalskim powinien wraz ze </w:t>
      </w:r>
      <w:r>
        <w:rPr>
          <w:rFonts w:ascii="Times New Roman" w:hAnsi="Times New Roman" w:cs="Times New Roman"/>
          <w:color w:val="000000"/>
          <w:szCs w:val="24"/>
        </w:rPr>
        <w:lastRenderedPageBreak/>
        <w:t>skierowaniem dziecka cudzoziemskiego przekazać Dyrektorowi Placówki. Ustalono, że ww. Podmiot nie wydał skierowania dla małoletniej obywatelki Ukrainy do Placówki oraz nie przekazał żadnej dokumentacji dziecka wy</w:t>
      </w:r>
      <w:r>
        <w:rPr>
          <w:rFonts w:ascii="Times New Roman" w:hAnsi="Times New Roman" w:cs="Times New Roman"/>
          <w:color w:val="000000"/>
          <w:szCs w:val="24"/>
        </w:rPr>
        <w:t>mienionej w § 8 ust. 1 przywołanego rozporządzenia.</w:t>
      </w:r>
      <w:r>
        <w:rPr>
          <w:rFonts w:ascii="Times New Roman" w:hAnsi="Times New Roman" w:cs="Liberation Serif"/>
          <w:color w:val="000000"/>
          <w:szCs w:val="24"/>
          <w:lang w:eastAsia="pl-PL"/>
        </w:rPr>
        <w:t xml:space="preserve"> Dyrektor Placówki dysponował jedynie</w:t>
      </w:r>
      <w:r>
        <w:rPr>
          <w:rFonts w:ascii="Times New Roman" w:hAnsi="Times New Roman" w:cs="Times New Roman"/>
          <w:color w:val="000000"/>
          <w:szCs w:val="24"/>
        </w:rPr>
        <w:t xml:space="preserve"> Postanowieniem Sądu Rejonowego w Piotrkowie Trybunalskim o umieszczeniu małoletniej, w trybie zarządzeń tymczasowych w placówce opiekuńczo - wychowawczej z 11 lipca 20</w:t>
      </w:r>
      <w:r>
        <w:rPr>
          <w:rFonts w:ascii="Times New Roman" w:hAnsi="Times New Roman" w:cs="Times New Roman"/>
          <w:color w:val="000000"/>
          <w:szCs w:val="24"/>
        </w:rPr>
        <w:t xml:space="preserve">22 r. i dokumentacją przekazaną przez rodziców dziecka tj.: powiadomieniem o nadaniu numeru PESEL, aktem urodzenia w języku ukraińskim oraz informacjami z Poradni Zdrowia o odbytej wizycie lekarskiej. </w:t>
      </w:r>
    </w:p>
    <w:p w:rsidR="00A1131E" w:rsidRDefault="00F2610E">
      <w:pPr>
        <w:spacing w:line="360" w:lineRule="auto"/>
        <w:jc w:val="both"/>
      </w:pPr>
      <w:r>
        <w:rPr>
          <w:rFonts w:cs="Liberation Serif"/>
          <w:color w:val="000000"/>
          <w:sz w:val="24"/>
          <w:szCs w:val="24"/>
          <w:lang w:eastAsia="pl-PL"/>
        </w:rPr>
        <w:tab/>
        <w:t>Zarówno służby Wojewody Łódzkiego, jak i Dyrektor Pla</w:t>
      </w:r>
      <w:r>
        <w:rPr>
          <w:rFonts w:cs="Liberation Serif"/>
          <w:color w:val="000000"/>
          <w:sz w:val="24"/>
          <w:szCs w:val="24"/>
          <w:lang w:eastAsia="pl-PL"/>
        </w:rPr>
        <w:t>cówki nie otrzymał od Prezydenta Miasta Piotrków Trybunalski pisemnej zgody na niestosowanie limitu określonego w art. 95 ust. 3 ustawy w związku z art. 27 ust. 3 specustawy</w:t>
      </w:r>
      <w:r>
        <w:rPr>
          <w:color w:val="000000"/>
          <w:sz w:val="24"/>
          <w:szCs w:val="24"/>
        </w:rPr>
        <w:t>, pomimo, że małoletnia obywatelka Ukrainy została umieszczona w Placówce 8 lipca 2</w:t>
      </w:r>
      <w:r>
        <w:rPr>
          <w:color w:val="000000"/>
          <w:sz w:val="24"/>
          <w:szCs w:val="24"/>
        </w:rPr>
        <w:t xml:space="preserve">022r., a Kierownik Referatu Spraw Społecznych Urzędu Miasta Piotrkowa Trybunalskiego wystąpił pismem z 14 lipca 2022 r. znak: SPS.8120.92.2022 do </w:t>
      </w:r>
      <w:r>
        <w:rPr>
          <w:rFonts w:cs="Liberation Serif"/>
          <w:color w:val="000000"/>
          <w:sz w:val="24"/>
          <w:szCs w:val="24"/>
          <w:lang w:eastAsia="pl-PL"/>
        </w:rPr>
        <w:t>Łódzkiego Urzędu Wojewódzkiego w Łodzi</w:t>
      </w:r>
      <w:r>
        <w:rPr>
          <w:color w:val="000000"/>
          <w:sz w:val="24"/>
          <w:szCs w:val="24"/>
        </w:rPr>
        <w:t xml:space="preserve"> z prośbą o niewliczanie małoletniej obywatelki Ukrainy do limitu określ</w:t>
      </w:r>
      <w:r>
        <w:rPr>
          <w:color w:val="000000"/>
          <w:sz w:val="24"/>
          <w:szCs w:val="24"/>
        </w:rPr>
        <w:t>onego w art. 95 ust. 3 ustawy w związku z art. 27 ust. 3 specustawy. Dyrektor Wydziału Rodziny i Polityki Społecznej Łódzkiego Urzędu Wojewódzkiego w Łodzi, działający z upoważnienia Wojewody Łódzkiego, wystąpił pismem z 21 lipca 2022 r. znak: RPS-I.9421.7</w:t>
      </w:r>
      <w:r>
        <w:rPr>
          <w:color w:val="000000"/>
          <w:sz w:val="24"/>
          <w:szCs w:val="24"/>
        </w:rPr>
        <w:t>3.2022 o przekazanie m.in: kopii zgody Prezydenta Miasta Piotrkowa Trybunalskiego, o której mowa w art. 27 ust. 3 specustawy, oraz kopii skierowania wydanego przez Miejski Ośrodek Pomocy Rodzinie w Piotrkowie Trybunalskim. Mimo wezwania do dnia sporządzeni</w:t>
      </w:r>
      <w:r>
        <w:rPr>
          <w:color w:val="000000"/>
          <w:sz w:val="24"/>
          <w:szCs w:val="24"/>
        </w:rPr>
        <w:t>a wystąpienia pokontrolnego nie przedłożono dokumentów o jakie wnoszono, a zgodnie</w:t>
      </w:r>
      <w:r>
        <w:rPr>
          <w:rFonts w:cs="Liberation Serif"/>
          <w:color w:val="000000"/>
          <w:sz w:val="24"/>
          <w:szCs w:val="24"/>
          <w:lang w:eastAsia="pl-PL"/>
        </w:rPr>
        <w:t xml:space="preserve"> z art. 27 ust. 3 specustawy </w:t>
      </w:r>
      <w:r>
        <w:rPr>
          <w:rFonts w:cs="Liberation Serif"/>
          <w:color w:val="000000"/>
          <w:sz w:val="24"/>
          <w:szCs w:val="24"/>
          <w:u w:val="single"/>
          <w:lang w:eastAsia="pl-PL"/>
        </w:rPr>
        <w:t>z</w:t>
      </w:r>
      <w:r>
        <w:rPr>
          <w:rFonts w:cs="Liberation Serif"/>
          <w:i/>
          <w:iCs/>
          <w:color w:val="000000"/>
          <w:sz w:val="24"/>
          <w:szCs w:val="24"/>
          <w:u w:val="single"/>
          <w:lang w:eastAsia="pl-PL"/>
        </w:rPr>
        <w:t>a zgodą</w:t>
      </w:r>
      <w:r>
        <w:rPr>
          <w:rFonts w:cs="Liberation Serif"/>
          <w:i/>
          <w:iCs/>
          <w:color w:val="000000"/>
          <w:sz w:val="24"/>
          <w:szCs w:val="24"/>
          <w:lang w:eastAsia="pl-PL"/>
        </w:rPr>
        <w:t xml:space="preserve"> wojewody </w:t>
      </w:r>
      <w:r>
        <w:rPr>
          <w:rFonts w:cs="Liberation Serif"/>
          <w:i/>
          <w:iCs/>
          <w:color w:val="000000"/>
          <w:sz w:val="24"/>
          <w:szCs w:val="24"/>
          <w:u w:val="single"/>
          <w:lang w:eastAsia="pl-PL"/>
        </w:rPr>
        <w:t>oraz odpowiednio</w:t>
      </w:r>
      <w:r>
        <w:rPr>
          <w:rFonts w:cs="Liberation Serif"/>
          <w:i/>
          <w:iCs/>
          <w:color w:val="000000"/>
          <w:sz w:val="24"/>
          <w:szCs w:val="24"/>
          <w:lang w:eastAsia="pl-PL"/>
        </w:rPr>
        <w:t xml:space="preserve"> wójta, </w:t>
      </w:r>
      <w:r>
        <w:rPr>
          <w:rFonts w:cs="Liberation Serif"/>
          <w:i/>
          <w:iCs/>
          <w:color w:val="000000"/>
          <w:sz w:val="24"/>
          <w:szCs w:val="24"/>
          <w:u w:val="single"/>
          <w:lang w:eastAsia="pl-PL"/>
        </w:rPr>
        <w:t>starosty</w:t>
      </w:r>
      <w:r>
        <w:rPr>
          <w:rFonts w:cs="Liberation Serif"/>
          <w:i/>
          <w:iCs/>
          <w:color w:val="000000"/>
          <w:sz w:val="24"/>
          <w:szCs w:val="24"/>
          <w:lang w:eastAsia="pl-PL"/>
        </w:rPr>
        <w:t xml:space="preserve"> lub marszałka województwa do limitów, o których mowa w art. 28 ust. 2, art. 53 ust. 1, art. 61 ust. 1, art. 67 ust. 2 i 3, art. 95 ust. 3, 4 i 4a, art. 109 ust. 2 i 3 i art. 111 ust. 2 ustawy z dnia 9 czerwca 2011 r. o wspieraniu rodziny i systemie pieczy</w:t>
      </w:r>
      <w:r>
        <w:rPr>
          <w:rFonts w:cs="Liberation Serif"/>
          <w:i/>
          <w:iCs/>
          <w:color w:val="000000"/>
          <w:sz w:val="24"/>
          <w:szCs w:val="24"/>
          <w:lang w:eastAsia="pl-PL"/>
        </w:rPr>
        <w:t xml:space="preserve"> zastępczej, oraz limitów określonych w przepisach wydanych na podstawie art. 127 tej ustawy nie wlicza się umieszczonych w pieczy zastępczej dzieci będących obywatelami Ukrainy, przebywających na terytorium Rzeczypospolitej Polskiej, których pobyt na tery</w:t>
      </w:r>
      <w:r>
        <w:rPr>
          <w:rFonts w:cs="Liberation Serif"/>
          <w:i/>
          <w:iCs/>
          <w:color w:val="000000"/>
          <w:sz w:val="24"/>
          <w:szCs w:val="24"/>
          <w:lang w:eastAsia="pl-PL"/>
        </w:rPr>
        <w:t xml:space="preserve">torium Rzeczypospolitej Polskiej jest uznawany za legalny na podstawie art. 2 ust. 1. </w:t>
      </w:r>
    </w:p>
    <w:p w:rsidR="00A1131E" w:rsidRDefault="00F2610E">
      <w:pPr>
        <w:spacing w:line="360" w:lineRule="auto"/>
        <w:jc w:val="both"/>
      </w:pPr>
      <w:r>
        <w:rPr>
          <w:rFonts w:cs="Liberation Serif"/>
          <w:color w:val="000000"/>
          <w:sz w:val="24"/>
          <w:szCs w:val="24"/>
          <w:lang w:eastAsia="pl-PL"/>
        </w:rPr>
        <w:tab/>
        <w:t>Ustalono, że w związku z krótkoterminowym pobytem małoletniej obywatelki Ukrainy, nie zostały dla niej opracowane dokumenty określone w § 14-15 rozporządzenia.</w:t>
      </w:r>
    </w:p>
    <w:p w:rsidR="00A1131E" w:rsidRDefault="00F2610E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Czynnośc</w:t>
      </w:r>
      <w:r>
        <w:rPr>
          <w:rFonts w:ascii="Times New Roman" w:hAnsi="Times New Roman" w:cs="Times New Roman"/>
          <w:color w:val="000000"/>
          <w:szCs w:val="24"/>
        </w:rPr>
        <w:t>iom kontrolnym poddano również warunki lokalowe obiektu i pomieszczeń Placówki. Ustalono, że Dom Dziecka mieści się w wolnostojącym jednopiętrowym budynku o powierzchni 982 m</w:t>
      </w:r>
      <w:r>
        <w:rPr>
          <w:rFonts w:ascii="Times New Roman" w:hAnsi="Times New Roman" w:cs="Times New Roman"/>
          <w:color w:val="000000"/>
          <w:szCs w:val="24"/>
          <w:vertAlign w:val="superscript"/>
        </w:rPr>
        <w:t xml:space="preserve"> 2</w:t>
      </w:r>
      <w:r>
        <w:rPr>
          <w:rFonts w:ascii="Times New Roman" w:hAnsi="Times New Roman" w:cs="Times New Roman"/>
          <w:color w:val="000000"/>
          <w:szCs w:val="24"/>
        </w:rPr>
        <w:t xml:space="preserve">. Na parterze znajdują się: dwa pokoje mieszkalne przeznaczone dla </w:t>
      </w:r>
      <w:r>
        <w:rPr>
          <w:rFonts w:ascii="Times New Roman" w:hAnsi="Times New Roman" w:cs="Times New Roman"/>
          <w:color w:val="000000"/>
          <w:szCs w:val="24"/>
        </w:rPr>
        <w:lastRenderedPageBreak/>
        <w:t>dzieci w wiek</w:t>
      </w:r>
      <w:r>
        <w:rPr>
          <w:rFonts w:ascii="Times New Roman" w:hAnsi="Times New Roman" w:cs="Times New Roman"/>
          <w:color w:val="000000"/>
          <w:szCs w:val="24"/>
        </w:rPr>
        <w:t>u od 3 do 12 lat w tym jeden czteroosobowy a drugi jedenastoosobowy. Powyższy stan stanowi naruszeniem § 18 ust. 3 pkt 1 rozporządzenia, który określa, że pokoje mieszkalne dla dzieci winny być nie większe niż 5-osobowe. W komentowanym przypadku 1 pokój mi</w:t>
      </w:r>
      <w:r>
        <w:rPr>
          <w:rFonts w:ascii="Times New Roman" w:hAnsi="Times New Roman" w:cs="Times New Roman"/>
          <w:color w:val="000000"/>
          <w:szCs w:val="24"/>
        </w:rPr>
        <w:t xml:space="preserve">eszkalny zaaranżowano dla 11 dzieci, wstawiając 5 pojedynczych łóżek oraz 3 łóżka piętrowe wysuwane. Powierzchnia omawianego pomieszczenia nie zapewniała dzieciom swobodnego korzystania z wyposażenia, ani miejsca do przechowywania rzeczy osobistych dla 11 </w:t>
      </w:r>
      <w:r>
        <w:rPr>
          <w:rFonts w:ascii="Times New Roman" w:hAnsi="Times New Roman" w:cs="Times New Roman"/>
          <w:color w:val="000000"/>
          <w:szCs w:val="24"/>
        </w:rPr>
        <w:t xml:space="preserve">wychowanków. Z tego też względu część odzieży przechowywana była w szafie w jednej z łazienek. Dyrektor Placówki wyjaśnił, </w:t>
      </w:r>
      <w:r>
        <w:rPr>
          <w:rFonts w:ascii="Times New Roman" w:hAnsi="Times New Roman" w:cs="Times New Roman"/>
          <w:i/>
          <w:iCs/>
          <w:color w:val="000000"/>
          <w:szCs w:val="24"/>
        </w:rPr>
        <w:t>że pokój, w którym zakwaterowano powyżej 5 dzieci służy podopiecznym przede wszystkim, jako sypialnia. Z pokoju korzystają dzieci w w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ieku 3-5 lat. Większą część dnia wspomniani wychowankowie spędzają w dużym pokoju, a obecnie na placu zabaw (…). W pokoju zabaw podopieczni mają swoje szuflady, półki ze swoimi zabawkami „skarbami” z których mogą swobodnie korzystać. </w:t>
      </w:r>
      <w:r>
        <w:rPr>
          <w:rFonts w:ascii="Times New Roman" w:hAnsi="Times New Roman" w:cs="Times New Roman"/>
          <w:color w:val="000000"/>
          <w:szCs w:val="24"/>
        </w:rPr>
        <w:t>Nie przyjęto wyjaśnień</w:t>
      </w:r>
      <w:r>
        <w:rPr>
          <w:rFonts w:ascii="Times New Roman" w:hAnsi="Times New Roman" w:cs="Times New Roman"/>
          <w:color w:val="000000"/>
          <w:szCs w:val="24"/>
        </w:rPr>
        <w:t xml:space="preserve"> Dyrektora Placówki w powyższym zakresie. </w:t>
      </w:r>
    </w:p>
    <w:p w:rsidR="00A1131E" w:rsidRDefault="00F2610E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Na parterze znajduje się również: pokój zabaw stanowiący miejsce spotkań i wypoczynku, aneks kuchenny, jadalnie, w której można spożywać posiłki, szatnię oraz dwie łazienki. W jednej z łazienek zamontowano obok si</w:t>
      </w:r>
      <w:r>
        <w:rPr>
          <w:rFonts w:ascii="Times New Roman" w:hAnsi="Times New Roman" w:cs="Times New Roman"/>
          <w:color w:val="000000"/>
          <w:szCs w:val="24"/>
        </w:rPr>
        <w:t>ebie cztery miski ustępowe, oddzielone od siebie „osłoną z plexi”. Zgodnie § 18 ust. 3 pkt 2 rozporządzenia placówka opiekuńczo-wychowawcza winna zapewnić dzieciom łazienki z miejscem do prania i suszenia rzeczy osobistych i toalety, w ilości umożliwiające</w:t>
      </w:r>
      <w:r>
        <w:rPr>
          <w:rFonts w:ascii="Times New Roman" w:hAnsi="Times New Roman" w:cs="Times New Roman"/>
          <w:color w:val="000000"/>
          <w:szCs w:val="24"/>
        </w:rPr>
        <w:t>j korzystanie z nich w sposób zapewniający intymność i zgodność z zasadami higieny. Z wyjaśnień Dyrektora Placówki wynika, że z łazienki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i znajdujących się tam toalet korzystają podopieczni w wieku 3-5 lat, maluchy, 3-latkowie korzystają z nocników, 4-5 la</w:t>
      </w:r>
      <w:r>
        <w:rPr>
          <w:rFonts w:ascii="Times New Roman" w:hAnsi="Times New Roman" w:cs="Times New Roman"/>
          <w:i/>
          <w:iCs/>
          <w:color w:val="000000"/>
          <w:szCs w:val="24"/>
        </w:rPr>
        <w:t>tkowie ze znajdujących się tam toalet, a trzech najstarszych chłopców 9, 10 i 12 lat z toalety znajdującej się na korytarzu, w której maja zapewnioną intymność. Zdaje sobie sprawę z konieczność odnowienia opisywanej łazienki, wymiany wyposażenia, jednak po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dejmowanie takich działań przed planowanym podziałem placówki i pracami remontowo-budowlanymi łączy się z nieracjonalnym wydatkowaniem posiadanych funduszy. </w:t>
      </w:r>
      <w:r>
        <w:rPr>
          <w:rFonts w:ascii="Times New Roman" w:hAnsi="Times New Roman" w:cs="Times New Roman"/>
          <w:color w:val="000000"/>
          <w:szCs w:val="24"/>
        </w:rPr>
        <w:t xml:space="preserve"> Nie przyjęto wyjaśnień Dyrektora Placówki w powyżej kwestii. </w:t>
      </w:r>
    </w:p>
    <w:p w:rsidR="00A1131E" w:rsidRDefault="00F2610E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Na piętrze znajdowało się sześć poko</w:t>
      </w:r>
      <w:r>
        <w:rPr>
          <w:rFonts w:ascii="Times New Roman" w:hAnsi="Times New Roman"/>
        </w:rPr>
        <w:t>i mieszkalnych: 1 trzyosobowy, 3 czteroosobowe, 1 pięcioosobowy i 1 sześcioosobowy</w:t>
      </w:r>
      <w:r>
        <w:rPr>
          <w:rFonts w:ascii="Times New Roman" w:hAnsi="Times New Roman" w:cs="Times New Roman"/>
          <w:color w:val="000000"/>
          <w:szCs w:val="24"/>
        </w:rPr>
        <w:t xml:space="preserve"> (w dniu kontroli przebywało w nim faktycznie 5 wychowanków z uwagi na fakt, iż 1 dziecko było nieobecne nieusprawiedliwione). Ustalono, że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małoletnią obywatelkę Ukrainy zakw</w:t>
      </w:r>
      <w:r>
        <w:rPr>
          <w:rFonts w:ascii="Times New Roman" w:hAnsi="Times New Roman" w:cs="Times New Roman"/>
          <w:color w:val="000000"/>
          <w:szCs w:val="24"/>
        </w:rPr>
        <w:t xml:space="preserve">aterowano w 3 osobowym pokoju mieszkalnym z dziećmi poniżej 1 roku życia. Stwierdzono również, że </w:t>
      </w:r>
      <w:r>
        <w:rPr>
          <w:rFonts w:ascii="Times New Roman" w:hAnsi="Times New Roman"/>
        </w:rPr>
        <w:t xml:space="preserve">gabinet </w:t>
      </w:r>
      <w:r>
        <w:rPr>
          <w:rFonts w:ascii="Times New Roman" w:hAnsi="Times New Roman" w:cs="Times New Roman"/>
          <w:color w:val="000000"/>
          <w:szCs w:val="24"/>
        </w:rPr>
        <w:t>psychologa przekształcono</w:t>
      </w:r>
      <w:r>
        <w:rPr>
          <w:rFonts w:ascii="Times New Roman" w:hAnsi="Times New Roman"/>
        </w:rPr>
        <w:t xml:space="preserve"> na pokój </w:t>
      </w:r>
      <w:r>
        <w:rPr>
          <w:rFonts w:ascii="Times New Roman" w:hAnsi="Times New Roman" w:cs="Times New Roman"/>
          <w:color w:val="000000"/>
          <w:szCs w:val="24"/>
        </w:rPr>
        <w:t>mieszkalny dla jednej pełnoletniej wychowanki, ze względu na konieczność czasowego przyjęcia do Placówki wychowankó</w:t>
      </w:r>
      <w:r>
        <w:rPr>
          <w:rFonts w:ascii="Times New Roman" w:hAnsi="Times New Roman" w:cs="Times New Roman"/>
          <w:color w:val="000000"/>
          <w:szCs w:val="24"/>
        </w:rPr>
        <w:t xml:space="preserve">w faktycznie przebywających w młodzieżowych ośrodkach </w:t>
      </w:r>
      <w:r>
        <w:rPr>
          <w:rFonts w:ascii="Times New Roman" w:hAnsi="Times New Roman" w:cs="Times New Roman"/>
          <w:color w:val="000000"/>
          <w:szCs w:val="24"/>
        </w:rPr>
        <w:lastRenderedPageBreak/>
        <w:t>szkolno-wychowawczych oraz zapewnienia im miejsca do spania w okresie od 27 czerwca 2022 r. do 16 sierpnia 2022 r. Dyrektor Placówki wyjaśnił, że obecnie w Placówce nie jest zatrudniony psycholog, a wię</w:t>
      </w:r>
      <w:r>
        <w:rPr>
          <w:rFonts w:ascii="Times New Roman" w:hAnsi="Times New Roman" w:cs="Times New Roman"/>
          <w:color w:val="000000"/>
          <w:szCs w:val="24"/>
        </w:rPr>
        <w:t xml:space="preserve">c pokój ten nie był wykorzystywany. 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 xml:space="preserve">Na piętrze znajdowały się również: trzy łazienki z miejscem do prania i suszenia rzeczy osobistych, bawialnia, sala zabaw połączona z jadalnią, dwie kuchnie w tym jedna mleczna, dwa aneksy kuchenne, gabinet dyrektora, </w:t>
      </w:r>
      <w:r>
        <w:rPr>
          <w:rFonts w:ascii="Times New Roman" w:hAnsi="Times New Roman" w:cs="Times New Roman"/>
          <w:color w:val="000000"/>
          <w:szCs w:val="24"/>
        </w:rPr>
        <w:t xml:space="preserve">pokój pielęgniarski i gabinet pedagoga. </w:t>
      </w:r>
    </w:p>
    <w:p w:rsidR="00A1131E" w:rsidRDefault="00F2610E">
      <w:pPr>
        <w:pStyle w:val="Tekstpodstawowywcity31"/>
        <w:spacing w:line="36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  <w:t>Zaznaczyć należy, że w pokojach mieszkalnych dzieci panował ład i porządek, pomieszczenia były estetyczne, odzież dziecięca w szafach złożona a pozostałe pomieszczenia w Placówce na bieżąco utrzymywane w czystości.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A1131E" w:rsidRDefault="00F2610E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Analizując zastane warunki lokalowe należy stwierdzić, że Placówka </w:t>
      </w:r>
      <w:r>
        <w:rPr>
          <w:rFonts w:ascii="Times New Roman" w:hAnsi="Times New Roman"/>
          <w:color w:val="000000"/>
          <w:szCs w:val="24"/>
        </w:rPr>
        <w:t xml:space="preserve">zaspokajała potrzeby bytowe dzieci tylko w podstawowym zakresie i nie zawsze w sposób zgodny z wymogami ustawowymi oraz standardami opieki i wychowania. </w:t>
      </w:r>
      <w:r>
        <w:rPr>
          <w:rFonts w:ascii="Times New Roman" w:hAnsi="Times New Roman" w:cs="Times New Roman"/>
          <w:color w:val="000000"/>
          <w:szCs w:val="24"/>
        </w:rPr>
        <w:t>Dyrektor Placówki zapewnił miejsce</w:t>
      </w:r>
      <w:r>
        <w:rPr>
          <w:rFonts w:ascii="Times New Roman" w:hAnsi="Times New Roman" w:cs="Times New Roman"/>
          <w:color w:val="000000"/>
          <w:szCs w:val="24"/>
        </w:rPr>
        <w:t xml:space="preserve"> do spania dla wszystkich dzieci figurujących w ewidencji, jednakże przestrzeń Placówki była niewystarczająca dla zapewnienia wszystkim 41 dzieciom standardu o jakim mowa w § 18 ust. 3 pkt 1 i 2 rozporządzenia. </w:t>
      </w:r>
    </w:p>
    <w:p w:rsidR="00A1131E" w:rsidRDefault="00F2610E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Liberation Serif"/>
          <w:color w:val="000000"/>
          <w:szCs w:val="24"/>
        </w:rPr>
        <w:t>W okresie objętym kontrolą zatrudnionych był</w:t>
      </w:r>
      <w:r>
        <w:rPr>
          <w:rFonts w:ascii="Times New Roman" w:hAnsi="Times New Roman" w:cs="Liberation Serif"/>
          <w:color w:val="000000"/>
          <w:szCs w:val="24"/>
        </w:rPr>
        <w:t xml:space="preserve">o: 9 wychowawców, 11 opiekunów dziecięcych, 2 pielęgniarki, pedagog i pracownik socjalny. Wszystkie osoby zatrudnione były w pełnym wymiarze czasu pracy. Analizując kwestię zatrudnienia i kwalifikacji zapoznano się z </w:t>
      </w:r>
      <w:r>
        <w:rPr>
          <w:rFonts w:ascii="Times New Roman" w:hAnsi="Times New Roman" w:cs="Liberation Serif"/>
          <w:i/>
          <w:iCs/>
          <w:color w:val="000000"/>
          <w:szCs w:val="24"/>
        </w:rPr>
        <w:t>Rozkładem pracy</w:t>
      </w:r>
      <w:r>
        <w:rPr>
          <w:rFonts w:ascii="Times New Roman" w:hAnsi="Times New Roman" w:cs="Liberation Serif"/>
          <w:color w:val="000000"/>
          <w:szCs w:val="24"/>
        </w:rPr>
        <w:t xml:space="preserve"> osób pracujących z dziećmi za miesiąc lipiec i sierpień 2022 r. Ustalono, że </w:t>
      </w:r>
      <w:r>
        <w:rPr>
          <w:rFonts w:ascii="Times New Roman" w:hAnsi="Times New Roman" w:cs="Liberation Serif"/>
          <w:color w:val="000000"/>
          <w:szCs w:val="24"/>
          <w:lang w:eastAsia="pl-PL"/>
        </w:rPr>
        <w:t xml:space="preserve">Dyrektor Placówki zapewnił wychowankom całodobową opiekę i wychowanie w każdy dzień okresu objętego kontrolą. </w:t>
      </w:r>
    </w:p>
    <w:p w:rsidR="00A1131E" w:rsidRDefault="00F2610E">
      <w:pPr>
        <w:spacing w:line="360" w:lineRule="auto"/>
        <w:contextualSpacing/>
        <w:jc w:val="both"/>
      </w:pPr>
      <w:r>
        <w:rPr>
          <w:b/>
          <w:bCs/>
          <w:sz w:val="24"/>
          <w:szCs w:val="24"/>
          <w:lang w:eastAsia="pl-PL"/>
        </w:rPr>
        <w:t>Uwagi i wnioski</w:t>
      </w:r>
      <w:r>
        <w:rPr>
          <w:sz w:val="24"/>
          <w:szCs w:val="24"/>
          <w:lang w:eastAsia="pl-PL"/>
        </w:rPr>
        <w:t>:</w:t>
      </w:r>
    </w:p>
    <w:p w:rsidR="00A1131E" w:rsidRDefault="00F2610E">
      <w:pPr>
        <w:numPr>
          <w:ilvl w:val="0"/>
          <w:numId w:val="6"/>
        </w:numPr>
        <w:spacing w:line="360" w:lineRule="auto"/>
        <w:contextualSpacing/>
        <w:jc w:val="both"/>
        <w:rPr>
          <w:i/>
        </w:rPr>
      </w:pP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 xml:space="preserve">Małoletnia obywatelka Ukrainy została umieszczona </w:t>
      </w: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 xml:space="preserve">w placówce opiekuńczo-wychowawczej wbrew zapisowi art. 27 ust. 4 specustawy. 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</w:pPr>
      <w:r>
        <w:rPr>
          <w:color w:val="000000"/>
          <w:sz w:val="24"/>
          <w:szCs w:val="24"/>
          <w:lang w:eastAsia="pl-PL"/>
        </w:rPr>
        <w:t xml:space="preserve">Kierownik Referatu Spraw Społecznych Urzędu Miasta Piotrkowa Trybunalskiego, działający z upoważnienia Prezydenta Miasta Piotrkowa Trybunalskiego </w:t>
      </w:r>
      <w:r>
        <w:rPr>
          <w:rFonts w:cs="Liberation Serif"/>
          <w:color w:val="000000"/>
          <w:sz w:val="24"/>
          <w:szCs w:val="24"/>
          <w:lang w:eastAsia="pl-PL"/>
        </w:rPr>
        <w:t xml:space="preserve">w związku ze złożonym do </w:t>
      </w:r>
      <w:r>
        <w:rPr>
          <w:rFonts w:cs="Liberation Serif"/>
          <w:color w:val="000000"/>
          <w:sz w:val="24"/>
          <w:szCs w:val="24"/>
          <w:lang w:eastAsia="pl-PL"/>
        </w:rPr>
        <w:t>Wojewody Łódzkiego wnioskiem o niewliczanie dziecka narodowości ukraińskiej do limitu określonego w art. 95 ust. 3 ustawy w związku z art. 27 ust. 3 specustawy nie przedłożył dokumentu, z którego wynika, że Prezydenta Miasta Piotrkowa Trybunalskiego wyraża</w:t>
      </w:r>
      <w:r>
        <w:rPr>
          <w:rFonts w:cs="Liberation Serif"/>
          <w:color w:val="000000"/>
          <w:sz w:val="24"/>
          <w:szCs w:val="24"/>
          <w:lang w:eastAsia="pl-PL"/>
        </w:rPr>
        <w:t xml:space="preserve"> zgodę na przyjęcie do Domu Dziecka w Piotrkowie Trybunalskim małoletniej.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  <w:rPr>
          <w:i/>
        </w:rPr>
      </w:pP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 xml:space="preserve">Uprawniony podmiot kierujący dzieci do placówki opiekuńczo-wychowawczej nie wydał skierowania dla małoletniej obywatelki Ukrainy zgodnie z § 2 ust. 2 rozporządzenia. </w:t>
      </w: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lastRenderedPageBreak/>
        <w:t>Formalno-prawną</w:t>
      </w: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 xml:space="preserve"> podstawę do jego wydania stanowiło postanowienie Sądu Rejonowego w Piotrkowie Trybunalskim.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  <w:rPr>
          <w:i/>
        </w:rPr>
      </w:pP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>W okresie pobytu w Placówce została objęta całodobową opieką i wychowaniem, oraz zaspokajano jego niezbędne potrzeby. Małoletnia w Placówce przebywała na mocy Post</w:t>
      </w: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 xml:space="preserve">anowienia Sądu w Piotrkowie Trybunalskim 19 sierpnia 2022 r. wróciła pod opiekę rodziców. 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  <w:rPr>
          <w:rFonts w:cs="Arial Narrow"/>
          <w:i/>
          <w:sz w:val="24"/>
          <w:szCs w:val="24"/>
        </w:rPr>
      </w:pP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 xml:space="preserve">Od 1 stycznia 2021 r. Placówka zaprzestała spełniania warunków określonych  w ustawie i standardów usług określonych w przepisach wydanych na podstawie art. 127 tej </w:t>
      </w: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>ustawy. W dniu kontroli w Placówce umieszczonych było 41 wychowanków.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</w:pP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 xml:space="preserve">Wojewoda Łódzki, działając na podstawie art. 106 ust. 9 ustawy, wyznaczał Miastu Piotrków Trybunalski dodatkowy termin do 31 grudnia 2022 r. na spełnienie warunków określonych w ustawie </w:t>
      </w:r>
      <w:r>
        <w:rPr>
          <w:rStyle w:val="Wyrnienie"/>
          <w:rFonts w:cs="Liberation Serif"/>
          <w:i w:val="0"/>
          <w:color w:val="000000"/>
          <w:sz w:val="24"/>
          <w:szCs w:val="24"/>
          <w:lang w:eastAsia="pl-PL"/>
        </w:rPr>
        <w:t>i standardów usług określonych w przepisach wydanych na podstawie art. 127 ustawy.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  <w:rPr>
          <w:rFonts w:cs="Arial Narrow"/>
          <w:sz w:val="24"/>
          <w:szCs w:val="24"/>
        </w:rPr>
      </w:pPr>
      <w:r>
        <w:rPr>
          <w:rFonts w:cs="Liberation Serif"/>
          <w:color w:val="000000"/>
          <w:sz w:val="24"/>
          <w:szCs w:val="24"/>
          <w:lang w:eastAsia="pl-PL"/>
        </w:rPr>
        <w:t>Podmiot prowadzący Placówkę zgodnie z art. 95 ust. 3a ustawy pomimo przekroczenia dopuszczalnej liczby dzieci nie występuje do Wojewody Łódzkiego o wydanie zezwolenia na umi</w:t>
      </w:r>
      <w:r>
        <w:rPr>
          <w:rFonts w:cs="Liberation Serif"/>
          <w:color w:val="000000"/>
          <w:sz w:val="24"/>
          <w:szCs w:val="24"/>
          <w:lang w:eastAsia="pl-PL"/>
        </w:rPr>
        <w:t>eszczenie w Placówce kolejnego dziecka w przypadku pobytu wychowanka w instytucjach szczegółowo wymienionych w pkt 1 - 11 art. 95 ust. 3a np. w specjalnym ośrodku szkolno-wychowawczym, specjalnym ośrodku wychowawczym, młodzieżowym ośrodku wychowawczym, mło</w:t>
      </w:r>
      <w:r>
        <w:rPr>
          <w:rFonts w:cs="Liberation Serif"/>
          <w:color w:val="000000"/>
          <w:sz w:val="24"/>
          <w:szCs w:val="24"/>
          <w:lang w:eastAsia="pl-PL"/>
        </w:rPr>
        <w:t>dzieżowym ośrodku socjoterapii.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  <w:rPr>
          <w:rFonts w:cs="Arial Narrow"/>
          <w:sz w:val="24"/>
          <w:szCs w:val="24"/>
        </w:rPr>
      </w:pPr>
      <w:r>
        <w:rPr>
          <w:rFonts w:cs="Arial Narrow"/>
          <w:color w:val="000000"/>
          <w:sz w:val="24"/>
          <w:szCs w:val="24"/>
          <w:lang w:eastAsia="pl-PL"/>
        </w:rPr>
        <w:t xml:space="preserve">W Placówce przebywało 8 dzieci poniżej 10 roku życia niezgodnie z art. 95 ust. 2 ustawy. 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</w:pPr>
      <w:bookmarkStart w:id="4" w:name="__DdeLink__423_8580904761"/>
      <w:bookmarkEnd w:id="4"/>
      <w:r>
        <w:rPr>
          <w:sz w:val="24"/>
          <w:szCs w:val="24"/>
          <w:lang w:eastAsia="pl-PL"/>
        </w:rPr>
        <w:t xml:space="preserve">Za niewłaściwe i niezgodne z przepisami rozporządzenia należy uznać umieszczenie </w:t>
      </w:r>
      <w:r>
        <w:rPr>
          <w:sz w:val="24"/>
          <w:szCs w:val="24"/>
        </w:rPr>
        <w:t>w jednym</w:t>
      </w:r>
      <w:r>
        <w:rPr>
          <w:sz w:val="24"/>
          <w:szCs w:val="24"/>
          <w:lang w:eastAsia="pl-PL"/>
        </w:rPr>
        <w:t xml:space="preserve"> pokoju mieszkalnym 11 dzieci oraz </w:t>
      </w:r>
      <w:r>
        <w:rPr>
          <w:color w:val="000000"/>
          <w:sz w:val="24"/>
          <w:szCs w:val="24"/>
          <w:lang w:eastAsia="pl-PL"/>
        </w:rPr>
        <w:t>brak zapew</w:t>
      </w:r>
      <w:r>
        <w:rPr>
          <w:color w:val="000000"/>
          <w:sz w:val="24"/>
          <w:szCs w:val="24"/>
          <w:lang w:eastAsia="pl-PL"/>
        </w:rPr>
        <w:t xml:space="preserve">nienia intymności dzieciom w  jednej z łazienek z toaletami. </w:t>
      </w:r>
    </w:p>
    <w:p w:rsidR="00A1131E" w:rsidRDefault="00F2610E">
      <w:pPr>
        <w:numPr>
          <w:ilvl w:val="0"/>
          <w:numId w:val="3"/>
        </w:numPr>
        <w:spacing w:line="360" w:lineRule="auto"/>
        <w:contextualSpacing/>
        <w:jc w:val="both"/>
      </w:pPr>
      <w:r>
        <w:rPr>
          <w:color w:val="000000"/>
          <w:sz w:val="24"/>
          <w:szCs w:val="24"/>
          <w:lang w:eastAsia="pl-PL"/>
        </w:rPr>
        <w:t>Ewidencja dzieci prowadzona była niezgodnie z § 17 ust. 5 rozporządzenia.</w:t>
      </w:r>
    </w:p>
    <w:p w:rsidR="00A1131E" w:rsidRDefault="00A1131E">
      <w:pPr>
        <w:spacing w:line="360" w:lineRule="auto"/>
        <w:contextualSpacing/>
        <w:jc w:val="both"/>
      </w:pPr>
    </w:p>
    <w:p w:rsidR="00A1131E" w:rsidRDefault="00F2610E">
      <w:pPr>
        <w:spacing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ab/>
        <w:t xml:space="preserve">Na podstawie dokonanych ustaleń działalność Placówki w zakresie objętym kontrolą ocenia się </w:t>
      </w:r>
      <w:r>
        <w:rPr>
          <w:b/>
          <w:color w:val="000000" w:themeColor="text1"/>
          <w:sz w:val="24"/>
          <w:szCs w:val="24"/>
          <w:lang w:eastAsia="pl-PL"/>
        </w:rPr>
        <w:t>negatywnie</w:t>
      </w:r>
      <w:r>
        <w:rPr>
          <w:color w:val="000000"/>
          <w:sz w:val="24"/>
          <w:szCs w:val="24"/>
          <w:lang w:eastAsia="pl-PL"/>
        </w:rPr>
        <w:t>. Za stwierdzone</w:t>
      </w:r>
      <w:r>
        <w:rPr>
          <w:color w:val="000000"/>
          <w:sz w:val="24"/>
          <w:szCs w:val="24"/>
          <w:lang w:eastAsia="pl-PL"/>
        </w:rPr>
        <w:t xml:space="preserve"> nieprawidłowości odpowiada Prezydent Miasta Piotrkowa Trybunalskiego o</w:t>
      </w:r>
      <w:bookmarkStart w:id="5" w:name="__DdeLink__523_8595598332"/>
      <w:bookmarkEnd w:id="5"/>
      <w:r>
        <w:rPr>
          <w:color w:val="000000"/>
          <w:sz w:val="24"/>
          <w:szCs w:val="24"/>
          <w:lang w:eastAsia="pl-PL"/>
        </w:rPr>
        <w:t xml:space="preserve">raz Dyrektor Placówki. Wobec stwierdzonych podczas kontroli nieprawidłowości zalecam: </w:t>
      </w:r>
    </w:p>
    <w:p w:rsidR="00A1131E" w:rsidRDefault="00F2610E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Dostosować standardy usług w Placówce do warunków określonych w ustawie i przepisach wydanych na p</w:t>
      </w:r>
      <w:r>
        <w:rPr>
          <w:color w:val="000000"/>
          <w:sz w:val="24"/>
          <w:szCs w:val="24"/>
        </w:rPr>
        <w:t>odstawie art. 127 tej ustawy.</w:t>
      </w:r>
    </w:p>
    <w:p w:rsidR="00A1131E" w:rsidRDefault="00F2610E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Przestrzegać limitu liczby dzieci i osób, które osiągnęły pełnoletność przebywając w pieczy zastępczej, a w sytuacjach przekroczenia dopuszczalnej liczby miejsc </w:t>
      </w:r>
      <w:r>
        <w:rPr>
          <w:color w:val="000000"/>
          <w:sz w:val="24"/>
          <w:szCs w:val="24"/>
        </w:rPr>
        <w:lastRenderedPageBreak/>
        <w:t>w Placówce (powyżej 14), o jakiej mowa w art. 95 ust. 3a ustawy w</w:t>
      </w:r>
      <w:r>
        <w:rPr>
          <w:color w:val="000000"/>
          <w:sz w:val="24"/>
          <w:szCs w:val="24"/>
        </w:rPr>
        <w:t>nioskować do Wojewody Łódzkiego o uzyskanie  zezwolenia na umieszczenie dziecka ponad stan.</w:t>
      </w:r>
    </w:p>
    <w:p w:rsidR="00A1131E" w:rsidRDefault="00F2610E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przypadku wystąpienia potrzeby złożenia wniosku o nie</w:t>
      </w:r>
      <w:r>
        <w:rPr>
          <w:rFonts w:cs="Liberation Serif"/>
          <w:color w:val="000000"/>
          <w:sz w:val="24"/>
          <w:szCs w:val="24"/>
        </w:rPr>
        <w:t>wliczanie małoletnich obywateli Ukrainy do limitu określonego w art. 95 ust. 3 ustawy w związku z art. 27ust.</w:t>
      </w:r>
      <w:r>
        <w:rPr>
          <w:rFonts w:cs="Liberation Serif"/>
          <w:color w:val="000000"/>
          <w:sz w:val="24"/>
          <w:szCs w:val="24"/>
        </w:rPr>
        <w:t>3 specustawy przestrzegać wymogów określonych przepisami prawa dot. jego kompletności.</w:t>
      </w:r>
    </w:p>
    <w:p w:rsidR="00A1131E" w:rsidRDefault="00F2610E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Przy kierowaniu dzieci do Domu Dziecka w Piotrkowie Trybunalskim przestrzegać zapisów art. 95 ust. 2 ustawy.</w:t>
      </w:r>
    </w:p>
    <w:p w:rsidR="00A1131E" w:rsidRDefault="00F2610E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Zobowiązać uprawniony podmiot kierujący dziecko do bezzwłocz</w:t>
      </w:r>
      <w:r>
        <w:rPr>
          <w:rFonts w:cs="Liberation Serif"/>
          <w:color w:val="000000"/>
          <w:sz w:val="24"/>
          <w:szCs w:val="24"/>
        </w:rPr>
        <w:t>nego i każdorazowego wydawania stosownego skierowania w tym zakresie.</w:t>
      </w:r>
    </w:p>
    <w:p w:rsidR="00A1131E" w:rsidRDefault="00F2610E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rFonts w:cs="Liberation Serif"/>
          <w:color w:val="000000"/>
          <w:sz w:val="24"/>
          <w:szCs w:val="24"/>
        </w:rPr>
        <w:t>Prowadzić Ewidencję dzieci zgodnie z § 17 ust 5 rozporządzenia.</w:t>
      </w:r>
    </w:p>
    <w:p w:rsidR="00A1131E" w:rsidRDefault="00A1131E">
      <w:pPr>
        <w:spacing w:line="360" w:lineRule="auto"/>
        <w:contextualSpacing/>
        <w:jc w:val="both"/>
        <w:rPr>
          <w:sz w:val="24"/>
          <w:szCs w:val="24"/>
        </w:rPr>
      </w:pPr>
      <w:bookmarkStart w:id="6" w:name="__DdeLink__523_859559833"/>
      <w:bookmarkEnd w:id="6"/>
    </w:p>
    <w:p w:rsidR="00A1131E" w:rsidRDefault="00F2610E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ab/>
        <w:t>Zgodnie z § 14 ust. 1 rozporządzenia Ministra Pracy i Polityki Społecznej z dnia 21 sierpnia 2015 r. w sprawie przeprowa</w:t>
      </w:r>
      <w:r>
        <w:rPr>
          <w:color w:val="000000"/>
          <w:sz w:val="24"/>
          <w:szCs w:val="24"/>
          <w:lang w:eastAsia="pl-PL"/>
        </w:rPr>
        <w:t>dzania kontroli przez wojewodę oraz wzoru legitymacji uprawniającej do przeprowadzania kontroli (Dz. u. z 2015 r., poz. 1477), zastrzeżenia do wystąpienia pokontrolnego, w tym wystąpienia niezawierającego zaleceń pokontrolnych, składa się na zasadach okreś</w:t>
      </w:r>
      <w:r>
        <w:rPr>
          <w:color w:val="000000"/>
          <w:sz w:val="24"/>
          <w:szCs w:val="24"/>
          <w:lang w:eastAsia="pl-PL"/>
        </w:rPr>
        <w:t>lonych w art. 197 d ustawy z dnia 9 czerwca 2011 r. o wpieraniu rodziny i systemie pieczy zastępczej (Dz. U. z 2022 r., poz. 447 ze zm.). Zgodnie z art. 197 d ww. ustawy, kontrolowana jednostka może w terminie 7 dni od dnia otrzymania zaleceń pokontrolnych</w:t>
      </w:r>
      <w:r>
        <w:rPr>
          <w:color w:val="000000"/>
          <w:sz w:val="24"/>
          <w:szCs w:val="24"/>
          <w:lang w:eastAsia="pl-PL"/>
        </w:rPr>
        <w:t>, zgłosić do nich zastrzeżenia. Informację do Wojewody Łódzkiego o realizacji zaleceń pokontrolnych proszę nadesłać na adres Wydziału Rodziny i Polityki Społecznej Łódzkiego Urzędu Wojewódzkiego w Łodzi, ul. Żeromskiego 87, 90-502 Łódź, w terminie 30 dni o</w:t>
      </w:r>
      <w:r>
        <w:rPr>
          <w:color w:val="000000"/>
          <w:sz w:val="24"/>
          <w:szCs w:val="24"/>
          <w:lang w:eastAsia="pl-PL"/>
        </w:rPr>
        <w:t xml:space="preserve">d otrzymania niniejszego wystąpienia. </w:t>
      </w:r>
    </w:p>
    <w:p w:rsidR="00A1131E" w:rsidRDefault="00F2610E">
      <w:pPr>
        <w:spacing w:line="360" w:lineRule="auto"/>
        <w:contextualSpacing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ab/>
        <w:t>Wystąpienie pokontrolne sporządzono w dwóch jednobrzmiących egzemplarzach, z których jeden pozostawiono w aktach sprawy, drugi przekazano Prezydentowi Miasta Piotrków Trybunalski.</w:t>
      </w:r>
    </w:p>
    <w:p w:rsidR="00A1131E" w:rsidRDefault="00A1131E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A1131E" w:rsidRDefault="00F2610E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  <w:t xml:space="preserve">Anetta </w:t>
      </w:r>
      <w:r>
        <w:rPr>
          <w:b/>
          <w:bCs/>
          <w:color w:val="000000"/>
          <w:sz w:val="24"/>
          <w:szCs w:val="24"/>
          <w:lang w:eastAsia="pl-PL"/>
        </w:rPr>
        <w:t>Chlebicka</w:t>
      </w:r>
      <w:bookmarkStart w:id="7" w:name="ezdPracownikNazwa"/>
      <w:bookmarkEnd w:id="7"/>
    </w:p>
    <w:p w:rsidR="00A1131E" w:rsidRDefault="00F2610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8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$stanowisko</w:t>
      </w:r>
      <w:bookmarkEnd w:id="8"/>
      <w:r>
        <w:rPr>
          <w:b/>
          <w:bCs/>
          <w:iCs/>
          <w:color w:val="000000"/>
          <w:sz w:val="24"/>
          <w:szCs w:val="24"/>
          <w:lang w:eastAsia="pl-PL"/>
        </w:rPr>
        <w:t xml:space="preserve"> Rodziny i Polityki Społecznej</w:t>
      </w:r>
    </w:p>
    <w:p w:rsidR="00A1131E" w:rsidRDefault="00A1131E">
      <w:pPr>
        <w:tabs>
          <w:tab w:val="center" w:pos="6345"/>
        </w:tabs>
        <w:snapToGrid w:val="0"/>
        <w:ind w:left="4965"/>
        <w:jc w:val="center"/>
      </w:pPr>
    </w:p>
    <w:sectPr w:rsidR="00A113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0E" w:rsidRDefault="00F2610E">
      <w:r>
        <w:separator/>
      </w:r>
    </w:p>
  </w:endnote>
  <w:endnote w:type="continuationSeparator" w:id="0">
    <w:p w:rsidR="00F2610E" w:rsidRDefault="00F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1E" w:rsidRDefault="00F2610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96B4C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1E" w:rsidRDefault="00F2610E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A1131E" w:rsidRDefault="00F2610E">
    <w:pPr>
      <w:pStyle w:val="Stopka"/>
      <w:jc w:val="center"/>
    </w:pPr>
    <w:r>
      <w:rPr>
        <w:sz w:val="14"/>
      </w:rPr>
      <w:t xml:space="preserve">90-926 Łódź, ul. Piotrkowska 104, tel.: (+48) 42 664 10 00, fax: (+48) </w:t>
    </w:r>
    <w:r>
      <w:rPr>
        <w:sz w:val="14"/>
      </w:rPr>
      <w:t>42 664 10 40 Elektroniczna Skrzynka Podawcza ePUAP: /lodzuw/SkrytkaESP</w:t>
    </w:r>
  </w:p>
  <w:p w:rsidR="00A1131E" w:rsidRDefault="00F2610E">
    <w:pPr>
      <w:pStyle w:val="Stopka"/>
      <w:jc w:val="center"/>
    </w:pPr>
    <w:hyperlink r:id="rId1">
      <w:r>
        <w:rPr>
          <w:rStyle w:val="czeinternetowe"/>
          <w:sz w:val="16"/>
          <w:szCs w:val="16"/>
        </w:rPr>
        <w:t>https://www.gov.pl/web/uw-lodzki</w:t>
      </w:r>
    </w:hyperlink>
  </w:p>
  <w:p w:rsidR="00A1131E" w:rsidRDefault="00F2610E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</w:t>
    </w:r>
    <w:r>
      <w:rPr>
        <w:sz w:val="14"/>
      </w:rPr>
      <w:t xml:space="preserve">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0E" w:rsidRDefault="00F2610E">
      <w:pPr>
        <w:rPr>
          <w:sz w:val="12"/>
        </w:rPr>
      </w:pPr>
      <w:r>
        <w:separator/>
      </w:r>
    </w:p>
  </w:footnote>
  <w:footnote w:type="continuationSeparator" w:id="0">
    <w:p w:rsidR="00F2610E" w:rsidRDefault="00F2610E">
      <w:pPr>
        <w:rPr>
          <w:sz w:val="12"/>
        </w:rPr>
      </w:pPr>
      <w:r>
        <w:continuationSeparator/>
      </w:r>
    </w:p>
  </w:footnote>
  <w:footnote w:id="1">
    <w:p w:rsidR="00A1131E" w:rsidRDefault="00F2610E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rStyle w:val="Znakiprzypiswdolnych"/>
        </w:rPr>
        <w:footnoteRef/>
      </w:r>
      <w:r>
        <w:rPr>
          <w:sz w:val="24"/>
          <w:szCs w:val="24"/>
        </w:rPr>
        <w:t xml:space="preserve"> (</w:t>
      </w:r>
      <w:r>
        <w:rPr>
          <w:sz w:val="18"/>
          <w:szCs w:val="18"/>
        </w:rPr>
        <w:t>Dz. U. z 2022 r. po</w:t>
      </w:r>
      <w:r>
        <w:rPr>
          <w:sz w:val="18"/>
          <w:szCs w:val="18"/>
        </w:rPr>
        <w:t>z. 447),dalej: ustawą.</w:t>
      </w:r>
    </w:p>
  </w:footnote>
  <w:footnote w:id="2">
    <w:p w:rsidR="00A1131E" w:rsidRDefault="00F2610E">
      <w:pPr>
        <w:snapToGrid w:val="0"/>
        <w:spacing w:line="36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Dalej: Placówka</w:t>
      </w:r>
    </w:p>
  </w:footnote>
  <w:footnote w:id="3">
    <w:p w:rsidR="00A1131E" w:rsidRDefault="00F2610E">
      <w:pPr>
        <w:snapToGrid w:val="0"/>
        <w:spacing w:line="360" w:lineRule="aut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(Dz. U. z 2022 r. poz. 583 ze zm), d</w:t>
      </w:r>
      <w:r>
        <w:rPr>
          <w:color w:val="000000"/>
          <w:sz w:val="18"/>
          <w:szCs w:val="18"/>
        </w:rPr>
        <w:t>alej: specustawa</w:t>
      </w:r>
    </w:p>
  </w:footnote>
  <w:footnote w:id="4">
    <w:p w:rsidR="00A1131E" w:rsidRDefault="00F2610E">
      <w:pPr>
        <w:pStyle w:val="Tekstpodstawowywcity31"/>
        <w:spacing w:line="276" w:lineRule="auto"/>
        <w:ind w:left="0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Uchwała Nr XXVIII/520/12 Rady Miasta Piotrkowa Trybunalskiego z dnia 19 grudnia 2012 r. w sprawie nadania statutu Domowi Dziecka  w Piotrkowie Trybunalskim.</w:t>
      </w:r>
    </w:p>
  </w:footnote>
  <w:footnote w:id="5">
    <w:p w:rsidR="00A1131E" w:rsidRDefault="00F2610E">
      <w:pPr>
        <w:pStyle w:val="Tekstpodstawowywcity31"/>
        <w:ind w:left="0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Zarządzenie Nr 413 Prezydenta Miasta Piotrkowa Trybunalskiego z 16 października 2015 r. zmienione Zarządzeniem Nr 410 z 20 października 2016 r. w sprawie zmiany zarządzenia Nr 413 w sprawie nadania Regulaminu organizacyjnego Domowi Dziecka w Piotrkowie Tr</w:t>
      </w:r>
      <w:r>
        <w:rPr>
          <w:rFonts w:ascii="Times New Roman" w:hAnsi="Times New Roman" w:cs="Times New Roman"/>
          <w:color w:val="000000"/>
          <w:sz w:val="18"/>
          <w:szCs w:val="18"/>
        </w:rPr>
        <w:t>ybunalskim.</w:t>
      </w:r>
    </w:p>
  </w:footnote>
  <w:footnote w:id="6">
    <w:p w:rsidR="00A1131E" w:rsidRDefault="00F2610E">
      <w:pPr>
        <w:pStyle w:val="Tekstpodstawowywcity31"/>
        <w:spacing w:line="360" w:lineRule="auto"/>
        <w:ind w:left="0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Dz.U. Nr 292, poz.1720, zwanym dalej rozporządzeniem.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1E" w:rsidRDefault="00A1131E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31E" w:rsidRDefault="00F2610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08D6"/>
    <w:multiLevelType w:val="multilevel"/>
    <w:tmpl w:val="5BE0249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221CB"/>
    <w:multiLevelType w:val="multilevel"/>
    <w:tmpl w:val="4654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2438EA"/>
    <w:multiLevelType w:val="multilevel"/>
    <w:tmpl w:val="5C4AFA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35A7380"/>
    <w:multiLevelType w:val="multilevel"/>
    <w:tmpl w:val="8F7E52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5527CF1"/>
    <w:multiLevelType w:val="multilevel"/>
    <w:tmpl w:val="0400BA40"/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29" w:hanging="397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1E"/>
    <w:rsid w:val="00A1131E"/>
    <w:rsid w:val="00D96B4C"/>
    <w:rsid w:val="00F2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D378E-A10A-449C-87EC-A5910BC4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Znakiprzypiswdolnych">
    <w:name w:val="Znaki przypisów dolnych"/>
    <w:qFormat/>
    <w:rsid w:val="00C02424"/>
  </w:style>
  <w:style w:type="character" w:customStyle="1" w:styleId="Zakotwiczenieprzypisudolnego">
    <w:name w:val="Zakotwiczenie przypisu dolnego"/>
    <w:rsid w:val="00C02424"/>
    <w:rPr>
      <w:vertAlign w:val="superscript"/>
    </w:rPr>
  </w:style>
  <w:style w:type="character" w:customStyle="1" w:styleId="Wyrnienie">
    <w:name w:val="Wyróżnienie"/>
    <w:qFormat/>
    <w:rsid w:val="00C02424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2424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C02424"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24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2712</Words>
  <Characters>16274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18949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Rosiak</cp:lastModifiedBy>
  <cp:revision>2</cp:revision>
  <cp:lastPrinted>1899-12-31T23:00:00Z</cp:lastPrinted>
  <dcterms:created xsi:type="dcterms:W3CDTF">2022-12-12T08:29:00Z</dcterms:created>
  <dcterms:modified xsi:type="dcterms:W3CDTF">2022-12-12T08:29:00Z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