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6E5" w:rsidRDefault="00B066E5">
      <w:pPr>
        <w:jc w:val="center"/>
        <w:rPr>
          <w:rFonts w:ascii="Calibri" w:eastAsia="Calibri" w:hAnsi="Calibri" w:cs="Calibri"/>
          <w:sz w:val="22"/>
          <w:szCs w:val="22"/>
        </w:rPr>
      </w:pPr>
    </w:p>
    <w:tbl>
      <w:tblPr>
        <w:tblStyle w:val="a"/>
        <w:tblW w:w="153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1134"/>
        <w:gridCol w:w="1843"/>
        <w:gridCol w:w="4394"/>
        <w:gridCol w:w="2410"/>
        <w:gridCol w:w="5045"/>
      </w:tblGrid>
      <w:tr w:rsidR="00B066E5" w:rsidRPr="004E3FFA">
        <w:tc>
          <w:tcPr>
            <w:tcW w:w="15388" w:type="dxa"/>
            <w:gridSpan w:val="6"/>
            <w:shd w:val="clear" w:color="auto" w:fill="auto"/>
            <w:vAlign w:val="center"/>
          </w:tcPr>
          <w:p w:rsidR="00B066E5" w:rsidRPr="004E3FFA" w:rsidRDefault="00FC265E">
            <w:pPr>
              <w:spacing w:before="120" w:after="120"/>
              <w:rPr>
                <w:rFonts w:ascii="Calibri" w:eastAsia="Calibri" w:hAnsi="Calibri" w:cs="Calibri"/>
                <w:b/>
                <w:sz w:val="22"/>
                <w:szCs w:val="22"/>
              </w:rPr>
            </w:pPr>
            <w:r w:rsidRPr="004E3FFA">
              <w:rPr>
                <w:rFonts w:ascii="Calibri" w:eastAsia="Calibri" w:hAnsi="Calibri" w:cs="Calibri"/>
                <w:b/>
                <w:i/>
                <w:sz w:val="22"/>
                <w:szCs w:val="22"/>
              </w:rPr>
              <w:t xml:space="preserve">Nazwa dokumentu: </w:t>
            </w:r>
            <w:r w:rsidRPr="004E3FFA">
              <w:rPr>
                <w:rFonts w:ascii="Calibri" w:eastAsia="Calibri" w:hAnsi="Calibri" w:cs="Calibri"/>
                <w:b/>
                <w:sz w:val="22"/>
                <w:szCs w:val="22"/>
              </w:rPr>
              <w:t xml:space="preserve">Opis założeń projektu informatycznego „Utworzenie i upowszechnienie portalu infozawodowe.men.gov.pl” </w:t>
            </w:r>
          </w:p>
          <w:p w:rsidR="00B066E5" w:rsidRPr="004E3FFA" w:rsidRDefault="00FC265E">
            <w:pPr>
              <w:spacing w:before="120" w:after="120"/>
              <w:rPr>
                <w:rFonts w:ascii="Calibri" w:eastAsia="Calibri" w:hAnsi="Calibri" w:cs="Calibri"/>
                <w:b/>
                <w:sz w:val="22"/>
                <w:szCs w:val="22"/>
              </w:rPr>
            </w:pPr>
            <w:r w:rsidRPr="004E3FFA">
              <w:rPr>
                <w:rFonts w:ascii="Calibri" w:eastAsia="Calibri" w:hAnsi="Calibri" w:cs="Calibri"/>
                <w:b/>
                <w:sz w:val="22"/>
                <w:szCs w:val="22"/>
              </w:rPr>
              <w:t xml:space="preserve"> wnioskodawca: Minister Edukacji </w:t>
            </w:r>
          </w:p>
          <w:p w:rsidR="00B066E5" w:rsidRPr="004E3FFA" w:rsidRDefault="00FC265E">
            <w:pPr>
              <w:spacing w:before="120" w:after="120"/>
              <w:rPr>
                <w:rFonts w:ascii="Calibri" w:eastAsia="Calibri" w:hAnsi="Calibri" w:cs="Calibri"/>
                <w:b/>
                <w:i/>
                <w:sz w:val="22"/>
                <w:szCs w:val="22"/>
              </w:rPr>
            </w:pPr>
            <w:r w:rsidRPr="004E3FFA">
              <w:rPr>
                <w:rFonts w:ascii="Calibri" w:eastAsia="Calibri" w:hAnsi="Calibri" w:cs="Calibri"/>
                <w:b/>
                <w:sz w:val="22"/>
                <w:szCs w:val="22"/>
              </w:rPr>
              <w:t>beneficjent: Ośrodek Rozwoju Edukacji</w:t>
            </w:r>
          </w:p>
        </w:tc>
      </w:tr>
      <w:tr w:rsidR="00B066E5" w:rsidRPr="004E3FFA">
        <w:tc>
          <w:tcPr>
            <w:tcW w:w="562" w:type="dxa"/>
            <w:shd w:val="clear" w:color="auto" w:fill="auto"/>
            <w:vAlign w:val="center"/>
          </w:tcPr>
          <w:p w:rsidR="00B066E5" w:rsidRPr="004E3FFA" w:rsidRDefault="00FC265E">
            <w:pPr>
              <w:jc w:val="center"/>
              <w:rPr>
                <w:rFonts w:ascii="Calibri" w:eastAsia="Calibri" w:hAnsi="Calibri" w:cs="Calibri"/>
                <w:b/>
                <w:sz w:val="22"/>
                <w:szCs w:val="22"/>
              </w:rPr>
            </w:pPr>
            <w:r w:rsidRPr="004E3FFA">
              <w:rPr>
                <w:rFonts w:ascii="Calibri" w:eastAsia="Calibri" w:hAnsi="Calibri" w:cs="Calibri"/>
                <w:b/>
                <w:sz w:val="22"/>
                <w:szCs w:val="22"/>
              </w:rPr>
              <w:t>Lp.</w:t>
            </w:r>
          </w:p>
        </w:tc>
        <w:tc>
          <w:tcPr>
            <w:tcW w:w="1134" w:type="dxa"/>
            <w:shd w:val="clear" w:color="auto" w:fill="auto"/>
            <w:vAlign w:val="center"/>
          </w:tcPr>
          <w:p w:rsidR="00B066E5" w:rsidRPr="004E3FFA" w:rsidRDefault="00FC265E">
            <w:pPr>
              <w:jc w:val="center"/>
              <w:rPr>
                <w:rFonts w:ascii="Calibri" w:eastAsia="Calibri" w:hAnsi="Calibri" w:cs="Calibri"/>
                <w:b/>
                <w:sz w:val="22"/>
                <w:szCs w:val="22"/>
              </w:rPr>
            </w:pPr>
            <w:r w:rsidRPr="004E3FFA">
              <w:rPr>
                <w:rFonts w:ascii="Calibri" w:eastAsia="Calibri" w:hAnsi="Calibri" w:cs="Calibri"/>
                <w:b/>
                <w:sz w:val="22"/>
                <w:szCs w:val="22"/>
              </w:rPr>
              <w:t>Organ wnoszący uwagi</w:t>
            </w:r>
          </w:p>
        </w:tc>
        <w:tc>
          <w:tcPr>
            <w:tcW w:w="1843" w:type="dxa"/>
            <w:shd w:val="clear" w:color="auto" w:fill="auto"/>
            <w:vAlign w:val="center"/>
          </w:tcPr>
          <w:p w:rsidR="00B066E5" w:rsidRPr="004E3FFA" w:rsidRDefault="00FC265E">
            <w:pPr>
              <w:jc w:val="center"/>
              <w:rPr>
                <w:rFonts w:ascii="Calibri" w:eastAsia="Calibri" w:hAnsi="Calibri" w:cs="Calibri"/>
                <w:b/>
                <w:sz w:val="22"/>
                <w:szCs w:val="22"/>
              </w:rPr>
            </w:pPr>
            <w:r w:rsidRPr="004E3FFA">
              <w:rPr>
                <w:rFonts w:ascii="Calibri" w:eastAsia="Calibri" w:hAnsi="Calibri" w:cs="Calibri"/>
                <w:b/>
                <w:sz w:val="22"/>
                <w:szCs w:val="22"/>
              </w:rPr>
              <w:t>Jednostka redakcyjna, do której wnoszone są uwagi</w:t>
            </w:r>
          </w:p>
        </w:tc>
        <w:tc>
          <w:tcPr>
            <w:tcW w:w="4394" w:type="dxa"/>
            <w:shd w:val="clear" w:color="auto" w:fill="auto"/>
            <w:vAlign w:val="center"/>
          </w:tcPr>
          <w:p w:rsidR="00B066E5" w:rsidRPr="004E3FFA" w:rsidRDefault="00FC265E">
            <w:pPr>
              <w:jc w:val="center"/>
              <w:rPr>
                <w:rFonts w:ascii="Calibri" w:eastAsia="Calibri" w:hAnsi="Calibri" w:cs="Calibri"/>
                <w:b/>
                <w:sz w:val="22"/>
                <w:szCs w:val="22"/>
              </w:rPr>
            </w:pPr>
            <w:r w:rsidRPr="004E3FFA">
              <w:rPr>
                <w:rFonts w:ascii="Calibri" w:eastAsia="Calibri" w:hAnsi="Calibri" w:cs="Calibri"/>
                <w:b/>
                <w:sz w:val="22"/>
                <w:szCs w:val="22"/>
              </w:rPr>
              <w:t>Treść uwagi</w:t>
            </w:r>
          </w:p>
        </w:tc>
        <w:tc>
          <w:tcPr>
            <w:tcW w:w="2410" w:type="dxa"/>
            <w:shd w:val="clear" w:color="auto" w:fill="auto"/>
            <w:vAlign w:val="center"/>
          </w:tcPr>
          <w:p w:rsidR="00B066E5" w:rsidRPr="004E3FFA" w:rsidRDefault="00FC265E">
            <w:pPr>
              <w:jc w:val="center"/>
              <w:rPr>
                <w:rFonts w:ascii="Calibri" w:eastAsia="Calibri" w:hAnsi="Calibri" w:cs="Calibri"/>
                <w:b/>
                <w:sz w:val="22"/>
                <w:szCs w:val="22"/>
              </w:rPr>
            </w:pPr>
            <w:r w:rsidRPr="004E3FFA">
              <w:rPr>
                <w:rFonts w:ascii="Calibri" w:eastAsia="Calibri" w:hAnsi="Calibri" w:cs="Calibri"/>
                <w:b/>
                <w:sz w:val="22"/>
                <w:szCs w:val="22"/>
              </w:rPr>
              <w:t>Propozycja zmian zapisu</w:t>
            </w:r>
          </w:p>
        </w:tc>
        <w:tc>
          <w:tcPr>
            <w:tcW w:w="5045" w:type="dxa"/>
            <w:vAlign w:val="center"/>
          </w:tcPr>
          <w:p w:rsidR="00B066E5" w:rsidRPr="004E3FFA" w:rsidRDefault="00FC265E">
            <w:pPr>
              <w:jc w:val="center"/>
              <w:rPr>
                <w:rFonts w:ascii="Calibri" w:eastAsia="Calibri" w:hAnsi="Calibri" w:cs="Calibri"/>
                <w:b/>
                <w:sz w:val="22"/>
                <w:szCs w:val="22"/>
              </w:rPr>
            </w:pPr>
            <w:r w:rsidRPr="004E3FFA">
              <w:rPr>
                <w:rFonts w:ascii="Calibri" w:eastAsia="Calibri" w:hAnsi="Calibri" w:cs="Calibri"/>
                <w:b/>
                <w:sz w:val="22"/>
                <w:szCs w:val="22"/>
              </w:rPr>
              <w:t>Odniesienie do uwagi</w:t>
            </w:r>
          </w:p>
        </w:tc>
      </w:tr>
      <w:tr w:rsidR="00B066E5" w:rsidRPr="004E3FFA">
        <w:tc>
          <w:tcPr>
            <w:tcW w:w="562" w:type="dxa"/>
            <w:shd w:val="clear" w:color="auto" w:fill="auto"/>
          </w:tcPr>
          <w:p w:rsidR="00B066E5" w:rsidRPr="004E3FFA" w:rsidRDefault="00FC265E">
            <w:pPr>
              <w:spacing w:before="120" w:after="120"/>
              <w:jc w:val="center"/>
              <w:rPr>
                <w:rFonts w:ascii="Calibri" w:eastAsia="Calibri" w:hAnsi="Calibri" w:cs="Calibri"/>
                <w:b/>
                <w:sz w:val="22"/>
                <w:szCs w:val="22"/>
              </w:rPr>
            </w:pPr>
            <w:r w:rsidRPr="004E3FFA">
              <w:rPr>
                <w:rFonts w:ascii="Calibri" w:eastAsia="Calibri" w:hAnsi="Calibri" w:cs="Calibri"/>
                <w:b/>
                <w:sz w:val="22"/>
                <w:szCs w:val="22"/>
              </w:rPr>
              <w:t>1</w:t>
            </w:r>
          </w:p>
        </w:tc>
        <w:tc>
          <w:tcPr>
            <w:tcW w:w="1134" w:type="dxa"/>
            <w:shd w:val="clear" w:color="auto" w:fill="auto"/>
          </w:tcPr>
          <w:p w:rsidR="00B066E5" w:rsidRPr="004E3FFA" w:rsidRDefault="00FC265E">
            <w:pPr>
              <w:spacing w:before="60" w:after="60"/>
              <w:jc w:val="center"/>
              <w:rPr>
                <w:rFonts w:ascii="Calibri" w:eastAsia="Calibri" w:hAnsi="Calibri" w:cs="Calibri"/>
                <w:sz w:val="22"/>
                <w:szCs w:val="22"/>
              </w:rPr>
            </w:pPr>
            <w:r w:rsidRPr="004E3FFA">
              <w:rPr>
                <w:rFonts w:ascii="Calibri" w:eastAsia="Calibri" w:hAnsi="Calibri" w:cs="Calibri"/>
                <w:color w:val="000000"/>
                <w:sz w:val="22"/>
                <w:szCs w:val="22"/>
              </w:rPr>
              <w:t>Rada Architektury IT</w:t>
            </w:r>
          </w:p>
        </w:tc>
        <w:tc>
          <w:tcPr>
            <w:tcW w:w="1843" w:type="dxa"/>
            <w:shd w:val="clear" w:color="auto" w:fill="auto"/>
          </w:tcPr>
          <w:p w:rsidR="00B066E5" w:rsidRPr="004E3FFA" w:rsidRDefault="00B066E5">
            <w:pPr>
              <w:jc w:val="center"/>
              <w:rPr>
                <w:rFonts w:ascii="Calibri" w:eastAsia="Calibri" w:hAnsi="Calibri" w:cs="Calibri"/>
                <w:sz w:val="22"/>
                <w:szCs w:val="22"/>
              </w:rPr>
            </w:pPr>
          </w:p>
        </w:tc>
        <w:tc>
          <w:tcPr>
            <w:tcW w:w="4394" w:type="dxa"/>
            <w:shd w:val="clear" w:color="auto" w:fill="auto"/>
          </w:tcPr>
          <w:p w:rsidR="00B066E5" w:rsidRPr="004E3FFA" w:rsidRDefault="00FC265E">
            <w:pPr>
              <w:rPr>
                <w:rFonts w:ascii="Calibri" w:eastAsia="Calibri" w:hAnsi="Calibri" w:cs="Calibri"/>
                <w:sz w:val="22"/>
                <w:szCs w:val="22"/>
              </w:rPr>
            </w:pPr>
            <w:r w:rsidRPr="004E3FFA">
              <w:rPr>
                <w:rFonts w:ascii="Calibri" w:eastAsia="Calibri" w:hAnsi="Calibri" w:cs="Calibri"/>
                <w:color w:val="000000"/>
                <w:sz w:val="22"/>
                <w:szCs w:val="22"/>
              </w:rPr>
              <w:t>Wyjaśnienie (w piśmie) w jaki sposób realizowany/przebiegać będzie proces logowania przedsiębiorców nowego Portalu za pomocą CEIDG. Z wyjaśnień Beneficjenta wynika, iż przedsiębiorcy będą logowali się do nowego Portalu za pomocą CEIDG</w:t>
            </w:r>
          </w:p>
        </w:tc>
        <w:tc>
          <w:tcPr>
            <w:tcW w:w="2410" w:type="dxa"/>
            <w:shd w:val="clear" w:color="auto" w:fill="auto"/>
          </w:tcPr>
          <w:p w:rsidR="00B066E5" w:rsidRPr="004E3FFA" w:rsidRDefault="00B066E5">
            <w:pPr>
              <w:jc w:val="center"/>
              <w:rPr>
                <w:rFonts w:ascii="Calibri" w:eastAsia="Calibri" w:hAnsi="Calibri" w:cs="Calibri"/>
                <w:sz w:val="22"/>
                <w:szCs w:val="22"/>
              </w:rPr>
            </w:pPr>
          </w:p>
        </w:tc>
        <w:tc>
          <w:tcPr>
            <w:tcW w:w="5045" w:type="dxa"/>
          </w:tcPr>
          <w:p w:rsidR="00B066E5" w:rsidRPr="004E3FFA" w:rsidRDefault="00FC265E">
            <w:pPr>
              <w:rPr>
                <w:rFonts w:ascii="Calibri" w:eastAsia="Calibri" w:hAnsi="Calibri" w:cs="Calibri"/>
                <w:sz w:val="22"/>
                <w:szCs w:val="22"/>
              </w:rPr>
            </w:pPr>
            <w:r w:rsidRPr="004E3FFA">
              <w:rPr>
                <w:rFonts w:ascii="Calibri" w:eastAsia="Calibri" w:hAnsi="Calibri" w:cs="Calibri"/>
                <w:color w:val="000000"/>
                <w:sz w:val="22"/>
                <w:szCs w:val="22"/>
              </w:rPr>
              <w:t xml:space="preserve">Przedsiębiorcy, którzy mają konto na </w:t>
            </w:r>
            <w:proofErr w:type="spellStart"/>
            <w:r w:rsidRPr="004E3FFA">
              <w:rPr>
                <w:rFonts w:ascii="Calibri" w:eastAsia="Calibri" w:hAnsi="Calibri" w:cs="Calibri"/>
                <w:color w:val="000000"/>
                <w:sz w:val="22"/>
                <w:szCs w:val="22"/>
              </w:rPr>
              <w:t>CEiDG</w:t>
            </w:r>
            <w:proofErr w:type="spellEnd"/>
            <w:r w:rsidRPr="004E3FFA">
              <w:rPr>
                <w:rFonts w:ascii="Calibri" w:eastAsia="Calibri" w:hAnsi="Calibri" w:cs="Calibri"/>
                <w:color w:val="000000"/>
                <w:sz w:val="22"/>
                <w:szCs w:val="22"/>
              </w:rPr>
              <w:t xml:space="preserve"> będą mieli możliwość logowania się do portalu INFOZAWODOWE przez CEIDG. Pozostali przedsiębiorcy mogą zalogować się przez WK. INFOZAWODOWE zweryfikuje (w CEIDG) jaką działalność prowadzi osoba zalogowana bezpośrednio przez WK.</w:t>
            </w:r>
          </w:p>
        </w:tc>
      </w:tr>
      <w:tr w:rsidR="00B066E5" w:rsidRPr="004E3FFA">
        <w:tc>
          <w:tcPr>
            <w:tcW w:w="562" w:type="dxa"/>
            <w:shd w:val="clear" w:color="auto" w:fill="auto"/>
          </w:tcPr>
          <w:p w:rsidR="00B066E5" w:rsidRPr="004E3FFA" w:rsidRDefault="00FC265E">
            <w:pPr>
              <w:spacing w:before="120" w:after="120"/>
              <w:jc w:val="center"/>
              <w:rPr>
                <w:rFonts w:ascii="Calibri" w:eastAsia="Calibri" w:hAnsi="Calibri" w:cs="Calibri"/>
                <w:b/>
                <w:sz w:val="22"/>
                <w:szCs w:val="22"/>
              </w:rPr>
            </w:pPr>
            <w:r w:rsidRPr="004E3FFA">
              <w:rPr>
                <w:rFonts w:ascii="Calibri" w:eastAsia="Calibri" w:hAnsi="Calibri" w:cs="Calibri"/>
                <w:b/>
                <w:sz w:val="22"/>
                <w:szCs w:val="22"/>
              </w:rPr>
              <w:t>2</w:t>
            </w:r>
          </w:p>
        </w:tc>
        <w:tc>
          <w:tcPr>
            <w:tcW w:w="1134" w:type="dxa"/>
            <w:shd w:val="clear" w:color="auto" w:fill="auto"/>
          </w:tcPr>
          <w:p w:rsidR="00B066E5" w:rsidRPr="004E3FFA" w:rsidRDefault="00FC265E">
            <w:pPr>
              <w:spacing w:before="60" w:after="60"/>
              <w:jc w:val="center"/>
              <w:rPr>
                <w:rFonts w:ascii="Calibri" w:eastAsia="Calibri" w:hAnsi="Calibri" w:cs="Calibri"/>
                <w:sz w:val="22"/>
                <w:szCs w:val="22"/>
              </w:rPr>
            </w:pPr>
            <w:r w:rsidRPr="004E3FFA">
              <w:rPr>
                <w:rFonts w:ascii="Calibri" w:eastAsia="Calibri" w:hAnsi="Calibri" w:cs="Calibri"/>
                <w:color w:val="000000"/>
                <w:sz w:val="22"/>
                <w:szCs w:val="22"/>
              </w:rPr>
              <w:t>Rada Architektury IT</w:t>
            </w:r>
          </w:p>
        </w:tc>
        <w:tc>
          <w:tcPr>
            <w:tcW w:w="1843" w:type="dxa"/>
            <w:shd w:val="clear" w:color="auto" w:fill="auto"/>
          </w:tcPr>
          <w:p w:rsidR="00B066E5" w:rsidRPr="004E3FFA" w:rsidRDefault="00B066E5">
            <w:pPr>
              <w:jc w:val="center"/>
              <w:rPr>
                <w:rFonts w:ascii="Calibri" w:eastAsia="Calibri" w:hAnsi="Calibri" w:cs="Calibri"/>
                <w:sz w:val="22"/>
                <w:szCs w:val="22"/>
              </w:rPr>
            </w:pPr>
          </w:p>
        </w:tc>
        <w:tc>
          <w:tcPr>
            <w:tcW w:w="4394" w:type="dxa"/>
            <w:shd w:val="clear" w:color="auto" w:fill="auto"/>
          </w:tcPr>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 xml:space="preserve">Wyjaśnienie (w piśmie) jaką rolę odegra WK, skoro nie przewiduje się logowania uczniów i nauczycieli, a przedsiębiorcy będą logowali się za pośrednictwem </w:t>
            </w:r>
            <w:proofErr w:type="spellStart"/>
            <w:r w:rsidRPr="004E3FFA">
              <w:rPr>
                <w:rFonts w:ascii="Calibri" w:eastAsia="Calibri" w:hAnsi="Calibri" w:cs="Calibri"/>
                <w:color w:val="000000"/>
                <w:sz w:val="22"/>
                <w:szCs w:val="22"/>
              </w:rPr>
              <w:t>CEiDG</w:t>
            </w:r>
            <w:proofErr w:type="spellEnd"/>
            <w:r w:rsidRPr="004E3FFA">
              <w:rPr>
                <w:rFonts w:ascii="Calibri" w:eastAsia="Calibri" w:hAnsi="Calibri" w:cs="Calibri"/>
                <w:color w:val="000000"/>
                <w:sz w:val="22"/>
                <w:szCs w:val="22"/>
              </w:rPr>
              <w:t xml:space="preserve"> i ew. KRS</w:t>
            </w:r>
          </w:p>
          <w:p w:rsidR="00B066E5" w:rsidRPr="004E3FFA" w:rsidRDefault="00B066E5">
            <w:pPr>
              <w:pBdr>
                <w:top w:val="nil"/>
                <w:left w:val="nil"/>
                <w:bottom w:val="nil"/>
                <w:right w:val="nil"/>
                <w:between w:val="nil"/>
              </w:pBdr>
              <w:rPr>
                <w:rFonts w:ascii="Calibri" w:eastAsia="Calibri" w:hAnsi="Calibri" w:cs="Calibri"/>
                <w:color w:val="000000"/>
                <w:sz w:val="22"/>
                <w:szCs w:val="22"/>
              </w:rPr>
            </w:pPr>
          </w:p>
        </w:tc>
        <w:tc>
          <w:tcPr>
            <w:tcW w:w="2410" w:type="dxa"/>
            <w:shd w:val="clear" w:color="auto" w:fill="auto"/>
          </w:tcPr>
          <w:p w:rsidR="00B066E5" w:rsidRPr="004E3FFA" w:rsidRDefault="00B066E5">
            <w:pPr>
              <w:jc w:val="center"/>
              <w:rPr>
                <w:rFonts w:ascii="Calibri" w:eastAsia="Calibri" w:hAnsi="Calibri" w:cs="Calibri"/>
                <w:sz w:val="22"/>
                <w:szCs w:val="22"/>
              </w:rPr>
            </w:pPr>
          </w:p>
        </w:tc>
        <w:tc>
          <w:tcPr>
            <w:tcW w:w="5045" w:type="dxa"/>
          </w:tcPr>
          <w:p w:rsidR="00B066E5" w:rsidRPr="004E3FFA" w:rsidRDefault="00FC265E">
            <w:pPr>
              <w:rPr>
                <w:rFonts w:ascii="Calibri" w:eastAsia="Calibri" w:hAnsi="Calibri" w:cs="Calibri"/>
                <w:sz w:val="22"/>
                <w:szCs w:val="22"/>
              </w:rPr>
            </w:pPr>
            <w:r w:rsidRPr="004E3FFA">
              <w:rPr>
                <w:rFonts w:ascii="Calibri" w:eastAsia="Calibri" w:hAnsi="Calibri" w:cs="Calibri"/>
                <w:color w:val="000000"/>
                <w:sz w:val="22"/>
                <w:szCs w:val="22"/>
              </w:rPr>
              <w:t>Przedsiębiorcy nieposiadający konta w CEIDG będą mieli możliwość zalogowania się do INFOZAWODOWE przez WK. Na dalszym etapie prac projektu, zostanie zweryfikowana możliwość logowania się przedsiębiorców za pośrednictwem KRS.</w:t>
            </w:r>
          </w:p>
        </w:tc>
      </w:tr>
      <w:tr w:rsidR="00B066E5" w:rsidRPr="004E3FFA">
        <w:trPr>
          <w:trHeight w:val="885"/>
        </w:trPr>
        <w:tc>
          <w:tcPr>
            <w:tcW w:w="562" w:type="dxa"/>
            <w:shd w:val="clear" w:color="auto" w:fill="auto"/>
          </w:tcPr>
          <w:p w:rsidR="00B066E5" w:rsidRPr="004E3FFA" w:rsidRDefault="00FC265E">
            <w:pPr>
              <w:spacing w:before="120" w:after="120"/>
              <w:jc w:val="center"/>
              <w:rPr>
                <w:rFonts w:ascii="Calibri" w:eastAsia="Calibri" w:hAnsi="Calibri" w:cs="Calibri"/>
                <w:b/>
                <w:sz w:val="22"/>
                <w:szCs w:val="22"/>
              </w:rPr>
            </w:pPr>
            <w:r w:rsidRPr="004E3FFA">
              <w:rPr>
                <w:rFonts w:ascii="Calibri" w:eastAsia="Calibri" w:hAnsi="Calibri" w:cs="Calibri"/>
                <w:b/>
                <w:sz w:val="22"/>
                <w:szCs w:val="22"/>
              </w:rPr>
              <w:t>3</w:t>
            </w:r>
          </w:p>
        </w:tc>
        <w:tc>
          <w:tcPr>
            <w:tcW w:w="1134" w:type="dxa"/>
            <w:shd w:val="clear" w:color="auto" w:fill="auto"/>
          </w:tcPr>
          <w:p w:rsidR="00B066E5" w:rsidRPr="004E3FFA" w:rsidRDefault="00FC265E">
            <w:pPr>
              <w:spacing w:before="60" w:after="60"/>
              <w:jc w:val="center"/>
              <w:rPr>
                <w:rFonts w:ascii="Calibri" w:eastAsia="Calibri" w:hAnsi="Calibri" w:cs="Calibri"/>
                <w:b/>
                <w:sz w:val="22"/>
                <w:szCs w:val="22"/>
              </w:rPr>
            </w:pPr>
            <w:r w:rsidRPr="004E3FFA">
              <w:rPr>
                <w:rFonts w:ascii="Calibri" w:eastAsia="Calibri" w:hAnsi="Calibri" w:cs="Calibri"/>
                <w:color w:val="000000"/>
                <w:sz w:val="22"/>
                <w:szCs w:val="22"/>
              </w:rPr>
              <w:t xml:space="preserve">Rada Architektury IT </w:t>
            </w:r>
          </w:p>
        </w:tc>
        <w:tc>
          <w:tcPr>
            <w:tcW w:w="1843" w:type="dxa"/>
            <w:shd w:val="clear" w:color="auto" w:fill="auto"/>
          </w:tcPr>
          <w:p w:rsidR="00B066E5" w:rsidRPr="004E3FFA" w:rsidRDefault="00FC265E">
            <w:pPr>
              <w:jc w:val="center"/>
              <w:rPr>
                <w:rFonts w:ascii="Calibri" w:eastAsia="Calibri" w:hAnsi="Calibri" w:cs="Calibri"/>
                <w:sz w:val="22"/>
                <w:szCs w:val="22"/>
              </w:rPr>
            </w:pPr>
            <w:r w:rsidRPr="004E3FFA">
              <w:rPr>
                <w:rFonts w:ascii="Calibri" w:eastAsia="Calibri" w:hAnsi="Calibri" w:cs="Calibri"/>
                <w:sz w:val="22"/>
                <w:szCs w:val="22"/>
              </w:rPr>
              <w:t>Pkt. 3</w:t>
            </w:r>
          </w:p>
        </w:tc>
        <w:tc>
          <w:tcPr>
            <w:tcW w:w="4394" w:type="dxa"/>
            <w:shd w:val="clear" w:color="auto" w:fill="auto"/>
          </w:tcPr>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 xml:space="preserve">Przekazanie sprawozdania z wykonania kamieni milowych planowanych do osiągnięcia do 2 stycznia 2025 r. </w:t>
            </w:r>
          </w:p>
        </w:tc>
        <w:tc>
          <w:tcPr>
            <w:tcW w:w="2410" w:type="dxa"/>
            <w:shd w:val="clear" w:color="auto" w:fill="auto"/>
          </w:tcPr>
          <w:p w:rsidR="00B066E5" w:rsidRPr="004E3FFA" w:rsidRDefault="00B066E5">
            <w:pPr>
              <w:jc w:val="center"/>
              <w:rPr>
                <w:rFonts w:ascii="Calibri" w:eastAsia="Calibri" w:hAnsi="Calibri" w:cs="Calibri"/>
                <w:sz w:val="22"/>
                <w:szCs w:val="22"/>
              </w:rPr>
            </w:pPr>
          </w:p>
        </w:tc>
        <w:tc>
          <w:tcPr>
            <w:tcW w:w="5045" w:type="dxa"/>
          </w:tcPr>
          <w:p w:rsidR="00B066E5" w:rsidRPr="004E3FFA" w:rsidRDefault="00FC265E">
            <w:pPr>
              <w:rPr>
                <w:rFonts w:ascii="Calibri" w:eastAsia="Calibri" w:hAnsi="Calibri" w:cs="Calibri"/>
                <w:sz w:val="22"/>
                <w:szCs w:val="22"/>
              </w:rPr>
            </w:pPr>
            <w:r w:rsidRPr="004E3FFA">
              <w:rPr>
                <w:rFonts w:ascii="Calibri" w:eastAsia="Calibri" w:hAnsi="Calibri" w:cs="Calibri"/>
                <w:sz w:val="22"/>
                <w:szCs w:val="22"/>
              </w:rPr>
              <w:t>Sprawozdanie w załączeniu</w:t>
            </w:r>
          </w:p>
        </w:tc>
      </w:tr>
      <w:tr w:rsidR="00B066E5" w:rsidRPr="004E3FFA" w:rsidTr="004E3FFA">
        <w:trPr>
          <w:trHeight w:val="7213"/>
        </w:trPr>
        <w:tc>
          <w:tcPr>
            <w:tcW w:w="562" w:type="dxa"/>
            <w:shd w:val="clear" w:color="auto" w:fill="auto"/>
          </w:tcPr>
          <w:p w:rsidR="00B066E5" w:rsidRPr="004E3FFA" w:rsidRDefault="00FC265E">
            <w:pPr>
              <w:spacing w:before="120" w:after="120"/>
              <w:jc w:val="center"/>
              <w:rPr>
                <w:rFonts w:ascii="Calibri" w:eastAsia="Calibri" w:hAnsi="Calibri" w:cs="Calibri"/>
                <w:b/>
                <w:sz w:val="22"/>
                <w:szCs w:val="22"/>
              </w:rPr>
            </w:pPr>
            <w:r w:rsidRPr="004E3FFA">
              <w:rPr>
                <w:rFonts w:ascii="Calibri" w:eastAsia="Calibri" w:hAnsi="Calibri" w:cs="Calibri"/>
                <w:b/>
                <w:sz w:val="22"/>
                <w:szCs w:val="22"/>
              </w:rPr>
              <w:lastRenderedPageBreak/>
              <w:t>4</w:t>
            </w:r>
          </w:p>
        </w:tc>
        <w:tc>
          <w:tcPr>
            <w:tcW w:w="1134" w:type="dxa"/>
            <w:shd w:val="clear" w:color="auto" w:fill="auto"/>
          </w:tcPr>
          <w:p w:rsidR="00B066E5" w:rsidRPr="004E3FFA" w:rsidRDefault="00FC265E">
            <w:pPr>
              <w:spacing w:before="60" w:after="60"/>
              <w:jc w:val="center"/>
              <w:rPr>
                <w:rFonts w:ascii="Calibri" w:eastAsia="Calibri" w:hAnsi="Calibri" w:cs="Calibri"/>
                <w:b/>
                <w:sz w:val="22"/>
                <w:szCs w:val="22"/>
              </w:rPr>
            </w:pPr>
            <w:r w:rsidRPr="004E3FFA">
              <w:rPr>
                <w:rFonts w:ascii="Calibri" w:eastAsia="Calibri" w:hAnsi="Calibri" w:cs="Calibri"/>
                <w:color w:val="000000"/>
                <w:sz w:val="22"/>
                <w:szCs w:val="22"/>
              </w:rPr>
              <w:t>Rada Architektury IT</w:t>
            </w:r>
          </w:p>
        </w:tc>
        <w:tc>
          <w:tcPr>
            <w:tcW w:w="1843" w:type="dxa"/>
            <w:shd w:val="clear" w:color="auto" w:fill="auto"/>
          </w:tcPr>
          <w:p w:rsidR="00B066E5" w:rsidRPr="004E3FFA" w:rsidRDefault="00FC265E">
            <w:pPr>
              <w:jc w:val="center"/>
              <w:rPr>
                <w:rFonts w:ascii="Calibri" w:eastAsia="Calibri" w:hAnsi="Calibri" w:cs="Calibri"/>
                <w:sz w:val="22"/>
                <w:szCs w:val="22"/>
              </w:rPr>
            </w:pPr>
            <w:r w:rsidRPr="004E3FFA">
              <w:rPr>
                <w:rFonts w:ascii="Calibri" w:eastAsia="Calibri" w:hAnsi="Calibri" w:cs="Calibri"/>
                <w:sz w:val="22"/>
                <w:szCs w:val="22"/>
              </w:rPr>
              <w:t>Pkt. 3</w:t>
            </w:r>
          </w:p>
        </w:tc>
        <w:tc>
          <w:tcPr>
            <w:tcW w:w="4394" w:type="dxa"/>
            <w:shd w:val="clear" w:color="auto" w:fill="auto"/>
          </w:tcPr>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Wyjaśnienie (w piśmie) o jakim „uzupełnieniu” mowa w kamieniu milowym „Strona uzupełniona o brakujące zasoby, wynikające z wykonanego zestawienia zawartości strony https://infozawodowe.men.gov.pl/, będące zgodne technologicznie z obecną strukturą strony”</w:t>
            </w:r>
          </w:p>
        </w:tc>
        <w:tc>
          <w:tcPr>
            <w:tcW w:w="2410" w:type="dxa"/>
            <w:shd w:val="clear" w:color="auto" w:fill="auto"/>
          </w:tcPr>
          <w:p w:rsidR="00B066E5" w:rsidRPr="004E3FFA" w:rsidRDefault="00B066E5">
            <w:pPr>
              <w:jc w:val="center"/>
              <w:rPr>
                <w:rFonts w:ascii="Calibri" w:eastAsia="Calibri" w:hAnsi="Calibri" w:cs="Calibri"/>
                <w:sz w:val="22"/>
                <w:szCs w:val="22"/>
              </w:rPr>
            </w:pPr>
          </w:p>
        </w:tc>
        <w:tc>
          <w:tcPr>
            <w:tcW w:w="5045" w:type="dxa"/>
          </w:tcPr>
          <w:p w:rsidR="00B066E5" w:rsidRPr="004E3FFA" w:rsidRDefault="00FC265E">
            <w:pPr>
              <w:pBdr>
                <w:top w:val="nil"/>
                <w:left w:val="nil"/>
                <w:bottom w:val="nil"/>
                <w:right w:val="nil"/>
                <w:between w:val="nil"/>
              </w:pBdr>
              <w:spacing w:after="160"/>
              <w:rPr>
                <w:rFonts w:ascii="Calibri" w:eastAsia="Calibri" w:hAnsi="Calibri" w:cs="Calibri"/>
                <w:color w:val="000000"/>
                <w:sz w:val="22"/>
                <w:szCs w:val="22"/>
              </w:rPr>
            </w:pPr>
            <w:r w:rsidRPr="004E3FFA">
              <w:rPr>
                <w:rFonts w:ascii="Calibri" w:eastAsia="Calibri" w:hAnsi="Calibri" w:cs="Calibri"/>
                <w:color w:val="000000"/>
                <w:sz w:val="22"/>
                <w:szCs w:val="22"/>
              </w:rPr>
              <w:t xml:space="preserve">Strona internetowa </w:t>
            </w:r>
            <w:hyperlink r:id="rId5">
              <w:r w:rsidRPr="004E3FFA">
                <w:rPr>
                  <w:rFonts w:ascii="Calibri" w:eastAsia="Calibri" w:hAnsi="Calibri" w:cs="Calibri"/>
                  <w:color w:val="0563C1"/>
                  <w:sz w:val="22"/>
                  <w:szCs w:val="22"/>
                  <w:u w:val="single"/>
                </w:rPr>
                <w:t>https://infozawodowe.men.gov.pl/</w:t>
              </w:r>
            </w:hyperlink>
            <w:r w:rsidRPr="004E3FFA">
              <w:rPr>
                <w:rFonts w:ascii="Calibri" w:eastAsia="Calibri" w:hAnsi="Calibri" w:cs="Calibri"/>
                <w:color w:val="000000"/>
                <w:sz w:val="22"/>
                <w:szCs w:val="22"/>
              </w:rPr>
              <w:t xml:space="preserve"> powinna zawierać materiały powstające w ramach różnych projektów unijnych realizowanych przez Ministerstwo Edukacji Narodowej, w tym:</w:t>
            </w:r>
          </w:p>
          <w:p w:rsidR="00B066E5" w:rsidRPr="004E3FFA" w:rsidRDefault="00FC265E">
            <w:pPr>
              <w:pBdr>
                <w:top w:val="nil"/>
                <w:left w:val="nil"/>
                <w:bottom w:val="nil"/>
                <w:right w:val="nil"/>
                <w:between w:val="nil"/>
              </w:pBdr>
              <w:spacing w:before="22"/>
              <w:rPr>
                <w:rFonts w:ascii="Calibri" w:eastAsia="Calibri" w:hAnsi="Calibri" w:cs="Calibri"/>
                <w:color w:val="000000"/>
                <w:sz w:val="22"/>
                <w:szCs w:val="22"/>
              </w:rPr>
            </w:pPr>
            <w:r w:rsidRPr="004E3FFA">
              <w:rPr>
                <w:rFonts w:ascii="Calibri" w:eastAsia="Calibri" w:hAnsi="Calibri" w:cs="Calibri"/>
                <w:color w:val="000000"/>
                <w:sz w:val="22"/>
                <w:szCs w:val="22"/>
              </w:rPr>
              <w:t>1. Przygotowanie i udostępnienie multimedialnych zasobów wspierających proces doradztwa zawodowego;</w:t>
            </w:r>
          </w:p>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2. Perspektywy Edukacyjno-Zawodowe;</w:t>
            </w:r>
          </w:p>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3. Mój zawód – moja przyszłość;</w:t>
            </w:r>
          </w:p>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 xml:space="preserve">4. NCA – New </w:t>
            </w:r>
            <w:proofErr w:type="spellStart"/>
            <w:r w:rsidRPr="004E3FFA">
              <w:rPr>
                <w:rFonts w:ascii="Calibri" w:eastAsia="Calibri" w:hAnsi="Calibri" w:cs="Calibri"/>
                <w:color w:val="000000"/>
                <w:sz w:val="22"/>
                <w:szCs w:val="22"/>
              </w:rPr>
              <w:t>Competence</w:t>
            </w:r>
            <w:proofErr w:type="spellEnd"/>
            <w:r w:rsidRPr="004E3FFA">
              <w:rPr>
                <w:rFonts w:ascii="Calibri" w:eastAsia="Calibri" w:hAnsi="Calibri" w:cs="Calibri"/>
                <w:color w:val="000000"/>
                <w:sz w:val="22"/>
                <w:szCs w:val="22"/>
              </w:rPr>
              <w:t xml:space="preserve"> and </w:t>
            </w:r>
            <w:proofErr w:type="spellStart"/>
            <w:r w:rsidRPr="004E3FFA">
              <w:rPr>
                <w:rFonts w:ascii="Calibri" w:eastAsia="Calibri" w:hAnsi="Calibri" w:cs="Calibri"/>
                <w:color w:val="000000"/>
                <w:sz w:val="22"/>
                <w:szCs w:val="22"/>
              </w:rPr>
              <w:t>Ability</w:t>
            </w:r>
            <w:proofErr w:type="spellEnd"/>
            <w:r w:rsidRPr="004E3FFA">
              <w:rPr>
                <w:rFonts w:ascii="Calibri" w:eastAsia="Calibri" w:hAnsi="Calibri" w:cs="Calibri"/>
                <w:color w:val="000000"/>
                <w:sz w:val="22"/>
                <w:szCs w:val="22"/>
              </w:rPr>
              <w:t xml:space="preserve"> – narzędzia i materiały metodyczne do badania kompetencji i zainteresowań zawodowych osób dorosłych;</w:t>
            </w:r>
          </w:p>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5. Nowoczesne rozwiązania w doradztwie zawodowym;</w:t>
            </w:r>
          </w:p>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6. Weryfikacja i odbiór produktów projektów konkursowych z Działania 2.14.</w:t>
            </w:r>
          </w:p>
          <w:p w:rsidR="00B066E5" w:rsidRPr="004E3FFA" w:rsidRDefault="00B066E5">
            <w:pPr>
              <w:rPr>
                <w:rFonts w:ascii="Calibri" w:eastAsia="Calibri" w:hAnsi="Calibri" w:cs="Calibri"/>
                <w:sz w:val="22"/>
                <w:szCs w:val="22"/>
              </w:rPr>
            </w:pPr>
          </w:p>
          <w:p w:rsidR="00B066E5" w:rsidRPr="004E3FFA" w:rsidRDefault="00FC265E">
            <w:pPr>
              <w:pBdr>
                <w:top w:val="nil"/>
                <w:left w:val="nil"/>
                <w:bottom w:val="nil"/>
                <w:right w:val="nil"/>
                <w:between w:val="nil"/>
              </w:pBdr>
              <w:spacing w:after="160"/>
              <w:rPr>
                <w:rFonts w:ascii="Calibri" w:eastAsia="Calibri" w:hAnsi="Calibri" w:cs="Calibri"/>
                <w:color w:val="000000"/>
                <w:sz w:val="22"/>
                <w:szCs w:val="22"/>
              </w:rPr>
            </w:pPr>
            <w:r w:rsidRPr="004E3FFA">
              <w:rPr>
                <w:rFonts w:ascii="Calibri" w:eastAsia="Calibri" w:hAnsi="Calibri" w:cs="Calibri"/>
                <w:color w:val="000000"/>
                <w:sz w:val="22"/>
                <w:szCs w:val="22"/>
              </w:rPr>
              <w:t>W wyniku przeprowadzonej szczegółowej analizy zawartości aktualnej strony ustalono brakujące zasoby w następujących kategoriach: filmy o zawodzie, filmy promocyjne, spacery 360, quizy, informacje o zawodach oraz broszury. Opracowano wykaz brakujących materiałów i informacji i uzupełniono stronę, uwzględniając obecną funkcjonalność portalu.</w:t>
            </w:r>
          </w:p>
        </w:tc>
      </w:tr>
      <w:tr w:rsidR="00B066E5" w:rsidRPr="004E3FFA">
        <w:tc>
          <w:tcPr>
            <w:tcW w:w="562" w:type="dxa"/>
            <w:shd w:val="clear" w:color="auto" w:fill="auto"/>
          </w:tcPr>
          <w:p w:rsidR="00B066E5" w:rsidRPr="004E3FFA" w:rsidRDefault="00FC265E">
            <w:pPr>
              <w:spacing w:before="120" w:after="120"/>
              <w:jc w:val="center"/>
              <w:rPr>
                <w:rFonts w:ascii="Calibri" w:eastAsia="Calibri" w:hAnsi="Calibri" w:cs="Calibri"/>
                <w:b/>
                <w:sz w:val="22"/>
                <w:szCs w:val="22"/>
              </w:rPr>
            </w:pPr>
            <w:r w:rsidRPr="004E3FFA">
              <w:rPr>
                <w:rFonts w:ascii="Calibri" w:eastAsia="Calibri" w:hAnsi="Calibri" w:cs="Calibri"/>
                <w:b/>
                <w:sz w:val="22"/>
                <w:szCs w:val="22"/>
              </w:rPr>
              <w:t>5</w:t>
            </w:r>
          </w:p>
        </w:tc>
        <w:tc>
          <w:tcPr>
            <w:tcW w:w="1134" w:type="dxa"/>
            <w:shd w:val="clear" w:color="auto" w:fill="auto"/>
          </w:tcPr>
          <w:p w:rsidR="00B066E5" w:rsidRPr="004E3FFA" w:rsidRDefault="00FC265E">
            <w:pPr>
              <w:spacing w:before="60" w:after="60"/>
              <w:jc w:val="center"/>
              <w:rPr>
                <w:rFonts w:ascii="Calibri" w:eastAsia="Calibri" w:hAnsi="Calibri" w:cs="Calibri"/>
                <w:b/>
                <w:sz w:val="22"/>
                <w:szCs w:val="22"/>
              </w:rPr>
            </w:pPr>
            <w:r w:rsidRPr="004E3FFA">
              <w:rPr>
                <w:rFonts w:ascii="Calibri" w:eastAsia="Calibri" w:hAnsi="Calibri" w:cs="Calibri"/>
                <w:color w:val="000000"/>
                <w:sz w:val="22"/>
                <w:szCs w:val="22"/>
              </w:rPr>
              <w:t>Rada Architektury IT</w:t>
            </w:r>
          </w:p>
        </w:tc>
        <w:tc>
          <w:tcPr>
            <w:tcW w:w="1843" w:type="dxa"/>
            <w:shd w:val="clear" w:color="auto" w:fill="auto"/>
          </w:tcPr>
          <w:p w:rsidR="00B066E5" w:rsidRPr="004E3FFA" w:rsidRDefault="00FC265E">
            <w:pPr>
              <w:jc w:val="center"/>
              <w:rPr>
                <w:rFonts w:ascii="Calibri" w:eastAsia="Calibri" w:hAnsi="Calibri" w:cs="Calibri"/>
                <w:sz w:val="22"/>
                <w:szCs w:val="22"/>
              </w:rPr>
            </w:pPr>
            <w:r w:rsidRPr="004E3FFA">
              <w:rPr>
                <w:rFonts w:ascii="Calibri" w:eastAsia="Calibri" w:hAnsi="Calibri" w:cs="Calibri"/>
                <w:sz w:val="22"/>
                <w:szCs w:val="22"/>
              </w:rPr>
              <w:t>Pkt. 3</w:t>
            </w:r>
          </w:p>
        </w:tc>
        <w:tc>
          <w:tcPr>
            <w:tcW w:w="4394" w:type="dxa"/>
            <w:shd w:val="clear" w:color="auto" w:fill="auto"/>
          </w:tcPr>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Wyjaśnienie (w piśmie) na czym będzie polegało badanie z kamienia milowego „Raport z badania zadowolenia grupy docelowej pod kątem funkcjonalności i zawartości merytorycznej portalu”, którego termin został zaplanowany na dzień - 2027-03-31, skoro Portal będzie odebrany 2027-09-30 </w:t>
            </w:r>
          </w:p>
          <w:p w:rsidR="00B066E5" w:rsidRPr="004E3FFA" w:rsidRDefault="00B066E5">
            <w:pPr>
              <w:pBdr>
                <w:top w:val="nil"/>
                <w:left w:val="nil"/>
                <w:bottom w:val="nil"/>
                <w:right w:val="nil"/>
                <w:between w:val="nil"/>
              </w:pBdr>
              <w:rPr>
                <w:rFonts w:ascii="Calibri" w:eastAsia="Calibri" w:hAnsi="Calibri" w:cs="Calibri"/>
                <w:color w:val="000000"/>
                <w:sz w:val="22"/>
                <w:szCs w:val="22"/>
              </w:rPr>
            </w:pPr>
          </w:p>
        </w:tc>
        <w:tc>
          <w:tcPr>
            <w:tcW w:w="2410" w:type="dxa"/>
            <w:shd w:val="clear" w:color="auto" w:fill="auto"/>
          </w:tcPr>
          <w:p w:rsidR="00B066E5" w:rsidRPr="004E3FFA" w:rsidRDefault="00B066E5">
            <w:pPr>
              <w:jc w:val="center"/>
              <w:rPr>
                <w:rFonts w:ascii="Calibri" w:eastAsia="Calibri" w:hAnsi="Calibri" w:cs="Calibri"/>
                <w:sz w:val="22"/>
                <w:szCs w:val="22"/>
              </w:rPr>
            </w:pPr>
          </w:p>
        </w:tc>
        <w:tc>
          <w:tcPr>
            <w:tcW w:w="5045" w:type="dxa"/>
          </w:tcPr>
          <w:p w:rsidR="00B066E5" w:rsidRPr="004E3FFA" w:rsidRDefault="00FC265E" w:rsidP="004E3FFA">
            <w:pPr>
              <w:pBdr>
                <w:top w:val="nil"/>
                <w:left w:val="nil"/>
                <w:bottom w:val="nil"/>
                <w:right w:val="nil"/>
                <w:between w:val="nil"/>
              </w:pBdr>
              <w:rPr>
                <w:rFonts w:ascii="Calibri" w:eastAsia="Calibri" w:hAnsi="Calibri" w:cs="Calibri"/>
                <w:sz w:val="22"/>
                <w:szCs w:val="22"/>
              </w:rPr>
            </w:pPr>
            <w:r w:rsidRPr="004E3FFA">
              <w:rPr>
                <w:rFonts w:ascii="Calibri" w:eastAsia="Calibri" w:hAnsi="Calibri" w:cs="Calibri"/>
                <w:color w:val="000000"/>
                <w:sz w:val="22"/>
                <w:szCs w:val="22"/>
              </w:rPr>
              <w:t xml:space="preserve">Zakładane jest przeprowadzenie badania na reprezentatywnej grupie odbiorców w dwóch obszarach: funkcjonalnym (m. in. jak portal działa i jakie daje możliwości) i merytorycznym (jakość i przydatność informacji) na wersji testowej portalu. Przewidujemy, że wyniki badań wskażą, jakie elementy portalu wymagają poprawy, udoskonalenia, ale też wskażą mocne strony portalu. Przeprowadzenie badania do końca marca 2027 r., tj. przed upublicznieniem ostatecznej wersji portalu, umożliwi wprowadzenie uwag i sugestii badanej </w:t>
            </w:r>
            <w:r w:rsidRPr="004E3FFA">
              <w:rPr>
                <w:rFonts w:ascii="Calibri" w:eastAsia="Calibri" w:hAnsi="Calibri" w:cs="Calibri"/>
                <w:color w:val="000000"/>
                <w:sz w:val="22"/>
                <w:szCs w:val="22"/>
              </w:rPr>
              <w:lastRenderedPageBreak/>
              <w:t>grupy oraz przygotowanie ostatecznej wersji portalu spełniającej oczekiwania wszystkich potencjalnych użytkowników.  </w:t>
            </w:r>
          </w:p>
        </w:tc>
      </w:tr>
      <w:tr w:rsidR="00B066E5" w:rsidRPr="004E3FFA">
        <w:tc>
          <w:tcPr>
            <w:tcW w:w="562" w:type="dxa"/>
            <w:shd w:val="clear" w:color="auto" w:fill="auto"/>
          </w:tcPr>
          <w:p w:rsidR="00B066E5" w:rsidRPr="004E3FFA" w:rsidRDefault="00FC265E">
            <w:pPr>
              <w:spacing w:before="120" w:after="120"/>
              <w:jc w:val="center"/>
              <w:rPr>
                <w:rFonts w:ascii="Calibri" w:eastAsia="Calibri" w:hAnsi="Calibri" w:cs="Calibri"/>
                <w:b/>
                <w:sz w:val="22"/>
                <w:szCs w:val="22"/>
              </w:rPr>
            </w:pPr>
            <w:r w:rsidRPr="004E3FFA">
              <w:rPr>
                <w:rFonts w:ascii="Calibri" w:eastAsia="Calibri" w:hAnsi="Calibri" w:cs="Calibri"/>
                <w:b/>
                <w:sz w:val="22"/>
                <w:szCs w:val="22"/>
              </w:rPr>
              <w:lastRenderedPageBreak/>
              <w:t>6</w:t>
            </w:r>
          </w:p>
        </w:tc>
        <w:tc>
          <w:tcPr>
            <w:tcW w:w="1134" w:type="dxa"/>
            <w:shd w:val="clear" w:color="auto" w:fill="auto"/>
          </w:tcPr>
          <w:p w:rsidR="00B066E5" w:rsidRPr="004E3FFA" w:rsidRDefault="00FC265E">
            <w:pPr>
              <w:spacing w:before="60" w:after="60"/>
              <w:jc w:val="center"/>
              <w:rPr>
                <w:rFonts w:ascii="Calibri" w:eastAsia="Calibri" w:hAnsi="Calibri" w:cs="Calibri"/>
                <w:b/>
                <w:sz w:val="22"/>
                <w:szCs w:val="22"/>
              </w:rPr>
            </w:pPr>
            <w:r w:rsidRPr="004E3FFA">
              <w:rPr>
                <w:rFonts w:ascii="Calibri" w:eastAsia="Calibri" w:hAnsi="Calibri" w:cs="Calibri"/>
                <w:color w:val="000000"/>
                <w:sz w:val="22"/>
                <w:szCs w:val="22"/>
              </w:rPr>
              <w:t>Rada Architektury IT</w:t>
            </w:r>
          </w:p>
        </w:tc>
        <w:tc>
          <w:tcPr>
            <w:tcW w:w="1843" w:type="dxa"/>
            <w:shd w:val="clear" w:color="auto" w:fill="auto"/>
          </w:tcPr>
          <w:p w:rsidR="00B066E5" w:rsidRPr="004E3FFA" w:rsidRDefault="00FC265E">
            <w:pPr>
              <w:jc w:val="center"/>
              <w:rPr>
                <w:rFonts w:ascii="Calibri" w:eastAsia="Calibri" w:hAnsi="Calibri" w:cs="Calibri"/>
                <w:sz w:val="22"/>
                <w:szCs w:val="22"/>
              </w:rPr>
            </w:pPr>
            <w:r w:rsidRPr="004E3FFA">
              <w:rPr>
                <w:rFonts w:ascii="Calibri" w:eastAsia="Calibri" w:hAnsi="Calibri" w:cs="Calibri"/>
                <w:sz w:val="22"/>
                <w:szCs w:val="22"/>
              </w:rPr>
              <w:t>Pkt. 2.4</w:t>
            </w:r>
          </w:p>
        </w:tc>
        <w:tc>
          <w:tcPr>
            <w:tcW w:w="4394" w:type="dxa"/>
            <w:shd w:val="clear" w:color="auto" w:fill="auto"/>
          </w:tcPr>
          <w:p w:rsidR="00B066E5" w:rsidRPr="004E3FFA" w:rsidRDefault="00FC265E">
            <w:pPr>
              <w:pBdr>
                <w:top w:val="nil"/>
                <w:left w:val="nil"/>
                <w:bottom w:val="nil"/>
                <w:right w:val="nil"/>
                <w:between w:val="nil"/>
              </w:pBdr>
              <w:rPr>
                <w:rFonts w:ascii="Calibri" w:eastAsia="Calibri" w:hAnsi="Calibri" w:cs="Calibri"/>
                <w:color w:val="000000"/>
                <w:sz w:val="22"/>
                <w:szCs w:val="22"/>
              </w:rPr>
            </w:pPr>
            <w:r w:rsidRPr="004E3FFA">
              <w:rPr>
                <w:rFonts w:ascii="Calibri" w:eastAsia="Calibri" w:hAnsi="Calibri" w:cs="Calibri"/>
                <w:color w:val="000000"/>
                <w:sz w:val="22"/>
                <w:szCs w:val="22"/>
              </w:rPr>
              <w:t>W pkt 2.4 nie wykazano interfejsów API, które, zgodnie z widokiem kooperacji aplikacji również są produktem projektu</w:t>
            </w:r>
          </w:p>
          <w:p w:rsidR="00B066E5" w:rsidRPr="004E3FFA" w:rsidRDefault="00B066E5">
            <w:pPr>
              <w:pBdr>
                <w:top w:val="nil"/>
                <w:left w:val="nil"/>
                <w:bottom w:val="nil"/>
                <w:right w:val="nil"/>
                <w:between w:val="nil"/>
              </w:pBdr>
              <w:rPr>
                <w:rFonts w:ascii="Calibri" w:eastAsia="Calibri" w:hAnsi="Calibri" w:cs="Calibri"/>
                <w:color w:val="000000"/>
                <w:sz w:val="22"/>
                <w:szCs w:val="22"/>
              </w:rPr>
            </w:pPr>
          </w:p>
        </w:tc>
        <w:tc>
          <w:tcPr>
            <w:tcW w:w="2410" w:type="dxa"/>
            <w:shd w:val="clear" w:color="auto" w:fill="auto"/>
          </w:tcPr>
          <w:p w:rsidR="00FC265E" w:rsidRPr="004E3FFA" w:rsidRDefault="00FC265E">
            <w:pPr>
              <w:rPr>
                <w:rFonts w:ascii="Calibri" w:eastAsia="Calibri" w:hAnsi="Calibri" w:cs="Calibri"/>
                <w:sz w:val="22"/>
                <w:szCs w:val="22"/>
              </w:rPr>
            </w:pPr>
            <w:r w:rsidRPr="004E3FFA">
              <w:rPr>
                <w:rFonts w:ascii="Calibri" w:eastAsia="Calibri" w:hAnsi="Calibri" w:cs="Calibri"/>
                <w:sz w:val="22"/>
                <w:szCs w:val="22"/>
              </w:rPr>
              <w:t>Interfejs API</w:t>
            </w:r>
          </w:p>
          <w:p w:rsidR="00B066E5" w:rsidRPr="004E3FFA" w:rsidRDefault="00FC265E">
            <w:pPr>
              <w:rPr>
                <w:rFonts w:ascii="Calibri" w:eastAsia="Calibri" w:hAnsi="Calibri" w:cs="Calibri"/>
                <w:sz w:val="22"/>
                <w:szCs w:val="22"/>
              </w:rPr>
            </w:pPr>
            <w:r w:rsidRPr="004E3FFA">
              <w:rPr>
                <w:rFonts w:ascii="Calibri" w:eastAsia="Calibri" w:hAnsi="Calibri" w:cs="Calibri"/>
                <w:sz w:val="22"/>
                <w:szCs w:val="22"/>
              </w:rPr>
              <w:t>Termin realizacji 09.2027</w:t>
            </w:r>
          </w:p>
        </w:tc>
        <w:tc>
          <w:tcPr>
            <w:tcW w:w="5045" w:type="dxa"/>
          </w:tcPr>
          <w:p w:rsidR="00B066E5" w:rsidRPr="004E3FFA" w:rsidRDefault="00FC265E">
            <w:pPr>
              <w:rPr>
                <w:rFonts w:ascii="Calibri" w:eastAsia="Calibri" w:hAnsi="Calibri" w:cs="Calibri"/>
                <w:sz w:val="22"/>
                <w:szCs w:val="22"/>
              </w:rPr>
            </w:pPr>
            <w:r w:rsidRPr="004E3FFA">
              <w:rPr>
                <w:rFonts w:ascii="Calibri" w:eastAsia="Calibri" w:hAnsi="Calibri" w:cs="Calibri"/>
                <w:sz w:val="22"/>
                <w:szCs w:val="22"/>
              </w:rPr>
              <w:t>OZPI zostanie uzupełnione w części dot. produktów końcowych projektu o Interfejs API z terminem realizacji do 09.2027r.</w:t>
            </w:r>
            <w:bookmarkStart w:id="0" w:name="_GoBack"/>
            <w:bookmarkEnd w:id="0"/>
          </w:p>
        </w:tc>
      </w:tr>
    </w:tbl>
    <w:p w:rsidR="00B066E5" w:rsidRDefault="00B066E5">
      <w:pPr>
        <w:jc w:val="center"/>
        <w:rPr>
          <w:rFonts w:ascii="Calibri" w:eastAsia="Calibri" w:hAnsi="Calibri" w:cs="Calibri"/>
          <w:sz w:val="22"/>
          <w:szCs w:val="22"/>
        </w:rPr>
      </w:pPr>
    </w:p>
    <w:p w:rsidR="00B066E5" w:rsidRDefault="00B066E5">
      <w:pPr>
        <w:jc w:val="center"/>
        <w:rPr>
          <w:rFonts w:ascii="Calibri" w:eastAsia="Calibri" w:hAnsi="Calibri" w:cs="Calibri"/>
          <w:sz w:val="22"/>
          <w:szCs w:val="22"/>
        </w:rPr>
      </w:pPr>
      <w:bookmarkStart w:id="1" w:name="_heading=h.gjdgxs" w:colFirst="0" w:colLast="0"/>
      <w:bookmarkEnd w:id="1"/>
    </w:p>
    <w:sectPr w:rsidR="00B066E5">
      <w:pgSz w:w="16838" w:h="11906" w:orient="landscape"/>
      <w:pgMar w:top="720" w:right="720" w:bottom="720" w:left="720"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E5"/>
    <w:rsid w:val="004E3FFA"/>
    <w:rsid w:val="00B066E5"/>
    <w:rsid w:val="00FC26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AA1DA-0188-4637-82EF-57687FAA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NormalnyWeb">
    <w:name w:val="Normal (Web)"/>
    <w:basedOn w:val="Normalny"/>
    <w:uiPriority w:val="99"/>
    <w:unhideWhenUsed/>
    <w:rsid w:val="00E13B81"/>
    <w:pPr>
      <w:spacing w:before="100" w:beforeAutospacing="1" w:after="100" w:afterAutospacing="1"/>
    </w:pPr>
  </w:style>
  <w:style w:type="character" w:styleId="Hipercze">
    <w:name w:val="Hyperlink"/>
    <w:basedOn w:val="Domylnaczcionkaakapitu"/>
    <w:uiPriority w:val="99"/>
    <w:unhideWhenUsed/>
    <w:rsid w:val="00051C92"/>
    <w:rPr>
      <w:color w:val="0000FF"/>
      <w:u w:val="single"/>
    </w:rPr>
  </w:style>
  <w:style w:type="character" w:styleId="Odwoaniedokomentarza">
    <w:name w:val="annotation reference"/>
    <w:basedOn w:val="Domylnaczcionkaakapitu"/>
    <w:rsid w:val="00BA02A4"/>
    <w:rPr>
      <w:sz w:val="16"/>
      <w:szCs w:val="16"/>
    </w:rPr>
  </w:style>
  <w:style w:type="paragraph" w:styleId="Tekstkomentarza">
    <w:name w:val="annotation text"/>
    <w:basedOn w:val="Normalny"/>
    <w:link w:val="TekstkomentarzaZnak"/>
    <w:rsid w:val="00BA02A4"/>
    <w:rPr>
      <w:sz w:val="20"/>
      <w:szCs w:val="20"/>
    </w:rPr>
  </w:style>
  <w:style w:type="character" w:customStyle="1" w:styleId="TekstkomentarzaZnak">
    <w:name w:val="Tekst komentarza Znak"/>
    <w:basedOn w:val="Domylnaczcionkaakapitu"/>
    <w:link w:val="Tekstkomentarza"/>
    <w:rsid w:val="00BA02A4"/>
  </w:style>
  <w:style w:type="paragraph" w:styleId="Tematkomentarza">
    <w:name w:val="annotation subject"/>
    <w:basedOn w:val="Tekstkomentarza"/>
    <w:next w:val="Tekstkomentarza"/>
    <w:link w:val="TematkomentarzaZnak"/>
    <w:semiHidden/>
    <w:unhideWhenUsed/>
    <w:rsid w:val="00BA02A4"/>
    <w:rPr>
      <w:b/>
      <w:bCs/>
    </w:rPr>
  </w:style>
  <w:style w:type="character" w:customStyle="1" w:styleId="TematkomentarzaZnak">
    <w:name w:val="Temat komentarza Znak"/>
    <w:basedOn w:val="TekstkomentarzaZnak"/>
    <w:link w:val="Tematkomentarza"/>
    <w:semiHidden/>
    <w:rsid w:val="00BA02A4"/>
    <w:rPr>
      <w:b/>
      <w:bCs/>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infozawodowe.men.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TdNHkWDw8KuUcq4pADhaiGu6gQ==">CgMxLjAyCGguZ2pkZ3hzOAByITFoa2t0OGFvNXI2bUNwUWZ2aE9XcE5BVkFqN1M4RjF0NQ==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571</Words>
  <Characters>3432</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Puławska Lidia</cp:lastModifiedBy>
  <cp:revision>3</cp:revision>
  <dcterms:created xsi:type="dcterms:W3CDTF">2020-05-20T09:55:00Z</dcterms:created>
  <dcterms:modified xsi:type="dcterms:W3CDTF">2025-01-09T14:41:00Z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UxC4dwLulzfINJ8nQH+xvX5LNGipWa4BRSZhPgxsCvl+ZfbPEhAaJmgkcbFNIXW2K3Sv2JexyBpjzqNuTi0Vjg==</vt:lpwstr>
  </property>
  <property fmtid="{D5CDD505-2E9C-101B-9397-08002B2CF9AE}" pid="4" name="MFClassificationDate">
    <vt:lpwstr>2025-01-03T09:44:14.3368906+01:00</vt:lpwstr>
  </property>
  <property fmtid="{D5CDD505-2E9C-101B-9397-08002B2CF9AE}" pid="5" name="MFClassifiedBySID">
    <vt:lpwstr>UxC4dwLulzfINJ8nQH+xvX5LNGipWa4BRSZhPgxsCvm42mrIC/DSDv0ggS+FjUN/2v1BBotkLlY5aAiEhoi6uaXCxJIfC1uErQqZwBtR8hlTNeMYEyhin7GmEdDn4Mbp</vt:lpwstr>
  </property>
  <property fmtid="{D5CDD505-2E9C-101B-9397-08002B2CF9AE}" pid="6" name="MFGRNItemId">
    <vt:lpwstr>GRN-ead4ba0c-b54b-4ec9-9aef-a93bf7497964</vt:lpwstr>
  </property>
  <property fmtid="{D5CDD505-2E9C-101B-9397-08002B2CF9AE}" pid="7" name="MFHash">
    <vt:lpwstr>e9fTt86yfz0cA4NIEwJmB/NhxogLgSU5es+kO8w42F0=</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