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14:paraId="75134628" w14:textId="77777777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9BD40D3" w14:textId="77777777" w:rsidR="00A43F01" w:rsidRDefault="00A43F01" w:rsidP="00FC1527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C6CD0EC" w14:textId="77777777"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Organizacja Narodów Zjednoczonych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597A14A" w14:textId="66A33F11" w:rsidR="00A43F01" w:rsidRPr="006E4EE9" w:rsidRDefault="00AB6592" w:rsidP="00AB6592">
            <w:pPr>
              <w:suppressAutoHyphens w:val="0"/>
              <w:spacing w:after="20"/>
              <w:jc w:val="right"/>
            </w:pPr>
            <w:r>
              <w:rPr>
                <w:sz w:val="40"/>
              </w:rPr>
              <w:t>CAT</w:t>
            </w:r>
            <w:r>
              <w:t>/C/POL/QPR/8</w:t>
            </w:r>
          </w:p>
        </w:tc>
      </w:tr>
      <w:tr w:rsidR="00A43F01" w14:paraId="37FCFA5E" w14:textId="77777777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F776829" w14:textId="1753BA51" w:rsidR="00A43F01" w:rsidRDefault="009977C8" w:rsidP="00FC1527">
            <w:pPr>
              <w:spacing w:before="120"/>
              <w:jc w:val="center"/>
            </w:pPr>
            <w:r>
              <w:rPr>
                <w:noProof/>
                <w:lang w:eastAsia="pl-PL"/>
              </w:rPr>
              <w:t>[</w:t>
            </w:r>
            <w:r w:rsidRPr="009977C8">
              <w:rPr>
                <w:i/>
                <w:noProof/>
                <w:lang w:eastAsia="pl-PL"/>
              </w:rPr>
              <w:t>GODŁO ONZ</w:t>
            </w:r>
            <w:r>
              <w:rPr>
                <w:noProof/>
                <w:lang w:eastAsia="pl-PL"/>
              </w:rPr>
              <w:t>]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E3E202" w14:textId="77777777"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</w:rPr>
              <w:t>Konwencja w sprawie zakazu stosowania tortur oraz innego okrutnego, nieludzkiego lub poniżającego traktowania albo karania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B623CF9" w14:textId="77777777" w:rsidR="00A43F01" w:rsidRDefault="00AB6592" w:rsidP="00AB6592">
            <w:pPr>
              <w:suppressAutoHyphens w:val="0"/>
              <w:spacing w:before="240"/>
            </w:pPr>
            <w:r>
              <w:t>Rozdzielnik: Ogólny</w:t>
            </w:r>
          </w:p>
          <w:p w14:paraId="22C9D28F" w14:textId="77777777" w:rsidR="00AB6592" w:rsidRDefault="00AB6592" w:rsidP="00AB6592">
            <w:pPr>
              <w:suppressAutoHyphens w:val="0"/>
            </w:pPr>
            <w:r>
              <w:t>dnia 8 czerwca 2022 r.</w:t>
            </w:r>
          </w:p>
          <w:p w14:paraId="339F70F9" w14:textId="77777777" w:rsidR="00AB6592" w:rsidRDefault="00AB6592" w:rsidP="00AB6592">
            <w:pPr>
              <w:suppressAutoHyphens w:val="0"/>
            </w:pPr>
          </w:p>
          <w:p w14:paraId="4CA91054" w14:textId="77777777" w:rsidR="00AB6592" w:rsidRDefault="00AB6592" w:rsidP="00AB6592">
            <w:pPr>
              <w:suppressAutoHyphens w:val="0"/>
            </w:pPr>
            <w:r>
              <w:t>Oryginał: angielski</w:t>
            </w:r>
          </w:p>
          <w:p w14:paraId="06BDBCB4" w14:textId="0B5B6855" w:rsidR="00AB6592" w:rsidRDefault="00AB6592" w:rsidP="009977C8">
            <w:pPr>
              <w:suppressAutoHyphens w:val="0"/>
            </w:pPr>
            <w:r>
              <w:t>tylko angielski, francuski i</w:t>
            </w:r>
            <w:r w:rsidR="009977C8">
              <w:t> </w:t>
            </w:r>
            <w:r>
              <w:t>hiszpański</w:t>
            </w:r>
          </w:p>
        </w:tc>
      </w:tr>
    </w:tbl>
    <w:p w14:paraId="2123D8D3" w14:textId="77777777" w:rsidR="00AB6592" w:rsidRDefault="00AB6592" w:rsidP="00AB6592">
      <w:pPr>
        <w:spacing w:before="120"/>
        <w:rPr>
          <w:b/>
          <w:sz w:val="24"/>
          <w:szCs w:val="24"/>
        </w:rPr>
      </w:pPr>
      <w:r>
        <w:rPr>
          <w:b/>
          <w:sz w:val="24"/>
        </w:rPr>
        <w:t>Komitet przeciwko Torturom</w:t>
      </w:r>
    </w:p>
    <w:p w14:paraId="7741D7D6" w14:textId="46F68AFD" w:rsidR="00AB6592" w:rsidRDefault="00AB6592" w:rsidP="00AB6592">
      <w:pPr>
        <w:pStyle w:val="HChG"/>
      </w:pPr>
      <w:r>
        <w:tab/>
      </w:r>
      <w:r>
        <w:tab/>
        <w:t>Lista kwestii poprzedzających ósme sprawozdanie okresowe dotyczące Polski</w:t>
      </w:r>
      <w:r>
        <w:rPr>
          <w:rStyle w:val="Odwoanieprzypisudolnego"/>
          <w:b w:val="0"/>
          <w:bCs/>
          <w:sz w:val="20"/>
          <w:vertAlign w:val="baseline"/>
        </w:rPr>
        <w:tab/>
      </w:r>
    </w:p>
    <w:p w14:paraId="34022DFF" w14:textId="767EF5D0" w:rsidR="00AB6592" w:rsidRPr="009800D0" w:rsidRDefault="00AB6592" w:rsidP="00AB6592">
      <w:pPr>
        <w:pStyle w:val="H1G"/>
      </w:pPr>
      <w:r>
        <w:tab/>
      </w:r>
      <w:r>
        <w:tab/>
      </w:r>
      <w:r>
        <w:footnoteReference w:customMarkFollows="1" w:id="1"/>
        <w:t>Szczegółowe informacje w sprawie wykonania art. 1–16 Konwencji, w tym w zakresie poprzednich zaleceń Komitetu</w:t>
      </w:r>
    </w:p>
    <w:p w14:paraId="52AB4FD9" w14:textId="77777777" w:rsidR="00AB6592" w:rsidRPr="009800D0" w:rsidRDefault="00AB6592" w:rsidP="00AB6592">
      <w:pPr>
        <w:pStyle w:val="H23G"/>
      </w:pPr>
      <w:r>
        <w:tab/>
      </w:r>
      <w:r>
        <w:tab/>
        <w:t>Kwestie zidentyfikowane w ramach poprzednich wniosków końcowych</w:t>
      </w:r>
    </w:p>
    <w:p w14:paraId="11232B3A" w14:textId="7788B4FE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swoich poprzednich wnioskach końcowych (pkt 39) Komitet</w:t>
      </w:r>
      <w:r w:rsidR="00AB6592" w:rsidRPr="00EE5CFD">
        <w:rPr>
          <w:rStyle w:val="Odwoanieprzypisudolnego"/>
        </w:rPr>
        <w:footnoteReference w:id="2"/>
      </w:r>
      <w:r>
        <w:t xml:space="preserve"> zwrócił się do Państwa-strony o przedstawienie dalszych informacji na temat zidentyfikowanych przez Komitet obszarów szczególnego zaniepokojenia, mianowicie niezależności, bezpieczeństwa i możliwości funkcjonowania Komisarza Praw Człowieka [</w:t>
      </w:r>
      <w:r>
        <w:rPr>
          <w:i/>
          <w:iCs/>
        </w:rPr>
        <w:t>tak w dokumencie oznacza się RPO — tłum.</w:t>
      </w:r>
      <w:r>
        <w:t>], prewencji i ścigania brutalności policji, jak również niezależności klinicznej personelu medycznego i poprawy opieki medycznej świadczonej na rzecz więźniów (patrz pkt 24 lit. a i c, 20 lit. a i 30 lit. e). Mając na uwadze, że odpowiedzi w sprawie wnioskowanych przez Komitet informacji udzielono dnia 19 listopada 2020 r.</w:t>
      </w:r>
      <w:r w:rsidR="00AB6592" w:rsidRPr="00EE5CFD">
        <w:rPr>
          <w:rStyle w:val="Odwoanieprzypisudolnego"/>
        </w:rPr>
        <w:footnoteReference w:id="3"/>
      </w:r>
      <w:r w:rsidR="009977C8">
        <w:t xml:space="preserve">, </w:t>
      </w:r>
      <w:r>
        <w:t>w</w:t>
      </w:r>
      <w:r w:rsidR="009977C8">
        <w:t> </w:t>
      </w:r>
      <w:r>
        <w:t>odniesieniu zaś do pisma sprawozdawcy Komitetu z dnia 1 marca 2021 r. w sprawie czynności następczych wobec wniosków końcowych, Komitet uważa, że zalecenia ujęte w</w:t>
      </w:r>
      <w:r w:rsidR="009977C8">
        <w:t> </w:t>
      </w:r>
      <w:r>
        <w:t>pkt 24 lit. a i c, 20 lit. a i 30 lit. e poprzednich obserwacji końcowych nie zostały jeszcze wykonane.</w:t>
      </w:r>
    </w:p>
    <w:p w14:paraId="0D3DF90F" w14:textId="77777777" w:rsidR="00AB6592" w:rsidRPr="009800D0" w:rsidRDefault="00AB6592" w:rsidP="00AB6592">
      <w:pPr>
        <w:pStyle w:val="H23G"/>
      </w:pPr>
      <w:r>
        <w:tab/>
      </w:r>
      <w:r>
        <w:tab/>
        <w:t>Art. 1 i 4</w:t>
      </w:r>
    </w:p>
    <w:p w14:paraId="1104E994" w14:textId="242E3F1B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zakresie poprzednich zaleceń Komitetu (pkt 9–10), dodatkowo oprócz informacji podanych w przekazanym przez Państwo sprawozdaniu z czynności następczych</w:t>
      </w:r>
      <w:r w:rsidR="00AB6592" w:rsidRPr="00EE5CFD">
        <w:rPr>
          <w:rStyle w:val="Odwoanieprzypisudolnego"/>
        </w:rPr>
        <w:footnoteReference w:id="4"/>
      </w:r>
      <w:r>
        <w:t>, prosimy o wskazanie wszelkich ostatnio podjętych kroków zmierzających do ustawowej typizacji tortur jako odrębnego i konkretnego typu czynu zabronionego o znamionach obejmujących wszystkie elementy zawarte w art. 1 Konwencji, jak również do ustanowienia stosownego zagrożenia karą proporcjonalnego do wagi czynu, zgodnie z tym, co przewiduje art. 4 ust. 2 Konwencji. Prosimy o wyjaśnienie, czy Państwo-strona znowelizowało swoje przepisy w</w:t>
      </w:r>
      <w:r w:rsidR="009977C8">
        <w:t> </w:t>
      </w:r>
      <w:r>
        <w:t>sposób zapewniający niepodleganie czynów stosowania tortur jakimkolwiek okresom przedawnienia ani ograniczeniom do czynów wynikających ze zbrodni przeciwko ludzkości i skrajnego cierpienia spowodowanego przez funkcjonariusza.</w:t>
      </w:r>
    </w:p>
    <w:p w14:paraId="1715C91B" w14:textId="1B89D033" w:rsidR="00AB6592" w:rsidRPr="009800D0" w:rsidRDefault="00AB6592" w:rsidP="00AB6592">
      <w:pPr>
        <w:pStyle w:val="H23G"/>
      </w:pPr>
      <w:r>
        <w:lastRenderedPageBreak/>
        <w:tab/>
      </w:r>
      <w:r>
        <w:tab/>
        <w:t>Artykuł 2</w:t>
      </w:r>
      <w:r w:rsidRPr="00EE5CFD">
        <w:rPr>
          <w:rStyle w:val="Odwoanieprzypisudolnego"/>
          <w:b w:val="0"/>
          <w:bCs/>
        </w:rPr>
        <w:footnoteReference w:id="5"/>
      </w:r>
    </w:p>
    <w:p w14:paraId="7B7D225C" w14:textId="35EE90A2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świetle poprzednich wniosków końcowych (pkt 15–16)</w:t>
      </w:r>
      <w:r w:rsidR="00AB6592" w:rsidRPr="00EE5CFD">
        <w:rPr>
          <w:rStyle w:val="Odwoanieprzypisudolnego"/>
        </w:rPr>
        <w:footnoteReference w:id="6"/>
      </w:r>
      <w:r>
        <w:t xml:space="preserve"> prosimy o informacje na temat środków podjętych w celu zagwarantowania:</w:t>
      </w:r>
    </w:p>
    <w:p w14:paraId="1AECC056" w14:textId="15756A8A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a)</w:t>
      </w:r>
      <w:r>
        <w:tab/>
        <w:t>informowania wszystkich osób zatrzymanych o stawianych im zarzutach oraz o ich prawach, zarówno ustnie, jak i na piśmie, w języku dla nich zrozumiałym, z</w:t>
      </w:r>
      <w:r w:rsidR="009977C8">
        <w:t> </w:t>
      </w:r>
      <w:r>
        <w:t>poświadczeniem, że zrozumiały one przekazane im informacje; prawidłowego dokumentowania w krajowym rejestrze pozbawienia wolności wszystkich osób zatrzymanych, w tym w izbach wytrzeźwień i innych ośrodkach dla osób odurzonych oraz w jednostkach policji, jak również w trakcie transferów do innych ośrodków; prawa wszystkich osób zatrzymanych do kontaktu z członkami rodziny i innymi wybranymi osobami od samego początku zatrzymania; pilnego i poufnego dostępu wszystkich zatrzymanych do prawnika bez zwłoki bądź do usług pomocy prawnej, jak również braku dalszych opóźnień w kontakcie z prawnikiem wynikających z</w:t>
      </w:r>
      <w:r w:rsidR="009977C8">
        <w:t> </w:t>
      </w:r>
      <w:r>
        <w:t>konieczności ubiegania się o zezwolenie prokuratora; braku przesłuchiwania osób zatrzymanych bez udziału ich prawników; poufności komunikacji prawników z klientami;</w:t>
      </w:r>
    </w:p>
    <w:p w14:paraId="079B76B7" w14:textId="5468C8B1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b)</w:t>
      </w:r>
      <w:r>
        <w:tab/>
        <w:t>stosowania przeszukań ciała osób zatrzymanych jedynie w wyjątkowych przypadkach uzasadnionych sytuacją, po przeprowadzeniu indywidualnej oceny ryzyka;</w:t>
      </w:r>
    </w:p>
    <w:p w14:paraId="72260B4A" w14:textId="3D19667C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c)</w:t>
      </w:r>
      <w:r>
        <w:tab/>
        <w:t>przeprowadzenia obowiązkowego, niezależnego i poufnego badania lekarskiego na żądanie osoby zatrzymanej w praktyce, poza zasięgiem wzroku i słuchu funkcjonariuszy policji lub służby więziennej, już na samym początku zatrzymania; prawidłowego dokumentowania badań lekarskich i zawarcia w odnośnej dokumentacji pełnego sprawozdania z obiektywnych ustaleń medycznych, sprawozdania z</w:t>
      </w:r>
      <w:r w:rsidR="009977C8">
        <w:t> </w:t>
      </w:r>
      <w:r>
        <w:t>wypowiedzi osoby zatrzymanej istotnych dla badania (w tym na temat jej stanu zdrowia i</w:t>
      </w:r>
      <w:r w:rsidR="009977C8">
        <w:t> </w:t>
      </w:r>
      <w:r>
        <w:t>ewentualnych zarzutów złego traktowania) oraz spostrzeżeń lekarza co do tych wypowiedzi, z odnotowaniem spójności wszelkich zarzutów z obiektywnymi ustaleniami lekarskimi; możliwości podawania przez lekarzy sprawozdań medycznych z obrażeń, co do których podejrzewa się, że powstały one w wyniku stosowania tortur, bezpośrednio do wiadomości prokuratora na zasadach poufności;</w:t>
      </w:r>
    </w:p>
    <w:p w14:paraId="227FC957" w14:textId="1AB98203" w:rsidR="00EE5CFD" w:rsidRDefault="00AB6592" w:rsidP="00AB6592">
      <w:pPr>
        <w:pStyle w:val="ParaNoG"/>
        <w:numPr>
          <w:ilvl w:val="0"/>
          <w:numId w:val="0"/>
        </w:numPr>
        <w:ind w:left="1134"/>
        <w:rPr>
          <w:bCs/>
        </w:rPr>
      </w:pPr>
      <w:r>
        <w:tab/>
        <w:t>d)</w:t>
      </w:r>
      <w:r>
        <w:tab/>
        <w:t>systematycznego stosowania rejestracji dźwięku i obrazu z przesłuchań w</w:t>
      </w:r>
      <w:r w:rsidR="009977C8">
        <w:t> </w:t>
      </w:r>
      <w:r>
        <w:t>zakresie postępowań przygotowawczych i wyjaśniających w ramach podstawowej gwarancji i jako części podjętych starań o zapobieganie torturom i złemu traktowaniu, jak również przechowywania takich nagrań w bezpiecznych scentralizowanych obiektach;</w:t>
      </w:r>
    </w:p>
    <w:p w14:paraId="2D4DAD7B" w14:textId="519027F3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e)</w:t>
      </w:r>
      <w:r>
        <w:tab/>
        <w:t>umożliwienia osobom zatrzymanym zaskarżenia przed sędzia w dowolnej chwili w okresie zatrzymania jego legalności i konieczności. W tym zakresie uprasza się o</w:t>
      </w:r>
      <w:r w:rsidR="009977C8">
        <w:t> </w:t>
      </w:r>
      <w:r>
        <w:t>informacje na temat liczby przypadków, począwszy od rozpatrzenia poprzedniego sprawozdania okresowego Państwa-strony w 2019 r., w których osoby zatrzymane zaskarżyły przed sądem legalność ich zatrzymania lub traktowania, wraz z wynikami tych postępowań, z podaniem w szczególności liczby spraw, w których doszło do zwolnienia skarżącego z zatrzymania;</w:t>
      </w:r>
    </w:p>
    <w:p w14:paraId="137A362E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f)</w:t>
      </w:r>
      <w:r>
        <w:tab/>
        <w:t>objęcia funkcjonariuszy policji sankcjami dyscyplinarnymi lub karnymi za brak zapewnienia podstawowych gwarancji prawnych osobom zatrzymanym. W tym zakresie prosimy o podanie informacji o wszelkich takich przypadkach począwszy od 2019 r.</w:t>
      </w:r>
    </w:p>
    <w:p w14:paraId="29C27388" w14:textId="280A9FC6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  <w:rPr>
          <w:bCs/>
        </w:rPr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4.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ślad za poprzednimi wnioskami końcowymi Komitetu (pkt 23–24) oraz sprawozdaniem Państwa-strony z czynności następczych</w:t>
      </w:r>
      <w:r w:rsidR="00AB6592" w:rsidRPr="00EE5CFD">
        <w:rPr>
          <w:rStyle w:val="Odwoanieprzypisudolnego"/>
        </w:rPr>
        <w:footnoteReference w:id="7"/>
      </w:r>
      <w:r>
        <w:t xml:space="preserve"> uprasza się o podanie zaktualizowanych informacji na temat środków przyjętych w celu zapewnienia niezależności, bezpieczeństwa i możliwości funkcjonowania Komisarza Praw Człowieka oraz wystarczających środków finansowych i kadrowych dla wykonywania jego mandatu jako krajowego mechanizmu prewencyjnego. Prosimy o wyjaśnienie kroków podjętych w</w:t>
      </w:r>
      <w:r w:rsidR="009977C8">
        <w:t> </w:t>
      </w:r>
      <w:r>
        <w:t>celu zapewnienia mu nieograniczonego dostępu do wszystkich miejsc pozbawienia wolności, w tym jednostek policji i obszarów granicznych, umożliwienia mu przeprowadzania wizyt monitorujących w trakcie pandemii COVID-19, w tym w aresztach śledczych i ośrodkach zapobiegania zachowaniom dyssocjalnym, a także zapewnienia jego udziału w charakterze jednego z obserwatorów w operacjach deportacji przewidzianych przez art. 333 Ustawy o cudzoziemcach. Uprasza się o przekazanie danych statystycznych z</w:t>
      </w:r>
      <w:r w:rsidR="009977C8">
        <w:t> </w:t>
      </w:r>
      <w:r>
        <w:t>rozbiciem według lat i grup wiekowych (małoletni a pełnoletni), płci ofiar, ich pochodzenia etnicznego lub narodowości, wskazanie liczby skarg zarzucających stosowanie tortur lub złego traktowania przyjętych przez Komisarza Praw Człowieka począwszy od 2019 r., w tym w zakresie jego wniosków o wszczęcie postępowania w sprawach ściganych z</w:t>
      </w:r>
      <w:r w:rsidR="009977C8">
        <w:t> </w:t>
      </w:r>
      <w:r>
        <w:t>oskarżenia publicznego, podanie liczby takich wniosków kończących się wszczęciem postępowania przygotowawczego, jak również wskazanie wyniku takich postępowań. Prosimy o wskazanie, czy Państwo-strona rozważyło zezwolenie niezależnym organizacjom, w tym krajowym i międzynarodowym organizacjom społeczeństwa obywatelskiego, regularnego monitorowania wszystkich miejsc przetrzymywania osób pozbawionych wolności, w tym ośrodków psychiatrycznych, opieki społecznej, miejsc zatrzymania migrantów oraz obszarów granicznych, celem uzupełnienia krajowego mechanizmu prewencyjnego zgodnie z zaleceniami Komitetu z poprzednich wniosków końcowych (pkt</w:t>
      </w:r>
      <w:r w:rsidR="009977C8">
        <w:t> </w:t>
      </w:r>
      <w:r>
        <w:t>32 lit. f).</w:t>
      </w:r>
    </w:p>
    <w:p w14:paraId="19AE41E9" w14:textId="27A22760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Mając na uwadze poprzednie wnioski końcowe Komitetu (pkt 33–34), prosimy o</w:t>
      </w:r>
      <w:r w:rsidR="009977C8">
        <w:t> </w:t>
      </w:r>
      <w:r>
        <w:t>podanie zaktualizowanych informacji na temat środków legislacyjnych i innych podjętych w analizowanym okresie w celu zwalczania wszelkich form przemocy wobec kobiet, szczególnie w zakresie przypadków dotyczących działań i zaniechań organów Państwa i</w:t>
      </w:r>
      <w:r w:rsidR="009977C8">
        <w:t> </w:t>
      </w:r>
      <w:r>
        <w:t>innych podmiotów angażujących jego odpowiedzialność międzynarodową w świetle Konwencji. Uprasza się o informacje na temat środków legislacyjnych i innych przyjętych w</w:t>
      </w:r>
      <w:r w:rsidR="009977C8">
        <w:t> </w:t>
      </w:r>
      <w:r>
        <w:t>celu zwalcza przemocy stosowanej ze względu na płeć oraz zapewnienia, aby przemoc stosowana przez byłego lub niewspółzamieszkującego partnera życiowego ujęta była w</w:t>
      </w:r>
      <w:r w:rsidR="009977C8">
        <w:t> </w:t>
      </w:r>
      <w:r>
        <w:t>definicjach przemocy domowej zawartych w Kodeksie karnym. Prosimy o wskazanie, czy Państwo-strona zamierza realizować swój plan wycofania się z Konwencji o zapobieganiu i</w:t>
      </w:r>
      <w:r w:rsidR="009977C8">
        <w:t> </w:t>
      </w:r>
      <w:r>
        <w:t>zwalczaniu przemocy wobec kobiet i przemocy domowej oraz na jakich podstawach. Prosimy również o podanie zaktualizowanych informacji na temat ochrony i usług wsparcia dostępnych w Państwie-stronie dla ofiar przemocy stosowanej ze względu na płeć. Uprasza się o podanie danych statystycznych z rozbiciem na wiek i pochodzenie etniczne lub narodowość ofiar, liczby skarg, postępowań przygotowawczych, ścigań, skazań i wyroków zarejestrowanych w sprawach dotyczących przemocy stosowanej ze względu na płeć, w tym skierowanej przeciwko dzieciom</w:t>
      </w:r>
      <w:r w:rsidR="00AB6592" w:rsidRPr="00EE5CFD">
        <w:rPr>
          <w:rStyle w:val="Odwoanieprzypisudolnego"/>
        </w:rPr>
        <w:footnoteReference w:id="8"/>
      </w:r>
      <w:r>
        <w:t>, począwszy od rozpatrzenia poprzedniego sprawozdania okresowego Państwa-strony.</w:t>
      </w:r>
    </w:p>
    <w:p w14:paraId="08D1AFD5" w14:textId="06C36672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zaleceń Komitetu (pkt 37–38) prosimy o informacje na temat skutecznych środków podjętych w celu zapobiegania handlowi ludźmi oraz zwiększenia ochrony ofiar tego handlu, w szczególności względem ofiar pracy przymusowej oraz ofiar będących kobietami lub dziećmi. Uprasza się o podanie danych, z rozbiciem na istotne czynniki, na temat liczby postępowań przygotowawczych, ścigań i kar wymierzonych sprawcom handlu ludźmi począwszy od 2019 r. Prosimy również o informacje na temat:</w:t>
      </w:r>
    </w:p>
    <w:p w14:paraId="5F6B7A38" w14:textId="67CC85CE" w:rsidR="00AB6592" w:rsidRPr="009800D0" w:rsidRDefault="008B4A4A" w:rsidP="00AB6592">
      <w:pPr>
        <w:pStyle w:val="ParaNoG"/>
        <w:numPr>
          <w:ilvl w:val="0"/>
          <w:numId w:val="0"/>
        </w:numPr>
        <w:ind w:left="1134"/>
      </w:pPr>
      <w:r>
        <w:tab/>
        <w:t>a)</w:t>
      </w:r>
      <w:r>
        <w:tab/>
        <w:t>wszelkich nowych aktów prawnych lub środków podjętych w celu prewencji i</w:t>
      </w:r>
      <w:r w:rsidR="009977C8">
        <w:t> </w:t>
      </w:r>
      <w:r>
        <w:t>zwalczania handlu ludźmi</w:t>
      </w:r>
      <w:r w:rsidR="00AB6592" w:rsidRPr="00EE5CFD">
        <w:rPr>
          <w:rStyle w:val="Odwoanieprzypisudolnego"/>
        </w:rPr>
        <w:footnoteReference w:id="9"/>
      </w:r>
      <w:r>
        <w:t>, w szczególności pracy przymusowej;</w:t>
      </w:r>
    </w:p>
    <w:p w14:paraId="393CAA42" w14:textId="323D4B14" w:rsidR="00AB6592" w:rsidRPr="009800D0" w:rsidRDefault="008B4A4A" w:rsidP="00AB6592">
      <w:pPr>
        <w:pStyle w:val="ParaNoG"/>
        <w:numPr>
          <w:ilvl w:val="0"/>
          <w:numId w:val="0"/>
        </w:numPr>
        <w:ind w:left="1134"/>
      </w:pPr>
      <w:r>
        <w:tab/>
        <w:t>b)</w:t>
      </w:r>
      <w:r>
        <w:tab/>
        <w:t>środków podjętych w celu zapewnienia zakwaterowania niezwiązanego z</w:t>
      </w:r>
      <w:r w:rsidR="009977C8">
        <w:t> </w:t>
      </w:r>
      <w:r>
        <w:t xml:space="preserve">pozbawieniem wolności, z zapewnieniem pełnego dostępu do stosownego wsparcia </w:t>
      </w:r>
      <w:r>
        <w:lastRenderedPageBreak/>
        <w:t>medycznego i psychologicznego dla potencjalnych ofiar handlu ludźmi w trakcie realizowania procedur identyfikacyjnych;</w:t>
      </w:r>
    </w:p>
    <w:p w14:paraId="675C7FBD" w14:textId="7BF19E5D" w:rsidR="00AB6592" w:rsidRPr="009800D0" w:rsidRDefault="008B4A4A" w:rsidP="00AB6592">
      <w:pPr>
        <w:pStyle w:val="ParaNoG"/>
        <w:numPr>
          <w:ilvl w:val="0"/>
          <w:numId w:val="0"/>
        </w:numPr>
        <w:ind w:left="1134"/>
      </w:pPr>
      <w:r>
        <w:tab/>
        <w:t>c)</w:t>
      </w:r>
      <w:r>
        <w:tab/>
        <w:t>podpisanych z zainteresowanymi państwami umów mających na celu prewencję i zwalczanie handlu ludźmi.</w:t>
      </w:r>
    </w:p>
    <w:p w14:paraId="629D66BA" w14:textId="77777777" w:rsidR="00AB6592" w:rsidRPr="009800D0" w:rsidRDefault="00AB6592" w:rsidP="00AB6592">
      <w:pPr>
        <w:pStyle w:val="H23G"/>
      </w:pPr>
      <w:r>
        <w:tab/>
      </w:r>
      <w:r>
        <w:tab/>
        <w:t>Art. 3</w:t>
      </w:r>
    </w:p>
    <w:p w14:paraId="65A3D09E" w14:textId="2AD8A197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 xml:space="preserve">W świetle poprzednich zaleceń Komitetu (pkt 25–26) prosimy o podanie zaktualizowanych informacji na temat aktualnych procedur i praktyk w zakresie wydaleń, </w:t>
      </w:r>
      <w:r>
        <w:rPr>
          <w:i/>
          <w:iCs/>
        </w:rPr>
        <w:t>refoulement</w:t>
      </w:r>
      <w:r>
        <w:t xml:space="preserve"> i ekstradycji, w szczególności gwarancji prawnych i praktycznych dotyczących </w:t>
      </w:r>
      <w:r>
        <w:rPr>
          <w:i/>
          <w:iCs/>
        </w:rPr>
        <w:t>non-refoulement</w:t>
      </w:r>
      <w:r>
        <w:t xml:space="preserve"> w okresie poprzedzającym wydanie ostatecznej decyzji azylowej, w tym w</w:t>
      </w:r>
      <w:r w:rsidR="009977C8">
        <w:t> </w:t>
      </w:r>
      <w:r>
        <w:t>trakcie ogłoszonego stanu nadzwyczajnego (</w:t>
      </w:r>
      <w:r>
        <w:rPr>
          <w:i/>
          <w:iCs/>
        </w:rPr>
        <w:t>emergency</w:t>
      </w:r>
      <w:r>
        <w:t>). W świetle nowelizacji Ustawy o</w:t>
      </w:r>
      <w:r w:rsidR="009977C8">
        <w:t> </w:t>
      </w:r>
      <w:r>
        <w:t>cudzoziemcach i Ustawy o udzielaniu cudzoziemcom ochrony na terytorium Państwa-strony oraz Ustawy o ochronie granicy państwowej w 2021 r. — prosimy o wyjaśnienie, w</w:t>
      </w:r>
      <w:r w:rsidR="009977C8">
        <w:t> </w:t>
      </w:r>
      <w:r>
        <w:t>jaki sposób są one zgodne ze zobowiązaniami wynikającymi z art. 3 Konwencji</w:t>
      </w:r>
      <w:r w:rsidR="00AB6592" w:rsidRPr="00EE5CFD">
        <w:rPr>
          <w:rStyle w:val="Odwoanieprzypisudolnego"/>
        </w:rPr>
        <w:footnoteReference w:id="10"/>
      </w:r>
      <w:r>
        <w:t>. W związku z powyższym uprasza się o objaśnienie gwarancji wprowadzonych w celu zapewnienia wszystkim osobom fizycznym w jurysdykcji Państwa, w tym w sytuacjach niedozwolonego przekroczenia granicy:</w:t>
      </w:r>
    </w:p>
    <w:p w14:paraId="535F3C24" w14:textId="0A37F74F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a)</w:t>
      </w:r>
      <w:r>
        <w:tab/>
        <w:t>uzyskania stosownego indywidualnego rozpatrzenia przez właściwe organy złożonego przez taką osobę wniosku o udzielenie ochrony międzynarodowej, jak również możliwości poddania takich wniosków rzetelnej i bezstronnej ocenie niezależnego mechanizmu decyzyjnego w zakresie wydalenia, powrotu lub ekstradycji, ze skutkiem suspensywnym;</w:t>
      </w:r>
    </w:p>
    <w:p w14:paraId="2DF1783C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b)</w:t>
      </w:r>
      <w:r>
        <w:tab/>
        <w:t>braku poddawania wydaleniom zbiorowym i wypychaniu (</w:t>
      </w:r>
      <w:r>
        <w:rPr>
          <w:i/>
          <w:iCs/>
        </w:rPr>
        <w:t>pushbacks</w:t>
      </w:r>
      <w:r>
        <w:t>), w tym odesłań łańcuchowych (</w:t>
      </w:r>
      <w:r>
        <w:rPr>
          <w:i/>
          <w:iCs/>
        </w:rPr>
        <w:t>chain refoulement</w:t>
      </w:r>
      <w:r>
        <w:t>);</w:t>
      </w:r>
    </w:p>
    <w:p w14:paraId="0FDD1583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c)</w:t>
      </w:r>
      <w:r>
        <w:tab/>
        <w:t>braku arbitralnych zatrzymań na posterunkach straży granicznej, w ośrodkach rejestracji cudzoziemców i ośrodkach zatrzymań dla cudzoziemców, jak również dostępu do informacji na temat procedur związanych z ochroną międzynarodową w języku dla nich zrozumiałym, pomocy prawnej oraz podstawowej pomocy humanitarnej i podstawowych usług humanitarnych, w szczególności w obszarach położonych blisko granicy.</w:t>
      </w:r>
    </w:p>
    <w:p w14:paraId="1A7CFC1C" w14:textId="7C30AA97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  <w:rPr>
          <w:bCs/>
        </w:rPr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Mając powyższe na uwadze, uprasza się o wyjaśnienie wdrożonych środków mających na celu wczesną proaktywną identyfikację i ochronę osób znajdujących się we wrażliwym położeniu, niezależnie od ich statusu prawnego lub migracyjnego, w tym ofiar tortur, złego traktowania, przemocy stosowanej ze względu na płeć lub handlu ludźmi, jak również zapewnienia nierozdzielania takich osób z członkami rodziny i terminowej reakcji na ich szczególne potrzeby, w tym w zakresie dostępu do podstawowych usług medycznych i humanitarnych.</w:t>
      </w:r>
    </w:p>
    <w:p w14:paraId="099FB188" w14:textId="311B3799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podanie informacji statystycznych za okres analizy, z rozbiciem na rok oraz płeć, kraj pochodzenia lub narodowość oraz grupę wiekową (małoletni a dorosły) ofiary, na temat:</w:t>
      </w:r>
    </w:p>
    <w:p w14:paraId="612BB8EE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a)</w:t>
      </w:r>
      <w:r>
        <w:tab/>
        <w:t>liczby zarejestrowanych wniosków azylowych;</w:t>
      </w:r>
    </w:p>
    <w:p w14:paraId="09FA41F5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b)</w:t>
      </w:r>
      <w:r>
        <w:tab/>
        <w:t>liczby uwzględnionych wniosków azylowych oraz o inne formy ochrony uzupełniającej, jak również liczby ubiegających się o azyl, których wnioski zostały uwzględnione ze względu na bycie ofiarami tortur lub ryzyko poddania torturom w razie powrotu;</w:t>
      </w:r>
    </w:p>
    <w:p w14:paraId="32D1814C" w14:textId="65625F98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c)</w:t>
      </w:r>
      <w:r>
        <w:tab/>
        <w:t>liczby osób zawróconych, objętych ekstradycją lub wydalonych, z podaniem podstawy, na jakiej to uczyniono, z listą krajów przeznaczenia;</w:t>
      </w:r>
    </w:p>
    <w:p w14:paraId="69C9FA06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d)</w:t>
      </w:r>
      <w:r>
        <w:tab/>
        <w:t>liczby środków zaskarżenia przeciwko decyzjom o wydaleniu wniesionych na podstawie możliwości poddania skarżących torturom lub złemu traktowaniu w kraju pochodzenia, jak również wyników postępowania odwoławczego.</w:t>
      </w:r>
    </w:p>
    <w:p w14:paraId="301D742D" w14:textId="1AF48190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 xml:space="preserve">Uprasza się o podanie liczby zawróceń, ekstradycji i wydaleń dokonanych przez Państwo-stronę w okresie sprawozdawczych na podstawie zapewnień dyplomatycznych lub </w:t>
      </w:r>
      <w:r>
        <w:lastRenderedPageBreak/>
        <w:t>ich odpowiedników. Prosimy również o wskazanie minimalnej treści takich zapewnień lub gwarancji, jak również środków podjętych w takich przypadkach w zakresie monitorowania następczego.</w:t>
      </w:r>
    </w:p>
    <w:p w14:paraId="293C5FD0" w14:textId="0489A8CD" w:rsidR="00AB6592" w:rsidRPr="00AB6592" w:rsidRDefault="00AB6592" w:rsidP="00AB6592">
      <w:pPr>
        <w:pStyle w:val="H23G"/>
      </w:pPr>
      <w:r>
        <w:tab/>
      </w:r>
      <w:r>
        <w:tab/>
        <w:t>Art. 5–9</w:t>
      </w:r>
    </w:p>
    <w:p w14:paraId="0C3475BF" w14:textId="131E67A5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informacje na temat wszelkich nowych przepisów lub środków przyjętych w celu wykonania art. 5 Konwencji. Prosimy o poinformowanie Komitetu o wszelkich umowach o ekstradycji zawartych z innymi Państwami-stronami oraz wskazanie, czy czyny zabronione, o których mowa w art. 4 Konwencji, są w odnośnych umowach objęte ekstradycją. Prosimy o podanie, jakie środki zostały przez Państwo-stronę podjęte w analizowanym okresie w celu realizacji obowiązku ekstradycji albo ścigania (</w:t>
      </w:r>
      <w:r>
        <w:rPr>
          <w:i/>
        </w:rPr>
        <w:t>aut dedere aut iudicare</w:t>
      </w:r>
      <w:r>
        <w:t>). W szczególności uprasza się o informacje na temat przypadków, w których Państwo-strona wyraziło zgodę na ekstradycję osoby z powodu stosowania tortur lub pokrewnych czynów zabronionych począwszy od 2019 r. Prosimy także o wskazanie, czy Państwo-strona odrzuciło, z jakiejkolwiek przyczyny, wniosek innego państwa-strony o</w:t>
      </w:r>
      <w:r w:rsidR="009977C8">
        <w:t> </w:t>
      </w:r>
      <w:r>
        <w:t>ekstradycję osoby podejrzewanej o dopuszczenie się stosowania tortur oraz czy wszczęło w wyniku tego postępowanie zmierzające do ścigania takiej osoby. Jeżeli tak, uprasza się o</w:t>
      </w:r>
      <w:r w:rsidR="009977C8">
        <w:t> </w:t>
      </w:r>
      <w:r>
        <w:t>informacje na temat stanu i wyniku takiego postępowania. Prosimy o objaśnienie, jakie Państwo-strona zawarło traktaty lub inne umowy w przedmiocie wzajemnej pomocy prawnej i sądowej, jak również czy doprowadziły one w praktyce do przekazania jakichkolwiek dowodów w związku ze ściganiem tortur lub złego traktowania. Uprasza się o wskazanie przykładów.</w:t>
      </w:r>
    </w:p>
    <w:p w14:paraId="5395E94B" w14:textId="77777777" w:rsidR="00AB6592" w:rsidRPr="00AB6592" w:rsidRDefault="00AB6592" w:rsidP="00AB6592">
      <w:pPr>
        <w:pStyle w:val="H23G"/>
      </w:pPr>
      <w:r>
        <w:tab/>
      </w:r>
      <w:r>
        <w:tab/>
        <w:t>Art. 10</w:t>
      </w:r>
    </w:p>
    <w:p w14:paraId="67AF3B56" w14:textId="3254543B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wniosków końcowych Komitetu (pkt 27–28), prosimy o informacje na temat zrealizowanych od 2019 r. programów szkoleń, z podaniem, czy szkolenia te mają charakter obowiązkowy, czy fakultatywny, częstotliwości ich odbywania oraz liczby funkcjonariuszy, którzy już je ukończyli w proporcji do całkowitej liczby danego rodzaju funkcjonariuszy, w szczególności w następujących obszarach:</w:t>
      </w:r>
    </w:p>
    <w:p w14:paraId="15C94332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a)</w:t>
      </w:r>
      <w:r>
        <w:tab/>
        <w:t>postanowienia Konwencji i bezwzględny zakaz stosowania tortur, jak również zasady, instrukcje i metody prowadzenia przesłuchań, w tym techniki niezwiązane ze stosowaniem środków przymusu, dla personelu organów ochrony porządku publicznego, bezpieczeństwa i zakładów penitencjarnych, sędziów, personelu medycznego, funkcjonariuszy imigracyjnych i kontroli granicznej, jak również innych osób mających do czynienia z pieczą nad osobami zatrzymanymi, ich przesłuchiwaniem i traktowaniem;</w:t>
      </w:r>
    </w:p>
    <w:p w14:paraId="3007A0E9" w14:textId="488447F4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b)</w:t>
      </w:r>
      <w:r>
        <w:tab/>
        <w:t>Kodeks postępowania funkcjonariuszy organów ochrony porządku publicznego oraz Podstawowych zasad używania siły i broni palnej przez funkcjonariuszy organów ochrony porządku publicznego;</w:t>
      </w:r>
    </w:p>
    <w:p w14:paraId="2FB4CCA8" w14:textId="77777777" w:rsidR="00AB6592" w:rsidRPr="007B3922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c)</w:t>
      </w:r>
      <w:r>
        <w:tab/>
        <w:t>wykrywanie i dokumentowanie fizycznych i psychologicznych powikłań wynikających ze stosowania tortur dla wszelkiego stosownego personelu, w szczególności personelu medycznego oraz innych funkcjonariuszy publicznych pracujących z osobami pozbawionymi wolności. Uprasza się o wskazanie, czy programy obejmują szczegółowe szkolenie w zakresie Podręcznika skutecznego dochodzenia i dokumentacji w sprawach dotyczących stosowania tortur oraz innego okrutnego, nieludzkiego traktowania lub karania (Protokół stambulski);</w:t>
      </w:r>
    </w:p>
    <w:p w14:paraId="1F660B71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d)</w:t>
      </w:r>
      <w:r>
        <w:tab/>
        <w:t>prewencja, wykrywanie i zwalczanie przestępstw popełnianych z nienawiści, w tym motywowanych orientacją seksualną lub tożsamością płciową, a także przemoc domowa, jak również szkolenie w zakresie traktowania osób znajdujących się we wrażliwym położeniu, jak również w zakresie świadomego traumy, skoncentrowanego na ofiarach podejścia do prowadzenia postępowań dla funkcjonariuszy organów ochrony porządku publicznego, oskarżycieli, prawników, sędziów oraz innych osób interagujących z ofiarami i opinią publiczną;</w:t>
      </w:r>
    </w:p>
    <w:p w14:paraId="0FF769A5" w14:textId="77777777" w:rsidR="00EE5CFD" w:rsidRDefault="00AB6592" w:rsidP="00AB6592">
      <w:pPr>
        <w:pStyle w:val="ParaNoG"/>
        <w:numPr>
          <w:ilvl w:val="0"/>
          <w:numId w:val="0"/>
        </w:numPr>
        <w:ind w:left="1134"/>
      </w:pPr>
      <w:r>
        <w:tab/>
        <w:t>e)</w:t>
      </w:r>
      <w:r>
        <w:tab/>
        <w:t xml:space="preserve">przepisy i procedury mające zagwarantować przestrzeganie zasady </w:t>
      </w:r>
      <w:r w:rsidRPr="009977C8">
        <w:rPr>
          <w:i/>
        </w:rPr>
        <w:t>non-refoulement</w:t>
      </w:r>
      <w:r>
        <w:t xml:space="preserve"> oraz ustalenia dotyczące identyfikacji ofiar tortur, handlu ludźmi i przemocy stosowanej ze względu na płeć znajdujących się wśród ubiegających się o azyl — dla funkcjonariuszy kontroli granicznej i innych funkcjonariuszy publicznych;</w:t>
      </w:r>
    </w:p>
    <w:p w14:paraId="209EF18B" w14:textId="4F7C294D" w:rsidR="00AB6592" w:rsidRPr="009800D0" w:rsidRDefault="00AB6592" w:rsidP="00AB6592">
      <w:pPr>
        <w:pStyle w:val="ParaNoG"/>
        <w:numPr>
          <w:ilvl w:val="0"/>
          <w:numId w:val="0"/>
        </w:numPr>
        <w:ind w:left="1134"/>
      </w:pPr>
      <w:r>
        <w:lastRenderedPageBreak/>
        <w:tab/>
        <w:t>f)</w:t>
      </w:r>
      <w:r>
        <w:tab/>
        <w:t>opracowywanie i wdrażanie regularnych ocen skuteczności i wpływu takich szkoleń i programów edukacyjnych na zmniejszenie liczby przypadków stosowania tortur i</w:t>
      </w:r>
      <w:r w:rsidR="009977C8">
        <w:t> </w:t>
      </w:r>
      <w:r>
        <w:t>złego traktowania. Prosimy o informacje na temat stosowanej metodologii oceny skuteczności programów w zakresie zmniejszania liczby przypadków stosowania tortur i</w:t>
      </w:r>
      <w:r w:rsidR="009977C8">
        <w:t> </w:t>
      </w:r>
      <w:r>
        <w:t>złego traktowania.</w:t>
      </w:r>
    </w:p>
    <w:p w14:paraId="0CA53498" w14:textId="77777777" w:rsidR="00AB6592" w:rsidRPr="00AB6592" w:rsidRDefault="00AB6592" w:rsidP="00AB6592">
      <w:pPr>
        <w:pStyle w:val="H23G"/>
      </w:pPr>
      <w:r>
        <w:tab/>
      </w:r>
      <w:r>
        <w:tab/>
        <w:t>Art. 11</w:t>
      </w:r>
    </w:p>
    <w:p w14:paraId="10A98D87" w14:textId="3F2FBA8F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opisanie procedur stosowanych dla zapewnienia przestrzegania art. 11 Konwencji, jak również podanie informacji na temat wszelkich zasad, instrukcji i metod przesłuchań oraz praktyk lub ustaleń w zakresie pozbawienia wolności, jakie zostały wprowadzone od rozpatrzenia poprzedniego sprawozdania okresowego. Uprasza się o</w:t>
      </w:r>
      <w:r w:rsidR="009977C8">
        <w:t> </w:t>
      </w:r>
      <w:r>
        <w:t>wskazanie częstotliwości ich analizowania.</w:t>
      </w:r>
    </w:p>
    <w:p w14:paraId="6EC7673C" w14:textId="683DB4AB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14.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wskazane, jakie kroki podjęto od 2019 r. w celu poprawy warunków we wszystkich miejscach pozbawienia wolności, w tym w zakresie ćwiczeń na wolnym powietrzu dla osób objętych zatrzymaniem policyjnym i w aresztach śledczych, jak również w zakresie powierzchni mieszkalnych, higieny i sanitariatów we wszystkich miejscach pozbawienia wolności. Uprasza się o informacje na temat programów zajęć edukacyjnych i</w:t>
      </w:r>
      <w:r w:rsidR="009977C8">
        <w:t> </w:t>
      </w:r>
      <w:r>
        <w:t>rekreacyjnych. Prosimy o wskazanie środków podjętych w celu zapobiegania przeludnieniu i wprowadzenia nieizolacyjnych form zatrzymań (</w:t>
      </w:r>
      <w:r>
        <w:rPr>
          <w:i/>
          <w:iCs/>
        </w:rPr>
        <w:t>non-custodial forms of detention</w:t>
      </w:r>
      <w:r>
        <w:t>) stosownie do Wzorcowych reguł minimalnych Narodów Zjednoczonych dotyczących środków o charakterze nieizolacyjnym (reguł tokijskich). Mając na uwadze poprzednie wnioski końcowe Komitetu (pkt 29–30) oraz sprawozdanie Państwa-strony z czynności następczych</w:t>
      </w:r>
      <w:r w:rsidR="00AB6592" w:rsidRPr="00EE5CFD">
        <w:rPr>
          <w:rStyle w:val="Odwoanieprzypisudolnego"/>
        </w:rPr>
        <w:footnoteReference w:id="11"/>
      </w:r>
      <w:r>
        <w:t>, uprasza się o objaśnienie środków podjętych w celu zagwarantowania wystarczających kadr medycznych, umożliwienia stosownego badania medycznego zatrzymanym w toku procesu bądź skazanym, jak tylko będzie to możliwe po ich przyjęciu do zakładu pozbawienia wolności, a także adekwatnych świadczeń zdrowotnych wykonywanych bezpłatnie, w szczególności opieki psychiatrycznego i psychologicznej, jak również usług tłumaczenia w razie konieczności w trakcie konsultacji i badań medycznych, a także prawidłowego dokumentowania wszystkich badań medycznych. Prosimy również o</w:t>
      </w:r>
      <w:r w:rsidR="009977C8">
        <w:t> </w:t>
      </w:r>
      <w:r>
        <w:t>wskazanie, czy Państwo-strona rozważy podporządkowanie personelu medycznego w</w:t>
      </w:r>
      <w:r w:rsidR="009977C8">
        <w:t> </w:t>
      </w:r>
      <w:r>
        <w:t>zakładach karnych Ministrowi Zdrowia. Prosimy o wskazanie, czy są wdrożone protokoły mające na celu spełnienie potrzeb grup więźniów ze specjalnymi potrzebami, w tym w</w:t>
      </w:r>
      <w:r w:rsidR="009977C8">
        <w:t> </w:t>
      </w:r>
      <w:r>
        <w:t>zakresie bezpieczeństwa, jak również zapobiegania rozprzestrzenianiu się COVID-19 i</w:t>
      </w:r>
      <w:r w:rsidR="009977C8">
        <w:t> </w:t>
      </w:r>
      <w:r>
        <w:t>zapewnienia ochrony przed nim, np. w stosunku do osób z niepełnosprawnościami, z</w:t>
      </w:r>
      <w:r w:rsidR="009977C8">
        <w:t> </w:t>
      </w:r>
      <w:r>
        <w:t>problemami narkotykowi, starszych, a także lesbijek, gejów, biseksualistów, osób transpłciowych i interpłciowych.</w:t>
      </w:r>
    </w:p>
    <w:p w14:paraId="4DE073C8" w14:textId="646BCA84" w:rsidR="00EE5CFD" w:rsidRPr="008B4A4A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15.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świetle zmian do Ustawy o Służbie Więziennej, które weszły w życie dnia 31</w:t>
      </w:r>
      <w:r w:rsidR="009977C8">
        <w:t> </w:t>
      </w:r>
      <w:r>
        <w:t>marca 2020 r., a które uprawniają funkcjonariuszy w zakładach penitencjarnych do stosowania przymusu bezpośredniego w formie broni elektrycznej, uprasza się o wyjaśnienie, jakie podjęto środki w celu zapewnienia i monitorowania konieczności i proporcjonalności ich użycia zgodnie ze standardami Konwencji. Prosimy o informacje na temat procedury zaskarżania, jak również liczby wniesionych skarg i otwartych postępowań wyjaśniających w tym zakresie.</w:t>
      </w:r>
    </w:p>
    <w:p w14:paraId="7DAA9B68" w14:textId="771E8817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16.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informacje na temat środków legislacyjnych i innych podjętych w celu zmniejszenia, zarówno w świetle przepisów, jak i w praktyce, maksymalnego okresu przetrzymywania osób pozbawionych wolności w odosobnieniu, w tym zakazania sekwencyjnego stosowania kar dyscyplinarnych. Prosimy nadto o wyjaśnienie roli personelu opieki zdrowotnej w procesie decyzyjnym w sprawach dyscyplinarnych prowadzących do umieszczenia w odosobnieniu.</w:t>
      </w:r>
    </w:p>
    <w:p w14:paraId="206D45DC" w14:textId="7DA218E3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  <w:rPr>
          <w:bCs/>
        </w:rPr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17.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 xml:space="preserve">Uprasza się o informacje na temat tego, czy władze monitorują przemoc między więźniami, liczby wniesionych lub zarejestrowanych skarg, a także czy były prowadzone postępowania wyjaśniające, a jeżeli tak, to ich wyników. Prosimy o opisanie wszelkich podjętych w tym zakresie środków prewencyjnych. Prosimy również o podanie danych </w:t>
      </w:r>
      <w:r>
        <w:lastRenderedPageBreak/>
        <w:t>statystycznych dotyczących zgonów w trakcie pozbawienia wolności w badanym okresie, w</w:t>
      </w:r>
      <w:r w:rsidR="009977C8">
        <w:t> </w:t>
      </w:r>
      <w:r>
        <w:t>tym osób przetrzymywanych w jednostkach policji, z rozbiciem na miejsce pozbawienia wolności, płeć, wiek, pochodzenie etniczne lub narodowość, a także przyczynę zgonu. Uprasza się o wskazanie sposobów wyjaśnienia tych zgonów, wyników postępowań wyjaśniających, a także środków podjętych w celu zapobieżenia występowaniu podobnych przypadków w przyszłości. Prosimy o wskazanie, czy krewni zmarłych otrzymywali w tych sprawach odszkodowania. Prosimy o wyjaśnienie kroków, jakie Państwo-strona podjęło w celu zapewnienia identyfikacji, monitorowania i ochrony osób zatrzymanych znajdujących się we wrażliwym położeniu, narażonych na ryzyko samobójstwa, jak również zapewnienia im stosownej pomocy, w tym opieki psychiatrycznej, jak również innych środków prewencyjnych.</w:t>
      </w:r>
    </w:p>
    <w:p w14:paraId="1B1DD966" w14:textId="71B208C7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18.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Uprasza się o informacje na temat kroków podjętych w celu zapewnienia, aby w</w:t>
      </w:r>
      <w:r w:rsidR="009977C8">
        <w:t> </w:t>
      </w:r>
      <w:r>
        <w:t xml:space="preserve">stosunku do naruszających prawo osób małoletnich stosowane były środki nieizolacyjne, zaś ich pozbawienie wolności było środkiem ostatecznym stosowanym na najkrótszy możliwy czas, aby osoby małoletnie nie były rutynowo skuwane kajdankami w trakcie przewozu do zakładów poprawczych i innych instytucji dla osób małoletnich, a także aby miały one zapewnione pełne gwarancje prawne oraz możliwości edukacyjne i rekreacyjne. Prosimy o określenie kroków podjętych w celu zniesienia stosowania cel izolacyjnych wobec dzieci oraz zniesienia stosowania kaftanów bezpieczeństwa w świetle przepisów i w praktyce. </w:t>
      </w:r>
    </w:p>
    <w:p w14:paraId="765D7191" w14:textId="666990F0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19.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wniosków końcowych Komitetu (pkt 26 lit. a i c), prosimy o wyjaśnienie starań podjętych przez Państwo-stronę w celu zapewnienia zakwaterowania niezwiązanego z pozbawieniem wolności dla dzieci-migrantów oraz rodzin migranckich z dziećmi, jak np. ustaleń dotyczących opieki i programów społecznościowych</w:t>
      </w:r>
      <w:r w:rsidR="00AB6592" w:rsidRPr="00EE5CFD">
        <w:rPr>
          <w:rStyle w:val="Odwoanieprzypisudolnego"/>
        </w:rPr>
        <w:footnoteReference w:id="12"/>
      </w:r>
      <w:r>
        <w:t>, a także o opisanie typu stosowanych wobec nich obiektów i warunków, w tym możliwości edukacyjnych i rekreacyjnych. Uprasza się o podanie rozbitych danych na temat liczby dzieci z opiekunem i bez zatrzymanych albo umieszczonych w ośrodkach imigracyjnych począwszy od 2019 r. Prosimy o informacje na temat kroków podjętych w celu zapewnienia, aby warunki materialne na posterunkach straży granicznej, w ośrodkach rejestracji cudzoziemców i ośrodkach strzeżonych dla migrantów spełniały minimalne standardy międzynarodowe, w szczególności tych w Wędrzynie i Kętrzynie, jak również aby była dla migrantów znajdujących się w sytuacjach narażenia w związku z pozbawieniem wolności dostępna opieka zdrowotna i psychologiczna. Uprasza się o informacje na temat przeciętnego i maksymalnego okresu pozbawienia wolności osób zatrzymanych w strzeżonych ośrodkach dla migrantów, objaśnienie działań podjętych w celu wdrożenia alternatyw dla detencji migrantów, w tym w stosunku do kobiet w ciąży i matek karmiących, a także o podanie danych rocznych począwszy od 2019 r. na temat odsetka przypadków, w których zastosowano środki alternatywne do tej detencji.</w:t>
      </w:r>
    </w:p>
    <w:p w14:paraId="5974F196" w14:textId="2B3D7B8F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20.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wniosków końcowych Komitetu (pkt 36) prosimy o</w:t>
      </w:r>
      <w:r w:rsidR="009977C8">
        <w:t> </w:t>
      </w:r>
      <w:r>
        <w:t>poinformowanie Komitetu na temat środków podjętych w celu zapewnienia, aby pozbawienie wolności osób z niepełnosprawnościami intelektualnymi, w tym młodocianych, nie było realizowane w szpitalach psychiatrycznych ani innych instytucjach opieki publicznej, takich jak oddziały psychiatryczne, w sposób arbitralny i w przedłużających się terminach. Prosimy o określenie dostępnych im gwarancji dotyczących pozbawienia ich zdolności do czynności prawnych i egzekwowania wobec nich przymusowego leczenia. Prosimy o opisanie środków mających chronić lesbijki, gejów, osoby biseksualne, transpłciowe i interpłciowe przed przymusową terapią konwersyjną.</w:t>
      </w:r>
    </w:p>
    <w:p w14:paraId="2560D811" w14:textId="79DAC999" w:rsidR="00AB6592" w:rsidRPr="00AB6592" w:rsidRDefault="00AB6592" w:rsidP="00AB6592">
      <w:pPr>
        <w:pStyle w:val="H23G"/>
      </w:pPr>
      <w:r>
        <w:tab/>
      </w:r>
      <w:r>
        <w:tab/>
        <w:t>Art. 12 i 13</w:t>
      </w:r>
    </w:p>
    <w:p w14:paraId="1678D350" w14:textId="60A9E858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21.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Mając na uwadze poprzednie wnioski końcowe Komitetu (pkt 19–20 i 31–32) oraz sprawozdanie Państwa-strony z czynności następczych</w:t>
      </w:r>
      <w:r w:rsidR="00AB6592" w:rsidRPr="00EE5CFD">
        <w:rPr>
          <w:rStyle w:val="Odwoanieprzypisudolnego"/>
        </w:rPr>
        <w:footnoteReference w:id="13"/>
      </w:r>
      <w:r>
        <w:t>, prosimy o podanie zaktualizowanych danych statystycznych na temat skarg dotyczących czynów stosowania tortur, złego traktowania i nadużywania siły zarejestrowanych przez organy Państwa w</w:t>
      </w:r>
      <w:r w:rsidR="009977C8">
        <w:t> </w:t>
      </w:r>
      <w:r>
        <w:t xml:space="preserve">okresie sprawozdawczym. Prosimy o uwzględnienie informacji na temat postępowań </w:t>
      </w:r>
      <w:r>
        <w:lastRenderedPageBreak/>
        <w:t>wyjaśniających, dyscyplinarnych i karnych, skazań oraz zastosowanych sankcji dyscyplinarnych lub karnych. Prosimy także o podanie zaktualizowanych informacji na temat środków podjętych w celu zapewnienia, aby funkcjonariusze podejrzewani o</w:t>
      </w:r>
      <w:r w:rsidR="009977C8">
        <w:t> </w:t>
      </w:r>
      <w:r>
        <w:t>dopuszczenie się stosowania tortur lub złego traktowania byli niezwłocznie zawieszani w obowiązkach służbowych na czas postępowania wyjaśniającego. Uprasza się o wskazanie przykładów stosownych spraw lub orzeczeń sądowych. Prosimy o wskazanie, czy skarżący i ofiary byli prawidłowo informowani o postępach w sprawie ich skarg i wynikach postępowań, jak również o dostępnych im środkach ochrony sądowej na wypadek, gdyby oskarżyciel publiczny nie podjął decyzji o ściganiu. Prosimy o opisanie, w jaki sposób Państwo-strona gwarantuje poufność, niezależność i reagowanie systemu przyjmowania skarg na stosowanie tortur i złe traktowanie, w tym w przypadkach ofiar pozbawionych wolności we wszelkich warunkach izolacyjnych. Uprasza się o wyjaśnienie, jakie kroki były podejmowane w reakcji na skargi dotyczące stosowania tortur lub złego traktowania oraz stanu centralnego rejestru skarg stosownie do poprzednich zaleceń Komitetu (pkt 32).</w:t>
      </w:r>
    </w:p>
    <w:p w14:paraId="6561FDD5" w14:textId="5E01DCD9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wskazanie wszelkich konkretnych środków podjętych w celu niezwłocznego i dokładnego wyjaśniania doniesień o stosowaniu przemocy wobec, zatrzymaniach, prześladowaniach i zastraszaniu obrońców praw kobiet, a także lesbijek, gejów, osób transpłciowych i interpłciowych i ich obrońców</w:t>
      </w:r>
      <w:r w:rsidR="00AB6592" w:rsidRPr="00E6724F">
        <w:rPr>
          <w:rStyle w:val="Odwoanieprzypisudolnego"/>
        </w:rPr>
        <w:footnoteReference w:id="14"/>
      </w:r>
      <w:r>
        <w:t>, dziennikarzy i innych osób oraz organizacji społeczeństwa obywatelskiego w kontekście demonstracji dotyczących zaostrzania przepisów na temat aborcji, restrykcji związanych z pandemią COVID-19 oraz prac tych osób i organizacji w związku z ostatnią sytuacją migracyjną</w:t>
      </w:r>
      <w:r w:rsidR="00AB6592" w:rsidRPr="00E6724F">
        <w:rPr>
          <w:rStyle w:val="Odwoanieprzypisudolnego"/>
        </w:rPr>
        <w:footnoteReference w:id="15"/>
      </w:r>
      <w:r>
        <w:t>, w tym ze strony agencji ochrony porządku publicznego, prokuratury, oficerów wojskowych, a także członków znajdujących się pod ich dowództwem, Wojsk Obrony Terytorialnej. Uprasza się o podanie informacji na temat liczby postępowań wyjaśniających podjętych w wyniku doniesień o takich czynach, w tym nadużywania siły, zatrzymań związanych z użyciem przemocy, nieproporcjonalnego stosowania kajdanek w trakcie transportu w pojazdach policyjnych, przesłuchań i badań medycznych, a także rozpylania gazu lub stosowania pałek służbowych, inwazyjnych przeszukań ciała osób zatrzymanych i innych przypadkach domniemanej brutalności zidentyfikowanych funkcjonariuszy mundurowych i niemundurowych. Prosimy także o</w:t>
      </w:r>
      <w:r w:rsidR="009977C8">
        <w:t> </w:t>
      </w:r>
      <w:r>
        <w:t>informacje na temat wyników takich postępowań. Prosimy o wskazanie, ile osób zostało zawieszonych w obowiązkach służbowych w związku ze wspomnianymi doniesieniami będącymi w toku wyjaśniania, jak również liczby wszczętych postępowań wyjaśniających o</w:t>
      </w:r>
      <w:r w:rsidR="009977C8">
        <w:t> </w:t>
      </w:r>
      <w:r>
        <w:t>charakterze dyscyplinarnym.</w:t>
      </w:r>
    </w:p>
    <w:p w14:paraId="59A1EEB7" w14:textId="36575E0D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23.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zaleceń Komitetu (pkt 21–22) uprasza się o podanie aktualnych informacji na temat podjętych kroków zmierzających w kierunku ukończenia postępowań wyjaśniających dotyczących doniesień o zaangażowaniu Państwa-strony w</w:t>
      </w:r>
      <w:r w:rsidR="009977C8">
        <w:t> </w:t>
      </w:r>
      <w:r>
        <w:t>program wydań cennych osób zatrzymanych i programu tajnych zatrzymań Centralnej Agencji Wywiadowczej (CIA) w latach 2001–2008. Prosimy o podanie aktualnych informacji na temat ewentualnego ścigania osób zamieszanych w domniemane czyny stosowania tortur i złego traktowania.</w:t>
      </w:r>
    </w:p>
    <w:p w14:paraId="42368504" w14:textId="7B53D1BB" w:rsidR="00AB6592" w:rsidRPr="000165D6" w:rsidRDefault="00AB6592" w:rsidP="000165D6">
      <w:pPr>
        <w:pStyle w:val="H23G"/>
      </w:pPr>
      <w:r>
        <w:tab/>
      </w:r>
      <w:r>
        <w:tab/>
        <w:t>Art. 14</w:t>
      </w:r>
    </w:p>
    <w:p w14:paraId="725FE2CD" w14:textId="1C13FE19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24.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informacje na temat środków w zakresie naprawienia szkody i</w:t>
      </w:r>
      <w:r w:rsidR="009977C8">
        <w:t> </w:t>
      </w:r>
      <w:r>
        <w:t>zadośćuczynienia, w tym rehabilitacji zarządzonej przez sądy bądź inne organy Państwa i</w:t>
      </w:r>
      <w:r w:rsidR="009977C8">
        <w:t> </w:t>
      </w:r>
      <w:r>
        <w:t>faktycznie zapewnionej ofiarom tortur lub złego traktowania lub ich rodzinom począwszy od 2019 r. Powinno to obejmować liczbę wniosków o zadośćuczynienie złożonych a uwzględnionych, jak również kwot orzeczonych a faktycznie wypłaconych. Uprasza się również o informacje na temat wszelkich będących w toku programów naprawczych, w tym w zakresie leczenia traumy oraz pozostałych form rehabilitacji zapewnianych ofiarom tortur i złego traktowania, jak również zasobów materialnych, ludzkich i budżetowych przeznaczonych na ich skuteczne funkcjonowanie.</w:t>
      </w:r>
    </w:p>
    <w:p w14:paraId="63A7FE76" w14:textId="344FBF05" w:rsidR="00AB6592" w:rsidRPr="000165D6" w:rsidRDefault="00AB6592" w:rsidP="000165D6">
      <w:pPr>
        <w:pStyle w:val="H23G"/>
      </w:pPr>
      <w:r>
        <w:lastRenderedPageBreak/>
        <w:tab/>
      </w:r>
      <w:r>
        <w:tab/>
        <w:t>Art. 15</w:t>
      </w:r>
    </w:p>
    <w:p w14:paraId="2D2D4094" w14:textId="0F82D1F8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25.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W odniesieniu do poprzednich zaleceń Komitetu (pkt 11–12) prosimy o aktualne informacje na temat środków legislacyjnych i innych przyjętych w celu zapewnienia, aby przyznania do winy uzyskane w warunkach stosowania tortur lub złego traktowania nie były dopuszczane jako dowody w postępowaniach sądowych. W szczególności uprasza się o</w:t>
      </w:r>
      <w:r w:rsidR="009977C8">
        <w:t> </w:t>
      </w:r>
      <w:r>
        <w:t>informacje na temat wszelkich środków podjętych w celu uchylenia art. 168 lit. a Kodeksu postępowania karnego. Prosimy o dane na temat spraw, w których przyznania uzyskane w</w:t>
      </w:r>
      <w:r w:rsidR="009977C8">
        <w:t> </w:t>
      </w:r>
      <w:r>
        <w:t>wyniku stosowania tortur zostały uznane za niedopuszczalne, jak również na temat postępów ewentualnych postępowań zmierzających do wyjaśnienia zarzutów stosowania tortur w poprzednich sprawach i postępowań karnych wszczętych przeciwko funkcjonariuszom publicznym, którzy wymusili takie zeznania, a także na temat orzeczonych kar.</w:t>
      </w:r>
    </w:p>
    <w:p w14:paraId="49DAEDE0" w14:textId="638CD752" w:rsidR="00AB6592" w:rsidRPr="000165D6" w:rsidRDefault="00AB6592" w:rsidP="000165D6">
      <w:pPr>
        <w:pStyle w:val="H23G"/>
      </w:pPr>
      <w:r>
        <w:tab/>
      </w:r>
      <w:r>
        <w:tab/>
        <w:t>Art. 16</w:t>
      </w:r>
    </w:p>
    <w:p w14:paraId="47DD5771" w14:textId="17BD0A6D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Mając na uwadze poprzednie wnioski końcowe Komitetu (pkt 35 i 36 lit. e), uprasza się o informacje na temat kroków podjętych w celu zwalczania przemocy stosowanej ze względu na rasę i innych przestępstw z nienawiści</w:t>
      </w:r>
      <w:r w:rsidR="00AB6592" w:rsidRPr="00E6724F">
        <w:rPr>
          <w:rStyle w:val="Odwoanieprzypisudolnego"/>
        </w:rPr>
        <w:footnoteReference w:id="16"/>
      </w:r>
      <w:r>
        <w:t>. Prosimy o podanie danych na temat zgłoszonych i wyjaśnionych przypadków przestępstw z nienawiści na gruncie antysemickim, ksenofobicznym, religijnym, etnicznym, orientacji seksualnej lub tożsamości płciowej począwszy pod 2019 r., z rozbiciem na rodzaje motywacji lub podstaw dyskryminacji, a także płeć biologiczną (</w:t>
      </w:r>
      <w:r>
        <w:rPr>
          <w:i/>
          <w:iCs/>
        </w:rPr>
        <w:t>sex</w:t>
      </w:r>
      <w:r>
        <w:t>), płeć (</w:t>
      </w:r>
      <w:r>
        <w:rPr>
          <w:i/>
          <w:iCs/>
        </w:rPr>
        <w:t>gender</w:t>
      </w:r>
      <w:r>
        <w:t>), grupę wiekową oraz pochodzenie etniczne i</w:t>
      </w:r>
      <w:r w:rsidR="009977C8">
        <w:t> </w:t>
      </w:r>
      <w:r>
        <w:t>narodowość ofiar. Prosimy o wskazanie, czy sprawcą był funkcjonariusz publiczny. Prosimy także o informacje na temat wyników takich postępowań.</w:t>
      </w:r>
    </w:p>
    <w:p w14:paraId="50C2175E" w14:textId="73C8FAD6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informacje na temat środków podjętych w celu dekryminalizacji aborcji w</w:t>
      </w:r>
      <w:r w:rsidR="009977C8">
        <w:t> </w:t>
      </w:r>
      <w:r>
        <w:t>świetle prawa i w praktyce we wszystkich okolicznościach</w:t>
      </w:r>
      <w:r w:rsidR="00AB6592" w:rsidRPr="00E6724F">
        <w:rPr>
          <w:rStyle w:val="Odwoanieprzypisudolnego"/>
        </w:rPr>
        <w:footnoteReference w:id="17"/>
      </w:r>
      <w:r>
        <w:t xml:space="preserve"> oraz przekazane Komitetowi aktualnych informacji na temat wszelkich środków legislacyjnych i innych podjętych bądź przewidywanych do podjęcia w wyniku orzeczenia Trybunału Konstytucyjnego z dnia 22</w:t>
      </w:r>
      <w:r w:rsidR="009977C8">
        <w:t> </w:t>
      </w:r>
      <w:r>
        <w:t>października 2020 r. oraz zgodności takich środków ze standardami Konwencji. Prosimy o wyjaśnienie wszelkich podjętych środków gwarantujących dostępność bezpiecznej aborcji i świadczeń poaborcyjnej opieki zdrowotnej dla kobiet i dziewcząt, niezależnie od legalności dokonanej aborcji. Prosimy o wyjaśnienie, czy zostały podjęte postępowania mające wyjaśnić zgłoszone przypadki zgonów związanych z niemal całkowity zakazem dostępu [</w:t>
      </w:r>
      <w:r>
        <w:rPr>
          <w:i/>
          <w:iCs/>
        </w:rPr>
        <w:t>SIC</w:t>
      </w:r>
      <w:r>
        <w:t xml:space="preserve">] do aborcji oraz groźbą sankcji karnych wobec lekarzy. Prosimy o wskazanie, czy zostały podjęte jakiekolwiek kroki w celu naprawienia efektu mrożącego, jaki wywołało orzeczenie Trybunału, a także </w:t>
      </w:r>
      <w:r w:rsidR="009977C8">
        <w:t>ewentualnych</w:t>
      </w:r>
      <w:r>
        <w:t xml:space="preserve"> środków podjętych w celu zapewnienia, aby przypadki takie nie powtarzały się.</w:t>
      </w:r>
    </w:p>
    <w:p w14:paraId="410742BF" w14:textId="77777777" w:rsidR="00AB6592" w:rsidRPr="000165D6" w:rsidRDefault="00AB6592" w:rsidP="000165D6">
      <w:pPr>
        <w:pStyle w:val="H1G"/>
        <w:rPr>
          <w:rFonts w:eastAsia="SimSun"/>
        </w:rPr>
      </w:pPr>
      <w:r>
        <w:tab/>
      </w:r>
      <w:r>
        <w:tab/>
        <w:t>Pozostałe kwestie</w:t>
      </w:r>
    </w:p>
    <w:p w14:paraId="4E986BCF" w14:textId="736580C6" w:rsidR="00AB6592" w:rsidRPr="009800D0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aktualne informacje na temat środków podjętych przez Państwo-stronę w</w:t>
      </w:r>
      <w:r w:rsidR="009977C8">
        <w:t> </w:t>
      </w:r>
      <w:r>
        <w:t>reakcji na zagrożenia terroryzmu. Prosimy opisać, czy środki te wpłynęły na prawne i</w:t>
      </w:r>
      <w:r w:rsidR="009977C8">
        <w:t> </w:t>
      </w:r>
      <w:r>
        <w:t>praktyczne gwarancje praw człowieka, a jeżeli tak, to w jaki sposób. Prosimy także o</w:t>
      </w:r>
      <w:r w:rsidR="009977C8">
        <w:t> </w:t>
      </w:r>
      <w:r>
        <w:t>opisanie, w jaki sposób Państwo-strona zapewniło zgodność tych środków ze wszystkimi swymi zobowiązaniami prawnomiędzynarodowymi, a zwłaszcza wynikającymi z Konwencji. Ponadto uprasza się o wskazanie szkoleń zapewnianych funkcjonariuszom organów ochrony porządku publicznego w tym zakresie, liczby osób skazanych na podstawie przepisów przyjętych w celu zwalczania terroryzmu, środków i gwarancji dostępnych prawnie i</w:t>
      </w:r>
      <w:r w:rsidR="009977C8">
        <w:t> </w:t>
      </w:r>
      <w:r>
        <w:t>praktycznie osobom objętym środkami zwalczania terroryzmu, a także czy były skargi na nieprzestrzeganie standardów krajowych i międzynarodowych przy stosowaniu tych środków, a jeśli tak, to jakie były wyniki tych skarg.</w:t>
      </w:r>
    </w:p>
    <w:p w14:paraId="1F6D16BC" w14:textId="3DF69F9B" w:rsidR="00EE5CFD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29.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Mając na uwadze, że zakaz stosowania tortur ma charakter bezwzględny i niemożliwy do derogacji, również w ramach środków związanych ze stanami nadzwyczajnymi (</w:t>
      </w:r>
      <w:r>
        <w:rPr>
          <w:i/>
          <w:iCs/>
        </w:rPr>
        <w:t>emergency</w:t>
      </w:r>
      <w:r>
        <w:t xml:space="preserve">) i innymi okolicznościami o charakterze wyjątkowym, uprasza się o podanie </w:t>
      </w:r>
      <w:r>
        <w:lastRenderedPageBreak/>
        <w:t>informacji na temat wszelkich środków podjętych przez Państwo-stronę w trakcie pandemii COVID-19 w celu zapewnienia zgodności polityk i działań ze zobowiązaniami wynikającymi z Konwencji. Dodatkowo prosimy o określenie środków podjętych względem osób pozbawionych wolności oraz znajdujących się w innych sytuacjach ograniczenia swobody poruszania się, np. w domach spokojnej starości, szpitalach lub instytucjach dla osób z niepełnosprawnościami intelektualnymi i psychospołecznymi bądź dla osób nieletnich.</w:t>
      </w:r>
    </w:p>
    <w:p w14:paraId="0DA3E43E" w14:textId="59D5DFE4" w:rsidR="00AB6592" w:rsidRPr="000165D6" w:rsidRDefault="00AB6592" w:rsidP="009977C8">
      <w:pPr>
        <w:pStyle w:val="H1G"/>
        <w:jc w:val="both"/>
      </w:pPr>
      <w:r>
        <w:tab/>
      </w:r>
      <w:r>
        <w:tab/>
        <w:t>Ogólne informacje na temat sytuacji w zakresie praw człowieka w</w:t>
      </w:r>
      <w:r w:rsidR="009977C8">
        <w:t> </w:t>
      </w:r>
      <w:r>
        <w:t>kraju, w tym nowych środków i wydarzeń dotyczących wykonania Konwencji</w:t>
      </w:r>
    </w:p>
    <w:p w14:paraId="6377C7A8" w14:textId="45761BE3" w:rsidR="00AB6592" w:rsidRDefault="00AB5196" w:rsidP="00AB5196">
      <w:pPr>
        <w:pStyle w:val="ParaNoG"/>
        <w:numPr>
          <w:ilvl w:val="0"/>
          <w:numId w:val="0"/>
        </w:numPr>
        <w:tabs>
          <w:tab w:val="left" w:pos="5104"/>
        </w:tabs>
        <w:ind w:left="1134"/>
      </w:pP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30.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>
        <w:t>Prosimy o szczegółowe informacje na temat wszelkich innych relewantnych środków legislacyjnych, administracyjnych, sądowych i innych podjętych w celu wykonania postanowień Konwencji bądź zaleceń Komitetu począwszy od rozpatrzenia poprzedniego sprawozdania okresowego Państwa-strony w 2019 r., w tym zdarzeń w sferze instytucjonalnej, planów i programów. Prosimy o wskazanie przydzielonych zasobów i</w:t>
      </w:r>
      <w:r w:rsidR="009977C8">
        <w:t> </w:t>
      </w:r>
      <w:r>
        <w:t>podanie danych statystycznych. Uprasza się również o wszelkie inne informacje, jakie Państwo-strona uzna za istotne.</w:t>
      </w:r>
    </w:p>
    <w:p w14:paraId="05336D86" w14:textId="2A248457" w:rsidR="00AB6592" w:rsidRPr="00AB5196" w:rsidRDefault="00AB6592" w:rsidP="00AB659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B6592" w:rsidRPr="00AB5196" w:rsidSect="006E1B4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18EB" w14:textId="77777777" w:rsidR="00042DFE" w:rsidRPr="008779DC" w:rsidRDefault="00042DFE" w:rsidP="008779DC">
      <w:pPr>
        <w:pStyle w:val="Stopka"/>
      </w:pPr>
    </w:p>
  </w:endnote>
  <w:endnote w:type="continuationSeparator" w:id="0">
    <w:p w14:paraId="6851F8A2" w14:textId="77777777" w:rsidR="00042DFE" w:rsidRPr="008779DC" w:rsidRDefault="00042DFE" w:rsidP="008779DC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9F9F" w14:textId="493B8D4B" w:rsidR="00AB6592" w:rsidRDefault="00AB6592" w:rsidP="00AB6592">
    <w:pPr>
      <w:pStyle w:val="Stopka"/>
      <w:tabs>
        <w:tab w:val="right" w:pos="9638"/>
      </w:tabs>
    </w:pPr>
    <w:r w:rsidRPr="00AB6592">
      <w:rPr>
        <w:b/>
        <w:sz w:val="18"/>
      </w:rPr>
      <w:fldChar w:fldCharType="begin"/>
    </w:r>
    <w:r w:rsidRPr="00AB6592">
      <w:rPr>
        <w:b/>
        <w:sz w:val="18"/>
      </w:rPr>
      <w:instrText xml:space="preserve"> PAGE  \* MERGEFORMAT </w:instrText>
    </w:r>
    <w:r w:rsidRPr="00AB6592">
      <w:rPr>
        <w:b/>
        <w:sz w:val="18"/>
      </w:rPr>
      <w:fldChar w:fldCharType="separate"/>
    </w:r>
    <w:r w:rsidR="009977C8">
      <w:rPr>
        <w:b/>
        <w:noProof/>
        <w:sz w:val="18"/>
      </w:rPr>
      <w:t>10</w:t>
    </w:r>
    <w:r w:rsidRPr="00AB6592">
      <w:rPr>
        <w:b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ED9D" w14:textId="0CA85F86" w:rsidR="00AB6592" w:rsidRDefault="00AB6592" w:rsidP="00AB6592">
    <w:pPr>
      <w:pStyle w:val="Stopka"/>
      <w:tabs>
        <w:tab w:val="right" w:pos="9638"/>
      </w:tabs>
    </w:pPr>
    <w:r>
      <w:tab/>
    </w:r>
    <w:r w:rsidRPr="00AB6592">
      <w:rPr>
        <w:b/>
        <w:sz w:val="18"/>
      </w:rPr>
      <w:fldChar w:fldCharType="begin"/>
    </w:r>
    <w:r w:rsidRPr="00AB6592">
      <w:rPr>
        <w:b/>
        <w:sz w:val="18"/>
      </w:rPr>
      <w:instrText xml:space="preserve"> PAGE  \* MERGEFORMAT </w:instrText>
    </w:r>
    <w:r w:rsidRPr="00AB6592">
      <w:rPr>
        <w:b/>
        <w:sz w:val="18"/>
      </w:rPr>
      <w:fldChar w:fldCharType="separate"/>
    </w:r>
    <w:r w:rsidR="009977C8">
      <w:rPr>
        <w:b/>
        <w:noProof/>
        <w:sz w:val="18"/>
      </w:rPr>
      <w:t>9</w:t>
    </w:r>
    <w:r w:rsidRPr="00AB659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5D0E" w14:textId="0B2AF774" w:rsidR="00AB5196" w:rsidRDefault="00AB5196" w:rsidP="00AB5196">
    <w:pPr>
      <w:pStyle w:val="Stopka"/>
    </w:pPr>
  </w:p>
  <w:p w14:paraId="0A63C9F4" w14:textId="77777777" w:rsidR="009977C8" w:rsidRDefault="00AB5196" w:rsidP="00AB5196">
    <w:pPr>
      <w:pStyle w:val="Stopka"/>
      <w:ind w:right="1134"/>
      <w:rPr>
        <w:sz w:val="20"/>
      </w:rPr>
    </w:pPr>
    <w:r>
      <w:rPr>
        <w:sz w:val="20"/>
      </w:rPr>
      <w:t>GE.22-08744(E)</w:t>
    </w:r>
  </w:p>
  <w:p w14:paraId="0123A27E" w14:textId="5E8EF429" w:rsidR="00AB5196" w:rsidRPr="00AB5196" w:rsidRDefault="009977C8" w:rsidP="009977C8">
    <w:pPr>
      <w:pStyle w:val="Stopka"/>
      <w:ind w:right="1134"/>
      <w:jc w:val="right"/>
      <w:rPr>
        <w:sz w:val="20"/>
      </w:rPr>
    </w:pPr>
    <w:r>
      <w:rPr>
        <w:noProof/>
        <w:lang w:eastAsia="pl-PL"/>
      </w:rPr>
      <w:t>[</w:t>
    </w:r>
    <w:r w:rsidRPr="009977C8">
      <w:rPr>
        <w:i/>
        <w:noProof/>
        <w:lang w:eastAsia="pl-PL"/>
      </w:rPr>
      <w:t>KOD QR</w:t>
    </w:r>
    <w:r>
      <w:rPr>
        <w:i/>
        <w:noProof/>
        <w:lang w:eastAsia="pl-PL"/>
      </w:rPr>
      <w:t xml:space="preserve"> ORAZ ZNAK GRAFICZNO-TEKSTOWY WYRAŻAJĄCY PROŚBĘ O RECYKLING</w:t>
    </w:r>
    <w:r>
      <w:rPr>
        <w:noProof/>
        <w:lang w:eastAsia="pl-PL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1936" w14:textId="77777777" w:rsidR="00042DFE" w:rsidRPr="008779DC" w:rsidRDefault="00042DF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15303961" w14:textId="77777777" w:rsidR="00042DFE" w:rsidRPr="008779DC" w:rsidRDefault="00042DF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7B3EDA82" w14:textId="4F6E9FAA" w:rsidR="00AB6592" w:rsidRPr="00AB5196" w:rsidRDefault="00AB6592" w:rsidP="009977C8">
      <w:pPr>
        <w:pStyle w:val="Tekstprzypisudolnego"/>
        <w:jc w:val="both"/>
      </w:pPr>
      <w:r>
        <w:rPr>
          <w:rStyle w:val="Odwoanieprzypisudolnego"/>
        </w:rPr>
        <w:tab/>
      </w:r>
      <w:r>
        <w:rPr>
          <w:rStyle w:val="Odwoanieprzypisudolnego"/>
          <w:sz w:val="20"/>
          <w:vertAlign w:val="baseline"/>
        </w:rPr>
        <w:t>*</w:t>
      </w:r>
      <w:r>
        <w:rPr>
          <w:rStyle w:val="Odwoanieprzypisudolnego"/>
          <w:sz w:val="20"/>
          <w:vertAlign w:val="baseline"/>
        </w:rPr>
        <w:tab/>
      </w:r>
      <w:r>
        <w:t>Przyj. przez Komitet na sześćdziesiątej siódmej sesji (19 kwietnia — 13 maja 2019 r.).</w:t>
      </w:r>
    </w:p>
  </w:footnote>
  <w:footnote w:id="2">
    <w:p w14:paraId="3271199F" w14:textId="0B719E41" w:rsidR="00AB6592" w:rsidRPr="00EE5CFD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>O ile nie wskazano odmiennie, numeracja punktów podana w nawiasach odnosi się do poprzednich wniosków Komitetu (</w:t>
      </w:r>
      <w:hyperlink r:id="rId1" w:history="1">
        <w:r>
          <w:rPr>
            <w:rStyle w:val="Hipercze"/>
          </w:rPr>
          <w:t>CAT/C/POL/CO/7</w:t>
        </w:r>
      </w:hyperlink>
      <w:r>
        <w:t>).</w:t>
      </w:r>
    </w:p>
  </w:footnote>
  <w:footnote w:id="3">
    <w:p w14:paraId="37F0A7C7" w14:textId="5311C8E4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Patrz </w:t>
      </w:r>
      <w:hyperlink r:id="rId2" w:history="1">
        <w:r>
          <w:rPr>
            <w:rStyle w:val="Hipercze"/>
          </w:rPr>
          <w:t>CAT/C/POL/FCO/7</w:t>
        </w:r>
      </w:hyperlink>
      <w:r>
        <w:t>.</w:t>
      </w:r>
    </w:p>
  </w:footnote>
  <w:footnote w:id="4">
    <w:p w14:paraId="26614DEB" w14:textId="5CB48C40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hyperlink r:id="rId3" w:history="1">
        <w:r>
          <w:rPr>
            <w:rStyle w:val="Hipercze"/>
          </w:rPr>
          <w:t>CAT/C/POL/FCO/7</w:t>
        </w:r>
      </w:hyperlink>
      <w:r>
        <w:t>, pkt 21. Patrz także pismo Sprawozdawcy z dnia 1 marca 2021 r. w sprawie czynności następczych wobec wniosków końcowych, dostępne pod adresem: https://tbinternet.ohchr.org/Treaties/CAT/Shared%20Documents/POL/INT_CAT_FUL_POL_44484_E.pdf.</w:t>
      </w:r>
    </w:p>
  </w:footnote>
  <w:footnote w:id="5">
    <w:p w14:paraId="7DF6F4ED" w14:textId="15C008A1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  <w:t>Kwestie podniesione w stosunku do art. 2 mogą również dotykać kwestii podniesionych względem pozostałych artykułów Konwencji, w tym art. 16. Jak wskazano w pkt 3 ogólnego komentarza Komitetu nr 2 (2007) w sprawie wykonania art. 2, zawarte w tym artykule zobowiązane do zapobiegania torturom jest zakrojone szeroko. Wynikające z art. 16 ust. 1 zobowiązania do zapobiegania torturom oraz innemu okrutnemu, nieludzkiemu lub poniżającemu traktowaniu lub karaniu są niepodzielnie, wzajemnie od siebie zależne i ze sobą powiązane. W praktyce zobowiązane do zapobiegania złemu traktowaniu zazębia się i w znaczącym stopniu pokrywa ze zobowiązaniem do zapobiegania stosowaniu tortur. Definicyjny próg rozróżnienia między jednym a drugim w praktyce często nie jest jednoznaczny. Patrz także część V wspomnianego ogólnego komentarza.</w:t>
      </w:r>
    </w:p>
  </w:footnote>
  <w:footnote w:id="6">
    <w:p w14:paraId="061F3005" w14:textId="5555B454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  <w:t xml:space="preserve">Patrz także </w:t>
      </w:r>
      <w:hyperlink r:id="rId4" w:history="1">
        <w:r>
          <w:rPr>
            <w:rStyle w:val="Hipercze"/>
          </w:rPr>
          <w:t>CAT/OP/POL/ROSP/1</w:t>
        </w:r>
      </w:hyperlink>
      <w:r>
        <w:t>.</w:t>
      </w:r>
    </w:p>
  </w:footnote>
  <w:footnote w:id="7">
    <w:p w14:paraId="7581F679" w14:textId="4D2E035F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5" w:history="1">
        <w:r>
          <w:rPr>
            <w:rStyle w:val="Hipercze"/>
          </w:rPr>
          <w:t>CAT/C/POL/FCO/7</w:t>
        </w:r>
      </w:hyperlink>
      <w:r>
        <w:t>, pkt 27. Patrz także pismo Sprawozdawcy z dnia 1 marca 2021 r. w sprawie czynności  następczych wobec wniosków końcowych.</w:t>
      </w:r>
    </w:p>
  </w:footnote>
  <w:footnote w:id="8">
    <w:p w14:paraId="15D964D0" w14:textId="3B4FAF63" w:rsidR="00AB6592" w:rsidRPr="00993FD1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6" w:history="1">
        <w:r>
          <w:rPr>
            <w:rStyle w:val="Hipercze"/>
          </w:rPr>
          <w:t>CRC/C/POL/CO/5-6</w:t>
        </w:r>
      </w:hyperlink>
      <w:r>
        <w:t>, pkt 26–27.</w:t>
      </w:r>
    </w:p>
  </w:footnote>
  <w:footnote w:id="9">
    <w:p w14:paraId="4FFD45EB" w14:textId="77777777" w:rsidR="00AB6592" w:rsidRPr="00993FD1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r>
        <w:rPr>
          <w:i/>
          <w:iCs/>
        </w:rPr>
        <w:t>Ibidem</w:t>
      </w:r>
      <w:r>
        <w:t>, pkt 44.</w:t>
      </w:r>
    </w:p>
  </w:footnote>
  <w:footnote w:id="10">
    <w:p w14:paraId="427037B7" w14:textId="0C8BC86F" w:rsidR="00AB6592" w:rsidRPr="00993FD1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7" w:history="1">
        <w:r>
          <w:rPr>
            <w:rStyle w:val="Hipercze"/>
          </w:rPr>
          <w:t>CERD/C/POL/CO/22-24</w:t>
        </w:r>
      </w:hyperlink>
      <w:r>
        <w:t>, pkt 23–24.</w:t>
      </w:r>
    </w:p>
  </w:footnote>
  <w:footnote w:id="11">
    <w:p w14:paraId="66163E2C" w14:textId="17848126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8" w:history="1">
        <w:r>
          <w:rPr>
            <w:rStyle w:val="Hipercze"/>
          </w:rPr>
          <w:t>CAT/C/POL/FCO/7</w:t>
        </w:r>
      </w:hyperlink>
      <w:r>
        <w:t>, pkt 25–26. Patrz także pismo Sprawozdawcy z dnia 1 marca 2021 r. w sprawie czynności  następczych wobec wniosków końcowych.</w:t>
      </w:r>
    </w:p>
  </w:footnote>
  <w:footnote w:id="12">
    <w:p w14:paraId="7E5BFDE4" w14:textId="28138163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ab/>
      </w:r>
      <w:hyperlink r:id="rId9" w:history="1">
        <w:r>
          <w:rPr>
            <w:rStyle w:val="Hipercze"/>
          </w:rPr>
          <w:t>CRC/C/POL/CO/5-6</w:t>
        </w:r>
      </w:hyperlink>
      <w:r>
        <w:t xml:space="preserve">, pkt 40–41; </w:t>
      </w:r>
      <w:hyperlink r:id="rId10" w:history="1">
        <w:r>
          <w:rPr>
            <w:rStyle w:val="Hipercze"/>
          </w:rPr>
          <w:t>CERD/C/POL/CO/22-24</w:t>
        </w:r>
      </w:hyperlink>
      <w:r>
        <w:t>, pkt 23–24.</w:t>
      </w:r>
    </w:p>
  </w:footnote>
  <w:footnote w:id="13">
    <w:p w14:paraId="2A2800DA" w14:textId="66C15312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11" w:history="1">
        <w:r>
          <w:rPr>
            <w:rStyle w:val="Hipercze"/>
          </w:rPr>
          <w:t>CAT/C/POL/FCO/7</w:t>
        </w:r>
      </w:hyperlink>
      <w:r>
        <w:t>, pkt 1–24. Patrz także pismo Sprawozdawcy z dnia 1 marca 2021 r. w sprawie czynności  następczych wobec wniosków końcowych.</w:t>
      </w:r>
    </w:p>
  </w:footnote>
  <w:footnote w:id="14">
    <w:p w14:paraId="5BB569C2" w14:textId="63CB4187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12" w:history="1">
        <w:r>
          <w:rPr>
            <w:rStyle w:val="Hipercze"/>
          </w:rPr>
          <w:t>CRC/C/POL/CO/5-6</w:t>
        </w:r>
      </w:hyperlink>
      <w:r>
        <w:t>, pkt 18–19. Patrz także komunikat POL 3/2021</w:t>
      </w:r>
      <w:r>
        <w:rPr>
          <w:bdr w:val="none" w:sz="0" w:space="0" w:color="auto" w:frame="1"/>
        </w:rPr>
        <w:t>, dostępny pod adresem: https://spcommreports.ohchr.org/TMResultsBase/DownLoadPublicCommunicationFile?gId=26055.</w:t>
      </w:r>
    </w:p>
  </w:footnote>
  <w:footnote w:id="15">
    <w:p w14:paraId="59A72B04" w14:textId="77777777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  <w:t>Patrz także komunikat POL 1/2022, dostępny pod adresem: https://spcommreports.ohchr.org/TMResultsBase/DownLoadPublicCommunicationFile?gId=26975.</w:t>
      </w:r>
    </w:p>
  </w:footnote>
  <w:footnote w:id="16">
    <w:p w14:paraId="7D2A15BC" w14:textId="7966677E" w:rsidR="00AB6592" w:rsidRPr="00145AE8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13" w:history="1">
        <w:r>
          <w:rPr>
            <w:rStyle w:val="Hipercze"/>
          </w:rPr>
          <w:t>CERD/C/POL/CO/22-24</w:t>
        </w:r>
      </w:hyperlink>
      <w:r>
        <w:t>, pkt 15–16 i 19–24.</w:t>
      </w:r>
    </w:p>
  </w:footnote>
  <w:footnote w:id="17">
    <w:p w14:paraId="5290D2F8" w14:textId="3556EB6A" w:rsidR="00AB6592" w:rsidRPr="009566B3" w:rsidRDefault="00AB6592" w:rsidP="009977C8">
      <w:pPr>
        <w:pStyle w:val="Tekstprzypisudolnego"/>
        <w:jc w:val="both"/>
        <w:rPr>
          <w:szCs w:val="18"/>
        </w:rPr>
      </w:pPr>
      <w:r>
        <w:tab/>
      </w: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ab/>
      </w:r>
      <w:r>
        <w:tab/>
      </w:r>
      <w:hyperlink r:id="rId14" w:history="1">
        <w:r>
          <w:rPr>
            <w:rStyle w:val="Hipercze"/>
          </w:rPr>
          <w:t>CRC/C/POL/CO/5-6</w:t>
        </w:r>
      </w:hyperlink>
      <w:r>
        <w:t>, pkt 36 lit. 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8DD8" w14:textId="77777777" w:rsidR="00AB6592" w:rsidRDefault="00AB6592" w:rsidP="00AB6592">
    <w:pPr>
      <w:pStyle w:val="Nagwek"/>
    </w:pPr>
    <w:r>
      <w:t>CAT/C/POL/QPR/8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51E2" w14:textId="77777777" w:rsidR="00AB6592" w:rsidRDefault="00AB6592" w:rsidP="00AB6592">
    <w:pPr>
      <w:pStyle w:val="Nagwek"/>
      <w:jc w:val="right"/>
    </w:pPr>
    <w:r>
      <w:t>CAT/C/POL/QPR/8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A2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389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A8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6A5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B41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12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AA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F29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12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A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146A9B5A"/>
    <w:lvl w:ilvl="0" w:tplc="7204691E">
      <w:start w:val="1"/>
      <w:numFmt w:val="decimal"/>
      <w:pStyle w:val="ParaNoG"/>
      <w:lvlText w:val="%1."/>
      <w:lvlJc w:val="left"/>
      <w:pPr>
        <w:tabs>
          <w:tab w:val="num" w:pos="5104"/>
        </w:tabs>
        <w:ind w:left="623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7948643">
    <w:abstractNumId w:val="13"/>
  </w:num>
  <w:num w:numId="2" w16cid:durableId="1425103616">
    <w:abstractNumId w:val="12"/>
  </w:num>
  <w:num w:numId="3" w16cid:durableId="185800725">
    <w:abstractNumId w:val="10"/>
  </w:num>
  <w:num w:numId="4" w16cid:durableId="1022171326">
    <w:abstractNumId w:val="14"/>
  </w:num>
  <w:num w:numId="5" w16cid:durableId="1816487454">
    <w:abstractNumId w:val="15"/>
  </w:num>
  <w:num w:numId="6" w16cid:durableId="1767192447">
    <w:abstractNumId w:val="16"/>
  </w:num>
  <w:num w:numId="7" w16cid:durableId="1345861969">
    <w:abstractNumId w:val="11"/>
  </w:num>
  <w:num w:numId="8" w16cid:durableId="489564898">
    <w:abstractNumId w:val="9"/>
  </w:num>
  <w:num w:numId="9" w16cid:durableId="1504203705">
    <w:abstractNumId w:val="7"/>
  </w:num>
  <w:num w:numId="10" w16cid:durableId="1912037537">
    <w:abstractNumId w:val="6"/>
  </w:num>
  <w:num w:numId="11" w16cid:durableId="831874794">
    <w:abstractNumId w:val="5"/>
  </w:num>
  <w:num w:numId="12" w16cid:durableId="509608218">
    <w:abstractNumId w:val="4"/>
  </w:num>
  <w:num w:numId="13" w16cid:durableId="483819210">
    <w:abstractNumId w:val="8"/>
  </w:num>
  <w:num w:numId="14" w16cid:durableId="2018075266">
    <w:abstractNumId w:val="3"/>
  </w:num>
  <w:num w:numId="15" w16cid:durableId="1254897612">
    <w:abstractNumId w:val="2"/>
  </w:num>
  <w:num w:numId="16" w16cid:durableId="215776343">
    <w:abstractNumId w:val="1"/>
  </w:num>
  <w:num w:numId="17" w16cid:durableId="306981494">
    <w:abstractNumId w:val="0"/>
  </w:num>
  <w:num w:numId="18" w16cid:durableId="1292591214">
    <w:abstractNumId w:val="10"/>
  </w:num>
  <w:num w:numId="19" w16cid:durableId="45572440">
    <w:abstractNumId w:val="10"/>
  </w:num>
  <w:num w:numId="20" w16cid:durableId="103237065">
    <w:abstractNumId w:val="10"/>
  </w:num>
  <w:num w:numId="21" w16cid:durableId="1600524215">
    <w:abstractNumId w:val="10"/>
  </w:num>
  <w:num w:numId="22" w16cid:durableId="1162818090">
    <w:abstractNumId w:val="10"/>
  </w:num>
  <w:num w:numId="23" w16cid:durableId="1561594395">
    <w:abstractNumId w:val="10"/>
  </w:num>
  <w:num w:numId="24" w16cid:durableId="1870029196">
    <w:abstractNumId w:val="10"/>
  </w:num>
  <w:num w:numId="25" w16cid:durableId="2118984205">
    <w:abstractNumId w:val="10"/>
  </w:num>
  <w:num w:numId="26" w16cid:durableId="1433696707">
    <w:abstractNumId w:val="10"/>
  </w:num>
  <w:num w:numId="27" w16cid:durableId="1588029228">
    <w:abstractNumId w:val="10"/>
  </w:num>
  <w:num w:numId="28" w16cid:durableId="890919027">
    <w:abstractNumId w:val="10"/>
  </w:num>
  <w:num w:numId="29" w16cid:durableId="1420977975">
    <w:abstractNumId w:val="10"/>
  </w:num>
  <w:num w:numId="30" w16cid:durableId="919950879">
    <w:abstractNumId w:val="10"/>
  </w:num>
  <w:num w:numId="31" w16cid:durableId="46926275">
    <w:abstractNumId w:val="10"/>
  </w:num>
  <w:num w:numId="32" w16cid:durableId="1136602771">
    <w:abstractNumId w:val="10"/>
  </w:num>
  <w:num w:numId="33" w16cid:durableId="669408387">
    <w:abstractNumId w:val="10"/>
  </w:num>
  <w:num w:numId="34" w16cid:durableId="615186531">
    <w:abstractNumId w:val="10"/>
  </w:num>
  <w:num w:numId="35" w16cid:durableId="1118333748">
    <w:abstractNumId w:val="10"/>
  </w:num>
  <w:num w:numId="36" w16cid:durableId="226384150">
    <w:abstractNumId w:val="10"/>
  </w:num>
  <w:num w:numId="37" w16cid:durableId="1745101152">
    <w:abstractNumId w:val="10"/>
  </w:num>
  <w:num w:numId="38" w16cid:durableId="196935888">
    <w:abstractNumId w:val="10"/>
  </w:num>
  <w:num w:numId="39" w16cid:durableId="1347756123">
    <w:abstractNumId w:val="10"/>
  </w:num>
  <w:num w:numId="40" w16cid:durableId="1639726800">
    <w:abstractNumId w:val="10"/>
  </w:num>
  <w:num w:numId="41" w16cid:durableId="1816147149">
    <w:abstractNumId w:val="10"/>
  </w:num>
  <w:num w:numId="42" w16cid:durableId="2085569185">
    <w:abstractNumId w:val="10"/>
  </w:num>
  <w:num w:numId="43" w16cid:durableId="21844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DA1tjSyNDSzNLJQ0lEKTi0uzszPAykwNKkFAG3sLeItAAAA"/>
  </w:docVars>
  <w:rsids>
    <w:rsidRoot w:val="0078302E"/>
    <w:rsid w:val="000004EF"/>
    <w:rsid w:val="000165D6"/>
    <w:rsid w:val="00042DFE"/>
    <w:rsid w:val="00046E92"/>
    <w:rsid w:val="00062024"/>
    <w:rsid w:val="00091ABF"/>
    <w:rsid w:val="0011190E"/>
    <w:rsid w:val="00113E7B"/>
    <w:rsid w:val="00174FE0"/>
    <w:rsid w:val="001B598C"/>
    <w:rsid w:val="001E06C2"/>
    <w:rsid w:val="00247E2C"/>
    <w:rsid w:val="00254A4D"/>
    <w:rsid w:val="002C684E"/>
    <w:rsid w:val="002D6C53"/>
    <w:rsid w:val="002E0C8B"/>
    <w:rsid w:val="002F181B"/>
    <w:rsid w:val="002F5595"/>
    <w:rsid w:val="002F7D86"/>
    <w:rsid w:val="00317954"/>
    <w:rsid w:val="0032129C"/>
    <w:rsid w:val="003234BF"/>
    <w:rsid w:val="00334F6A"/>
    <w:rsid w:val="00342AC8"/>
    <w:rsid w:val="00354EB9"/>
    <w:rsid w:val="00372E4B"/>
    <w:rsid w:val="003B42AF"/>
    <w:rsid w:val="003B4550"/>
    <w:rsid w:val="00436EB9"/>
    <w:rsid w:val="00461253"/>
    <w:rsid w:val="004A635B"/>
    <w:rsid w:val="004A6B08"/>
    <w:rsid w:val="004F256F"/>
    <w:rsid w:val="005042C2"/>
    <w:rsid w:val="005150EB"/>
    <w:rsid w:val="00515592"/>
    <w:rsid w:val="00535834"/>
    <w:rsid w:val="0054620A"/>
    <w:rsid w:val="00564984"/>
    <w:rsid w:val="005869C8"/>
    <w:rsid w:val="006365DF"/>
    <w:rsid w:val="00671529"/>
    <w:rsid w:val="006952A1"/>
    <w:rsid w:val="006A7265"/>
    <w:rsid w:val="006D59DD"/>
    <w:rsid w:val="006E1B45"/>
    <w:rsid w:val="00703684"/>
    <w:rsid w:val="007237F2"/>
    <w:rsid w:val="007268F9"/>
    <w:rsid w:val="007309C0"/>
    <w:rsid w:val="0078302E"/>
    <w:rsid w:val="00792FAA"/>
    <w:rsid w:val="007B0CE3"/>
    <w:rsid w:val="007B3922"/>
    <w:rsid w:val="007C52B0"/>
    <w:rsid w:val="00864A70"/>
    <w:rsid w:val="00866CD3"/>
    <w:rsid w:val="008779DC"/>
    <w:rsid w:val="008A5333"/>
    <w:rsid w:val="008B4A4A"/>
    <w:rsid w:val="008B5F85"/>
    <w:rsid w:val="008E6FA3"/>
    <w:rsid w:val="00917EBA"/>
    <w:rsid w:val="0093545A"/>
    <w:rsid w:val="009411B4"/>
    <w:rsid w:val="00992039"/>
    <w:rsid w:val="009977C8"/>
    <w:rsid w:val="009D0139"/>
    <w:rsid w:val="009E22DE"/>
    <w:rsid w:val="009F5CDC"/>
    <w:rsid w:val="00A43F01"/>
    <w:rsid w:val="00A775CF"/>
    <w:rsid w:val="00AA1533"/>
    <w:rsid w:val="00AB5196"/>
    <w:rsid w:val="00AB6592"/>
    <w:rsid w:val="00AE2550"/>
    <w:rsid w:val="00AF4E36"/>
    <w:rsid w:val="00B06045"/>
    <w:rsid w:val="00B4355D"/>
    <w:rsid w:val="00B43930"/>
    <w:rsid w:val="00BD7379"/>
    <w:rsid w:val="00C27CE2"/>
    <w:rsid w:val="00C35A27"/>
    <w:rsid w:val="00C77619"/>
    <w:rsid w:val="00C9269A"/>
    <w:rsid w:val="00D174E1"/>
    <w:rsid w:val="00D21609"/>
    <w:rsid w:val="00D926E5"/>
    <w:rsid w:val="00DB4722"/>
    <w:rsid w:val="00E00D7B"/>
    <w:rsid w:val="00E02C2B"/>
    <w:rsid w:val="00E204D7"/>
    <w:rsid w:val="00E6724F"/>
    <w:rsid w:val="00E67689"/>
    <w:rsid w:val="00E67FFB"/>
    <w:rsid w:val="00EC5EC0"/>
    <w:rsid w:val="00ED6C48"/>
    <w:rsid w:val="00EE5CFD"/>
    <w:rsid w:val="00EF3559"/>
    <w:rsid w:val="00F022BB"/>
    <w:rsid w:val="00F04DB0"/>
    <w:rsid w:val="00F448E2"/>
    <w:rsid w:val="00F52D40"/>
    <w:rsid w:val="00F61731"/>
    <w:rsid w:val="00F65F5D"/>
    <w:rsid w:val="00F86A3A"/>
    <w:rsid w:val="00FA6B47"/>
    <w:rsid w:val="00FA6FE3"/>
    <w:rsid w:val="00FC1527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13E24"/>
  <w15:docId w15:val="{DDFCFFF0-2BEC-47DE-8F48-1F709B8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8E2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agwek1">
    <w:name w:val="heading 1"/>
    <w:aliases w:val="Table_G"/>
    <w:basedOn w:val="SingleTxtG"/>
    <w:next w:val="SingleTxtG"/>
    <w:link w:val="Nagwek1Znak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Nagwek2">
    <w:name w:val="heading 2"/>
    <w:basedOn w:val="Normalny"/>
    <w:next w:val="Normalny"/>
    <w:link w:val="Nagwek2Znak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Nagwek3">
    <w:name w:val="heading 3"/>
    <w:basedOn w:val="Normalny"/>
    <w:next w:val="Normalny"/>
    <w:link w:val="Nagwek3Znak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Nagwek4">
    <w:name w:val="heading 4"/>
    <w:basedOn w:val="Normalny"/>
    <w:next w:val="Normalny"/>
    <w:link w:val="Nagwek4Znak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Nagwek5">
    <w:name w:val="heading 5"/>
    <w:basedOn w:val="Normalny"/>
    <w:next w:val="Normalny"/>
    <w:link w:val="Nagwek5Znak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Nagwek6">
    <w:name w:val="heading 6"/>
    <w:basedOn w:val="Normalny"/>
    <w:next w:val="Normalny"/>
    <w:link w:val="Nagwek6Znak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Nagwek7">
    <w:name w:val="heading 7"/>
    <w:basedOn w:val="Normalny"/>
    <w:next w:val="Normalny"/>
    <w:link w:val="Nagwek7Znak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Nagwek8">
    <w:name w:val="heading 8"/>
    <w:basedOn w:val="Normalny"/>
    <w:next w:val="Normalny"/>
    <w:link w:val="Nagwek8Znak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Nagwek9">
    <w:name w:val="heading 9"/>
    <w:basedOn w:val="Normalny"/>
    <w:next w:val="Normalny"/>
    <w:link w:val="Nagwek9Znak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6_G"/>
    <w:basedOn w:val="Normalny"/>
    <w:link w:val="NagwekZnak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NagwekZnak">
    <w:name w:val="Nagłówek Znak"/>
    <w:aliases w:val="6_G Znak"/>
    <w:basedOn w:val="Domylnaczcionkaakapitu"/>
    <w:link w:val="Nagwek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Stopka">
    <w:name w:val="footer"/>
    <w:aliases w:val="3_G"/>
    <w:basedOn w:val="Normalny"/>
    <w:link w:val="StopkaZnak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StopkaZnak">
    <w:name w:val="Stopka Znak"/>
    <w:aliases w:val="3_G Znak"/>
    <w:basedOn w:val="Domylnaczcionkaakapitu"/>
    <w:link w:val="Stopka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ny"/>
    <w:next w:val="Normalny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ny"/>
    <w:next w:val="Normalny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ny"/>
    <w:next w:val="Normalny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ny"/>
    <w:next w:val="Normalny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ny"/>
    <w:next w:val="Normalny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ny"/>
    <w:next w:val="Normalny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ny"/>
    <w:link w:val="SingleTxtGChar"/>
    <w:rsid w:val="00317954"/>
    <w:pPr>
      <w:tabs>
        <w:tab w:val="left" w:pos="1701"/>
        <w:tab w:val="left" w:pos="2268"/>
      </w:tabs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ny"/>
    <w:next w:val="Normalny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ny"/>
    <w:next w:val="Normalny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ny"/>
    <w:next w:val="Normalny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ny"/>
    <w:next w:val="Normalny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ny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ny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Bezlisty"/>
    <w:semiHidden/>
    <w:rsid w:val="007268F9"/>
    <w:pPr>
      <w:numPr>
        <w:numId w:val="5"/>
      </w:numPr>
    </w:pPr>
  </w:style>
  <w:style w:type="numbering" w:styleId="1ai">
    <w:name w:val="Outline List 1"/>
    <w:basedOn w:val="Bezlisty"/>
    <w:semiHidden/>
    <w:rsid w:val="007268F9"/>
    <w:pPr>
      <w:numPr>
        <w:numId w:val="6"/>
      </w:numPr>
    </w:pPr>
  </w:style>
  <w:style w:type="character" w:styleId="Odwoanieprzypisukocowego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Tekstprzypisudolnego">
    <w:name w:val="footnote text"/>
    <w:aliases w:val="5_G"/>
    <w:basedOn w:val="Normalny"/>
    <w:link w:val="TekstprzypisudolnegoZnak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TekstprzypisudolnegoZnak">
    <w:name w:val="Tekst przypisu dolnego Znak"/>
    <w:aliases w:val="5_G Znak"/>
    <w:basedOn w:val="Domylnaczcionkaakapitu"/>
    <w:link w:val="Tekstprzypisudolnego"/>
    <w:rsid w:val="007268F9"/>
    <w:rPr>
      <w:rFonts w:ascii="Times New Roman" w:eastAsia="SimSun" w:hAnsi="Times New Roman" w:cs="Times New Roman"/>
      <w:sz w:val="18"/>
      <w:szCs w:val="20"/>
    </w:rPr>
  </w:style>
  <w:style w:type="paragraph" w:styleId="Tekstprzypisukocowego">
    <w:name w:val="endnote text"/>
    <w:aliases w:val="2_G"/>
    <w:basedOn w:val="Tekstprzypisudolnego"/>
    <w:link w:val="TekstprzypisukocowegoZnak"/>
    <w:rsid w:val="007268F9"/>
  </w:style>
  <w:style w:type="character" w:customStyle="1" w:styleId="TekstprzypisukocowegoZnak">
    <w:name w:val="Tekst przypisu końcowego Znak"/>
    <w:aliases w:val="2_G Znak"/>
    <w:basedOn w:val="Domylnaczcionkaakapitu"/>
    <w:link w:val="Tekstprzypisukocowego"/>
    <w:rsid w:val="007268F9"/>
    <w:rPr>
      <w:rFonts w:ascii="Times New Roman" w:eastAsia="SimSun" w:hAnsi="Times New Roman" w:cs="Times New Roman"/>
      <w:sz w:val="18"/>
      <w:szCs w:val="20"/>
    </w:rPr>
  </w:style>
  <w:style w:type="character" w:styleId="Odwoanieprzypisudolnego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Nagwek1Znak">
    <w:name w:val="Nagłówek 1 Znak"/>
    <w:aliases w:val="Table_G Znak"/>
    <w:basedOn w:val="Domylnaczcionkaakapitu"/>
    <w:link w:val="Nagwek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Tytuksiki">
    <w:name w:val="Book Title"/>
    <w:basedOn w:val="Domylnaczcionkaakapitu"/>
    <w:uiPriority w:val="33"/>
    <w:semiHidden/>
    <w:rsid w:val="007268F9"/>
    <w:rPr>
      <w:b/>
      <w:bCs/>
      <w:smallCaps/>
      <w:spacing w:val="5"/>
    </w:rPr>
  </w:style>
  <w:style w:type="table" w:styleId="Tabela-Siatka">
    <w:name w:val="Table Grid"/>
    <w:basedOn w:val="Standardowy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omylnaczcionkaakapitu"/>
    <w:link w:val="SingleTxtG"/>
    <w:locked/>
    <w:rsid w:val="00317954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48E2"/>
    <w:rPr>
      <w:color w:val="0000FF" w:themeColor="hyperlink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A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48E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en/CAT/C/POL/FCO/7" TargetMode="External"/><Relationship Id="rId13" Type="http://schemas.openxmlformats.org/officeDocument/2006/relationships/hyperlink" Target="http://undocs.org/en/CERD/C/POL/CO/22-24" TargetMode="External"/><Relationship Id="rId3" Type="http://schemas.openxmlformats.org/officeDocument/2006/relationships/hyperlink" Target="http://undocs.org/en/CAT/C/POL/FCO/7" TargetMode="External"/><Relationship Id="rId7" Type="http://schemas.openxmlformats.org/officeDocument/2006/relationships/hyperlink" Target="http://undocs.org/en/CERD/C/POL/CO/22-24" TargetMode="External"/><Relationship Id="rId12" Type="http://schemas.openxmlformats.org/officeDocument/2006/relationships/hyperlink" Target="http://undocs.org/en/CRC/C/POL/CO/5-6" TargetMode="External"/><Relationship Id="rId2" Type="http://schemas.openxmlformats.org/officeDocument/2006/relationships/hyperlink" Target="http://undocs.org/en/CAT/C/POL/FCO/7" TargetMode="External"/><Relationship Id="rId1" Type="http://schemas.openxmlformats.org/officeDocument/2006/relationships/hyperlink" Target="http://undocs.org/en/CAT/C/POL/CO/7" TargetMode="External"/><Relationship Id="rId6" Type="http://schemas.openxmlformats.org/officeDocument/2006/relationships/hyperlink" Target="http://undocs.org/en/CRC/C/POL/CO/5-6" TargetMode="External"/><Relationship Id="rId11" Type="http://schemas.openxmlformats.org/officeDocument/2006/relationships/hyperlink" Target="http://undocs.org/en/CAT/C/POL/FCO/7" TargetMode="External"/><Relationship Id="rId5" Type="http://schemas.openxmlformats.org/officeDocument/2006/relationships/hyperlink" Target="http://undocs.org/en/CAT/C/POL/FCO/7" TargetMode="External"/><Relationship Id="rId10" Type="http://schemas.openxmlformats.org/officeDocument/2006/relationships/hyperlink" Target="http://undocs.org/en/CERD/C/POL/CO/22-24" TargetMode="External"/><Relationship Id="rId4" Type="http://schemas.openxmlformats.org/officeDocument/2006/relationships/hyperlink" Target="http://undocs.org/en/CAT/OP/POL/ROSP/1" TargetMode="External"/><Relationship Id="rId9" Type="http://schemas.openxmlformats.org/officeDocument/2006/relationships/hyperlink" Target="http://undocs.org/en/CRC/C/POL/CO/5-6" TargetMode="External"/><Relationship Id="rId14" Type="http://schemas.openxmlformats.org/officeDocument/2006/relationships/hyperlink" Target="http://undocs.org/en/CRC/C/POL/CO/5-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0DB0-F4D9-42A7-973C-D7EC18D7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7</TotalTime>
  <Pages>10</Pages>
  <Words>4905</Words>
  <Characters>29433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CAT/C/POL/QPR/8</vt:lpstr>
    </vt:vector>
  </TitlesOfParts>
  <Company>DCM</Company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CAT/C/POL/QPR/8</dc:title>
  <dc:subject>2208744</dc:subject>
  <dc:creator>Brigoli</dc:creator>
  <cp:keywords/>
  <dc:description/>
  <cp:lastModifiedBy>Kaczor Paweł  (DWMPC)</cp:lastModifiedBy>
  <cp:revision>3</cp:revision>
  <dcterms:created xsi:type="dcterms:W3CDTF">2023-04-18T07:46:00Z</dcterms:created>
  <dcterms:modified xsi:type="dcterms:W3CDTF">2023-04-19T10:29:00Z</dcterms:modified>
</cp:coreProperties>
</file>