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9D6" w:rsidRDefault="00DF59D6" w:rsidP="00DF59D6">
      <w:pPr>
        <w:pStyle w:val="Tekstpodstawowy"/>
        <w:spacing w:line="276" w:lineRule="auto"/>
        <w:rPr>
          <w:b/>
          <w:bCs/>
          <w:sz w:val="24"/>
        </w:rPr>
      </w:pPr>
      <w:bookmarkStart w:id="0" w:name="_GoBack"/>
      <w:bookmarkEnd w:id="0"/>
      <w:r>
        <w:rPr>
          <w:b/>
          <w:bCs/>
          <w:sz w:val="24"/>
        </w:rPr>
        <w:t xml:space="preserve">Fabryka Obrabiarek do Drewna Sp. z o.o. </w:t>
      </w:r>
    </w:p>
    <w:p w:rsidR="00DF59D6" w:rsidRDefault="00DF59D6" w:rsidP="00DF59D6">
      <w:pPr>
        <w:spacing w:line="276" w:lineRule="auto"/>
        <w:jc w:val="center"/>
        <w:rPr>
          <w:b/>
        </w:rPr>
      </w:pPr>
      <w:r>
        <w:rPr>
          <w:b/>
        </w:rPr>
        <w:t>ogłasza PRZETARG nieograniczony</w:t>
      </w:r>
    </w:p>
    <w:p w:rsidR="00DF59D6" w:rsidRDefault="00DF59D6" w:rsidP="00DF59D6">
      <w:pPr>
        <w:spacing w:line="276" w:lineRule="auto"/>
        <w:jc w:val="center"/>
        <w:rPr>
          <w:b/>
        </w:rPr>
      </w:pPr>
      <w:r>
        <w:rPr>
          <w:b/>
        </w:rPr>
        <w:t xml:space="preserve">na sprzedaż prawa wieczystego użytkowania nieruchomości </w:t>
      </w:r>
    </w:p>
    <w:p w:rsidR="00DF59D6" w:rsidRDefault="00DF59D6" w:rsidP="00DF59D6">
      <w:pPr>
        <w:spacing w:line="276" w:lineRule="auto"/>
        <w:jc w:val="center"/>
        <w:rPr>
          <w:b/>
        </w:rPr>
      </w:pPr>
      <w:r>
        <w:rPr>
          <w:b/>
        </w:rPr>
        <w:t>położonej w Bydgoszczy przy ul. Śluzowej</w:t>
      </w:r>
    </w:p>
    <w:p w:rsidR="00DF59D6" w:rsidRDefault="00DF59D6" w:rsidP="00DF59D6">
      <w:pPr>
        <w:rPr>
          <w:b/>
        </w:rPr>
      </w:pPr>
    </w:p>
    <w:p w:rsidR="00DF59D6" w:rsidRDefault="00DF59D6" w:rsidP="00DF59D6"/>
    <w:p w:rsidR="00DF59D6" w:rsidRDefault="00DF59D6" w:rsidP="00DF59D6">
      <w:pPr>
        <w:pStyle w:val="Akapitzlist"/>
        <w:numPr>
          <w:ilvl w:val="0"/>
          <w:numId w:val="1"/>
        </w:numPr>
        <w:spacing w:after="120"/>
        <w:ind w:left="284"/>
        <w:jc w:val="both"/>
        <w:rPr>
          <w:sz w:val="22"/>
          <w:szCs w:val="22"/>
        </w:rPr>
      </w:pPr>
      <w:r>
        <w:rPr>
          <w:sz w:val="22"/>
          <w:szCs w:val="22"/>
        </w:rPr>
        <w:t>Organizatorem przetargu i prowadzącym przetarg jest Fabryka Obrabiarek do Drewna Sp. z o.o.           z siedzibą w Trzeciewcu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DF59D6" w:rsidRDefault="00DF59D6" w:rsidP="00DF59D6">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Przedmiotem przetargu jest sprzedaż prawa użytkowania wieczystego </w:t>
      </w:r>
      <w:r>
        <w:rPr>
          <w:rFonts w:eastAsia="SimSun"/>
          <w:b/>
          <w:bCs/>
          <w:kern w:val="2"/>
          <w:sz w:val="22"/>
          <w:szCs w:val="22"/>
          <w:lang w:eastAsia="zh-CN" w:bidi="hi-IN"/>
        </w:rPr>
        <w:t xml:space="preserve">niezabudowanej nieruchomości gruntowej </w:t>
      </w:r>
      <w:r>
        <w:rPr>
          <w:rFonts w:eastAsia="SimSun"/>
          <w:kern w:val="2"/>
          <w:sz w:val="22"/>
          <w:szCs w:val="22"/>
          <w:lang w:eastAsia="zh-CN" w:bidi="hi-IN"/>
        </w:rPr>
        <w:t xml:space="preserve">położonej w Bydgoszczy przy ul. Śluzowej, stanowiącej działkę ewidencyjną oznaczoną nr 35 (obręb ewidencyjny 0058), o powierzchni 0,2774 ha, dla której Sąd Rejonowy w Bydgoszczy prowadzi księgę wieczystą KW BY1B/00004674/0. Prawo użytkowania wieczystego powyższej nieruchomości zwane jest dalej </w:t>
      </w:r>
      <w:r>
        <w:rPr>
          <w:rFonts w:eastAsia="SimSun"/>
          <w:b/>
          <w:bCs/>
          <w:kern w:val="2"/>
          <w:sz w:val="22"/>
          <w:szCs w:val="22"/>
          <w:lang w:eastAsia="zh-CN" w:bidi="hi-IN"/>
        </w:rPr>
        <w:t>Nieruchomością</w:t>
      </w:r>
      <w:r>
        <w:rPr>
          <w:rFonts w:eastAsia="SimSun"/>
          <w:kern w:val="2"/>
          <w:sz w:val="22"/>
          <w:szCs w:val="22"/>
          <w:lang w:eastAsia="zh-CN" w:bidi="hi-IN"/>
        </w:rPr>
        <w:t xml:space="preserve">.  </w:t>
      </w:r>
    </w:p>
    <w:p w:rsidR="00DF59D6" w:rsidRDefault="00DF59D6" w:rsidP="00DF59D6">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Przetarg odbędzie się w formie pisemnej. Oferenci zobowiązani są złożyć Organizatorowi </w:t>
      </w:r>
      <w:r>
        <w:rPr>
          <w:rFonts w:eastAsia="SimSun"/>
          <w:b/>
          <w:bCs/>
          <w:kern w:val="2"/>
          <w:sz w:val="22"/>
          <w:szCs w:val="22"/>
          <w:lang w:eastAsia="zh-CN" w:bidi="hi-IN"/>
        </w:rPr>
        <w:t>pisemne oferty</w:t>
      </w:r>
      <w:r>
        <w:rPr>
          <w:rFonts w:eastAsia="SimSun"/>
          <w:kern w:val="2"/>
          <w:sz w:val="22"/>
          <w:szCs w:val="22"/>
          <w:lang w:eastAsia="zh-CN" w:bidi="hi-IN"/>
        </w:rPr>
        <w:t xml:space="preserve"> w terminie </w:t>
      </w:r>
      <w:r>
        <w:rPr>
          <w:rFonts w:eastAsia="SimSun"/>
          <w:b/>
          <w:bCs/>
          <w:kern w:val="2"/>
          <w:sz w:val="22"/>
          <w:szCs w:val="22"/>
          <w:lang w:eastAsia="zh-CN" w:bidi="hi-IN"/>
        </w:rPr>
        <w:t>do dnia 12 sierpnia</w:t>
      </w:r>
      <w:r>
        <w:rPr>
          <w:rFonts w:eastAsia="SimSun"/>
          <w:b/>
          <w:kern w:val="2"/>
          <w:sz w:val="22"/>
          <w:szCs w:val="22"/>
          <w:lang w:eastAsia="zh-CN" w:bidi="hi-IN"/>
        </w:rPr>
        <w:t xml:space="preserve"> 2024</w:t>
      </w:r>
      <w:r>
        <w:rPr>
          <w:rFonts w:eastAsia="SimSun"/>
          <w:kern w:val="2"/>
          <w:sz w:val="22"/>
          <w:szCs w:val="22"/>
          <w:lang w:eastAsia="zh-CN" w:bidi="hi-IN"/>
        </w:rPr>
        <w:t xml:space="preserve"> r. do godz. 15:00. Dla zachowania tego terminu decyduje chwila faktycznego złożenia (doręczenia), a nie chwila nadania przesyłki. Ofertę należy złożyć w zamkniętej kopercie, opatrzonej opisem w brzmieniu: </w:t>
      </w:r>
      <w:r>
        <w:rPr>
          <w:rFonts w:eastAsia="SimSun"/>
          <w:i/>
          <w:iCs/>
          <w:kern w:val="2"/>
          <w:sz w:val="22"/>
          <w:szCs w:val="22"/>
          <w:lang w:eastAsia="zh-CN" w:bidi="hi-IN"/>
        </w:rPr>
        <w:t>„oferta w przetargu – Śluzowa”,</w:t>
      </w:r>
      <w:r>
        <w:rPr>
          <w:rFonts w:eastAsia="SimSun"/>
          <w:kern w:val="2"/>
          <w:sz w:val="22"/>
          <w:szCs w:val="22"/>
          <w:lang w:eastAsia="zh-CN" w:bidi="hi-IN"/>
        </w:rPr>
        <w:t xml:space="preserve"> </w:t>
      </w:r>
      <w:r>
        <w:rPr>
          <w:rFonts w:eastAsia="SimSun"/>
          <w:b/>
          <w:bCs/>
          <w:kern w:val="2"/>
          <w:sz w:val="22"/>
          <w:szCs w:val="22"/>
          <w:lang w:eastAsia="zh-CN" w:bidi="hi-IN"/>
        </w:rPr>
        <w:t>osobiście lub korespondencyjnie</w:t>
      </w:r>
      <w:r>
        <w:rPr>
          <w:rFonts w:eastAsia="SimSun"/>
          <w:kern w:val="2"/>
          <w:sz w:val="22"/>
          <w:szCs w:val="22"/>
          <w:lang w:eastAsia="zh-CN" w:bidi="hi-IN"/>
        </w:rPr>
        <w:t xml:space="preserve"> w biurze / na adres pełnomocnika Organizatora, to jest: </w:t>
      </w:r>
    </w:p>
    <w:p w:rsidR="00DF59D6" w:rsidRDefault="00DF59D6" w:rsidP="00DF59D6">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TEBI Kancelaria Radców Prawnych i Adwokatów – Bojarski, Marzec i Partnerzy, </w:t>
      </w:r>
    </w:p>
    <w:p w:rsidR="00DF59D6" w:rsidRDefault="00DF59D6" w:rsidP="00DF59D6">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ul. Poznańska 31, 85-129 Bydgoszcz. </w:t>
      </w:r>
    </w:p>
    <w:p w:rsidR="00DF59D6" w:rsidRDefault="00DF59D6" w:rsidP="00DF59D6">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Otwarcie ofert odbędzie się </w:t>
      </w:r>
      <w:r>
        <w:rPr>
          <w:rFonts w:eastAsia="SimSun"/>
          <w:b/>
          <w:bCs/>
          <w:kern w:val="2"/>
          <w:sz w:val="22"/>
          <w:szCs w:val="22"/>
          <w:lang w:eastAsia="zh-CN" w:bidi="hi-IN"/>
        </w:rPr>
        <w:t>w dniu 13 sierpnia 2024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 xml:space="preserve">w siedzibie pełnomocnika Organizatora przetargu wskazanej w pkt. 3 powyżej. Oferenci nie mają obowiązku uczestniczyć w otwarciu ofert. </w:t>
      </w:r>
    </w:p>
    <w:p w:rsidR="00DF59D6" w:rsidRDefault="00DF59D6" w:rsidP="00DF59D6">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wadium w wysokości </w:t>
      </w:r>
      <w:r>
        <w:rPr>
          <w:rFonts w:eastAsia="SimSun"/>
          <w:b/>
          <w:kern w:val="2"/>
          <w:sz w:val="22"/>
          <w:szCs w:val="22"/>
          <w:lang w:eastAsia="zh-CN" w:bidi="hi-IN"/>
        </w:rPr>
        <w:t>25 910</w:t>
      </w:r>
      <w:r>
        <w:rPr>
          <w:rFonts w:eastAsia="SimSun"/>
          <w:b/>
          <w:bCs/>
          <w:kern w:val="2"/>
          <w:sz w:val="22"/>
          <w:szCs w:val="22"/>
          <w:lang w:eastAsia="zh-CN" w:bidi="hi-IN"/>
        </w:rPr>
        <w:t>,00 zł</w:t>
      </w:r>
      <w:r>
        <w:rPr>
          <w:rFonts w:eastAsia="SimSun"/>
          <w:kern w:val="2"/>
          <w:sz w:val="22"/>
          <w:szCs w:val="22"/>
          <w:lang w:eastAsia="zh-CN" w:bidi="hi-IN"/>
        </w:rPr>
        <w:t>. Wadium należy wpłacić na rachunek Organizatora nr 33105011391000009031063937 (ING Bank Śląski S.A.) do dnia 12 sierpnia 2024 r.  przy czym za datę wpłaty wadium uważać się będzie datę wpływu środków pieniężnych na ww. rachunek. W tytule wpłaty należy podać: „</w:t>
      </w:r>
      <w:r>
        <w:rPr>
          <w:rFonts w:eastAsia="SimSun"/>
          <w:i/>
          <w:kern w:val="2"/>
          <w:sz w:val="22"/>
          <w:szCs w:val="22"/>
          <w:lang w:eastAsia="zh-CN" w:bidi="hi-IN"/>
        </w:rPr>
        <w:t>Wadium w przetargu – Śluzowa</w:t>
      </w:r>
      <w:r>
        <w:rPr>
          <w:rFonts w:eastAsia="SimSun"/>
          <w:kern w:val="2"/>
          <w:sz w:val="22"/>
          <w:szCs w:val="22"/>
          <w:lang w:eastAsia="zh-CN" w:bidi="hi-IN"/>
        </w:rPr>
        <w:t xml:space="preserve">”. </w:t>
      </w:r>
    </w:p>
    <w:p w:rsidR="00DF59D6" w:rsidRDefault="00DF59D6" w:rsidP="00DF59D6">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Pisemna oferta zakupu powinna zawierać: </w:t>
      </w:r>
    </w:p>
    <w:p w:rsidR="00DF59D6" w:rsidRDefault="00DF59D6" w:rsidP="00DF59D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imię i nazwisko lub firmę, adres lub siedzibę Oferenta,</w:t>
      </w:r>
    </w:p>
    <w:p w:rsidR="00DF59D6" w:rsidRDefault="00DF59D6" w:rsidP="00DF59D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dowód wniesienia wadium;</w:t>
      </w:r>
    </w:p>
    <w:p w:rsidR="00DF59D6" w:rsidRDefault="00DF59D6" w:rsidP="00DF59D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datę sporządzenia oferty;</w:t>
      </w:r>
    </w:p>
    <w:p w:rsidR="00DF59D6" w:rsidRDefault="00DF59D6" w:rsidP="00DF59D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Nieruchomości, której dotyczy oferta;</w:t>
      </w:r>
    </w:p>
    <w:p w:rsidR="00DF59D6" w:rsidRDefault="00DF59D6" w:rsidP="00DF59D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wskazanie oferowanej </w:t>
      </w:r>
      <w:r>
        <w:rPr>
          <w:rFonts w:eastAsia="SimSun"/>
          <w:b/>
          <w:bCs/>
          <w:color w:val="000000"/>
          <w:kern w:val="2"/>
          <w:sz w:val="22"/>
          <w:szCs w:val="22"/>
          <w:lang w:eastAsia="zh-CN" w:bidi="hi-IN"/>
        </w:rPr>
        <w:t>ceny netto</w:t>
      </w:r>
      <w:r>
        <w:rPr>
          <w:rFonts w:eastAsia="SimSun"/>
          <w:color w:val="000000"/>
          <w:kern w:val="2"/>
          <w:sz w:val="22"/>
          <w:szCs w:val="22"/>
          <w:lang w:eastAsia="zh-CN" w:bidi="hi-IN"/>
        </w:rPr>
        <w:t xml:space="preserve"> za Nieruchomość;</w:t>
      </w:r>
    </w:p>
    <w:p w:rsidR="00DF59D6" w:rsidRDefault="00DF59D6" w:rsidP="00DF59D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terminu związania ofertą (nie krótszego niż 30 dni licząc od dnia otwarcia ofert);</w:t>
      </w:r>
    </w:p>
    <w:p w:rsidR="00DF59D6" w:rsidRDefault="00DF59D6" w:rsidP="00DF59D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oświadczenie oferenta, że zapoznał się z warunkami przetargu – </w:t>
      </w:r>
      <w:r>
        <w:rPr>
          <w:rFonts w:eastAsia="SimSun"/>
          <w:b/>
          <w:bCs/>
          <w:color w:val="000000"/>
          <w:kern w:val="2"/>
          <w:sz w:val="22"/>
          <w:szCs w:val="22"/>
          <w:lang w:eastAsia="zh-CN" w:bidi="hi-IN"/>
        </w:rPr>
        <w:t>według wzoru stanowiącego załącznik nr 1</w:t>
      </w:r>
      <w:r>
        <w:rPr>
          <w:rFonts w:eastAsia="SimSun"/>
          <w:color w:val="000000"/>
          <w:kern w:val="2"/>
          <w:sz w:val="22"/>
          <w:szCs w:val="22"/>
          <w:lang w:eastAsia="zh-CN" w:bidi="hi-IN"/>
        </w:rPr>
        <w:t xml:space="preserve"> do warunków przetargu;</w:t>
      </w:r>
    </w:p>
    <w:p w:rsidR="00DF59D6" w:rsidRDefault="00DF59D6" w:rsidP="00DF59D6">
      <w:pPr>
        <w:pStyle w:val="Akapitzlist"/>
        <w:numPr>
          <w:ilvl w:val="0"/>
          <w:numId w:val="2"/>
        </w:numPr>
        <w:rPr>
          <w:rFonts w:eastAsia="SimSun"/>
          <w:color w:val="000000"/>
          <w:kern w:val="2"/>
          <w:sz w:val="22"/>
          <w:szCs w:val="22"/>
          <w:lang w:eastAsia="zh-CN" w:bidi="hi-IN"/>
        </w:rPr>
      </w:pPr>
      <w:r>
        <w:rPr>
          <w:rFonts w:eastAsia="SimSun"/>
          <w:color w:val="000000"/>
          <w:kern w:val="2"/>
          <w:sz w:val="22"/>
          <w:szCs w:val="22"/>
          <w:lang w:eastAsia="zh-CN" w:bidi="hi-IN"/>
        </w:rPr>
        <w:t>oświadczenie o wyrażeniu zgody na przetwarzanie danych osobowych w związku i na potrzeby przetargu oraz sprzedaży Nieruchomości;</w:t>
      </w:r>
    </w:p>
    <w:p w:rsidR="00DF59D6" w:rsidRDefault="00DF59D6" w:rsidP="00DF59D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podpis oferenta lub osoby upoważnionej do składania w imieniu Oferenta oświadczeń woli;</w:t>
      </w:r>
    </w:p>
    <w:p w:rsidR="00DF59D6" w:rsidRDefault="00DF59D6" w:rsidP="00DF59D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odpis z właściwego rejestru lub ewidencji oraz inne dokumenty potwierdzające umocowanie osoby podpisującej ofertę. </w:t>
      </w:r>
    </w:p>
    <w:p w:rsidR="00DF59D6" w:rsidRDefault="00DF59D6" w:rsidP="00DF59D6">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Złożone oferty wiążą Oferentów (nie mogą być odwołane) przez okres nie krótszy niż 30 dni, licząc od dnia otwarcia ofert. </w:t>
      </w:r>
    </w:p>
    <w:p w:rsidR="00DF59D6" w:rsidRDefault="00DF59D6" w:rsidP="00DF59D6">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razie ustalenia, że kilku oferentów zaoferowało tę samą, najwyższą cenę, zostaną oni poinformowani o terminie i miejscu kontynuacji przetargu z ich udziałem w formie licytacji ustnej. W przypadku obecności przy otwarciu ofert wszystkich tych oferentów przetarg może być kontynuowany w formie licytacji z udziałem oferentów, którzy zaoferowali najwyższą cenę, niezwłocznie po otwarciu ofert. </w:t>
      </w:r>
    </w:p>
    <w:p w:rsidR="00DF59D6" w:rsidRDefault="00DF59D6" w:rsidP="00DF59D6">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30 dni od dnia otwarcia ofert i wyboru najlepszej z nich Organizator zawiadamia zwycięzcę przetargu o terminie i miejscu zawarcia umowy sprzedaży Nieruchomości (w wymaganej formie aktu notarialnego) z zachowaniem 7 dniowego wyprzedzenia. Zważywszy na przysługujące gminie </w:t>
      </w:r>
      <w:r>
        <w:rPr>
          <w:rFonts w:eastAsia="SimSun"/>
          <w:color w:val="000000"/>
          <w:kern w:val="2"/>
          <w:sz w:val="22"/>
          <w:szCs w:val="22"/>
          <w:lang w:eastAsia="zh-CN" w:bidi="hi-IN"/>
        </w:rPr>
        <w:lastRenderedPageBreak/>
        <w:t xml:space="preserve">prawo pierwokupu, przeniesienie własności Nieruchomości nastąpi odrębną czynnością, dokonaną po i pod warunkiem nieskorzystania z prawa pierwokupu przez Miasto Bydgoszcz. </w:t>
      </w:r>
    </w:p>
    <w:p w:rsidR="00DF59D6" w:rsidRDefault="00DF59D6" w:rsidP="00DF59D6">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Cena wywoławcza (</w:t>
      </w:r>
      <w:r>
        <w:rPr>
          <w:rFonts w:eastAsia="SimSun"/>
          <w:b/>
          <w:bCs/>
          <w:kern w:val="2"/>
          <w:sz w:val="22"/>
          <w:szCs w:val="22"/>
          <w:lang w:eastAsia="zh-CN" w:bidi="hi-IN"/>
        </w:rPr>
        <w:t>minimalna</w:t>
      </w:r>
      <w:r>
        <w:rPr>
          <w:rFonts w:eastAsia="SimSun"/>
          <w:kern w:val="2"/>
          <w:sz w:val="22"/>
          <w:szCs w:val="22"/>
          <w:lang w:eastAsia="zh-CN" w:bidi="hi-IN"/>
        </w:rPr>
        <w:t xml:space="preserve">) Nieruchomości wynosi </w:t>
      </w:r>
      <w:r>
        <w:rPr>
          <w:rFonts w:eastAsia="SimSun"/>
          <w:b/>
          <w:kern w:val="2"/>
          <w:sz w:val="22"/>
          <w:szCs w:val="22"/>
          <w:lang w:eastAsia="zh-CN" w:bidi="hi-IN"/>
        </w:rPr>
        <w:t>518 200</w:t>
      </w:r>
      <w:r>
        <w:rPr>
          <w:rFonts w:eastAsia="SimSun"/>
          <w:b/>
          <w:bCs/>
          <w:kern w:val="2"/>
          <w:sz w:val="22"/>
          <w:szCs w:val="22"/>
          <w:lang w:eastAsia="zh-CN" w:bidi="hi-IN"/>
        </w:rPr>
        <w:t>,00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t>
      </w:r>
    </w:p>
    <w:p w:rsidR="00DF59D6" w:rsidRDefault="00DF59D6" w:rsidP="00DF59D6">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Wedle aktualnego stanu rzeczy sprzedaż Nieruchomości podlega </w:t>
      </w:r>
      <w:r>
        <w:rPr>
          <w:rFonts w:eastAsia="SimSun"/>
          <w:b/>
          <w:bCs/>
          <w:kern w:val="2"/>
          <w:sz w:val="22"/>
          <w:szCs w:val="22"/>
          <w:lang w:eastAsia="zh-CN" w:bidi="hi-IN"/>
        </w:rPr>
        <w:t>zwolnieniu spod opodatkowania podatkiem VAT</w:t>
      </w:r>
      <w:r>
        <w:rPr>
          <w:rFonts w:eastAsia="SimSun"/>
          <w:kern w:val="2"/>
          <w:sz w:val="22"/>
          <w:szCs w:val="22"/>
          <w:lang w:eastAsia="zh-CN" w:bidi="hi-IN"/>
        </w:rPr>
        <w:t xml:space="preserve">. W przypadku, gdyby na dzień dokonywania sprzedaży (dostawy) Nieruchomości będzie ona w całości lub części objęta opodatkowaniem podatkiem VAT, cena zostanie odpowiednio powiększona o podatek od towarów i usług w obowiązującej wysokości. </w:t>
      </w:r>
    </w:p>
    <w:p w:rsidR="00DF59D6" w:rsidRDefault="00DF59D6" w:rsidP="00DF59D6">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DF59D6" w:rsidRDefault="00DF59D6" w:rsidP="00DF59D6">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 stosunku do Nieruchomości nie wydano także decyzji o warunkach zabudowy. Sąsiedztwo Nieruchomości stanowi zabudowa mieszkaniowa oraz linia kolejowa. </w:t>
      </w:r>
    </w:p>
    <w:p w:rsidR="00DF59D6" w:rsidRDefault="00DF59D6" w:rsidP="00DF59D6">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w tym poprzez wgląd do operatu szacunkowego, może nastąpić w terminie uzgodnionym z Organizatorem przetargu, najpóźniej 3 dni przez terminem otwarcia ofert. W tej sprawie, jak i innych kwestiach związanych z przetargiem i Nieruchomością, zainteresowani mogą także kontaktować się z pracownikami Organizatora:</w:t>
      </w:r>
    </w:p>
    <w:p w:rsidR="00DF59D6" w:rsidRDefault="00DF59D6" w:rsidP="00DF59D6">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DF59D6" w:rsidRDefault="00DF59D6" w:rsidP="00DF59D6">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 87 00 lub 519 866 649.</w:t>
      </w:r>
    </w:p>
    <w:p w:rsidR="00DF59D6" w:rsidRDefault="00DF59D6" w:rsidP="00DF59D6">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DF59D6" w:rsidRDefault="00DF59D6" w:rsidP="00DF59D6">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DF59D6" w:rsidRDefault="00DF59D6" w:rsidP="00DF59D6">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Śluzowej w Bydgoszczy</w:t>
      </w:r>
      <w:r>
        <w:rPr>
          <w:rFonts w:eastAsia="Bookman Old Style"/>
          <w:bCs/>
          <w:kern w:val="2"/>
          <w:sz w:val="22"/>
          <w:szCs w:val="22"/>
          <w:lang w:eastAsia="zh-CN" w:bidi="hi-IN"/>
        </w:rPr>
        <w:t xml:space="preserve">” publikowane na stronie internetowej Organizatora. </w:t>
      </w:r>
    </w:p>
    <w:p w:rsidR="00DF59D6" w:rsidRDefault="00DF59D6" w:rsidP="00DF59D6">
      <w:pPr>
        <w:pStyle w:val="Akapitzlist"/>
        <w:suppressAutoHyphens/>
        <w:spacing w:after="120"/>
        <w:ind w:left="284"/>
        <w:jc w:val="both"/>
        <w:rPr>
          <w:rFonts w:eastAsia="SimSun"/>
          <w:kern w:val="2"/>
          <w:sz w:val="22"/>
          <w:szCs w:val="22"/>
          <w:lang w:eastAsia="zh-CN" w:bidi="hi-IN"/>
        </w:rPr>
      </w:pPr>
    </w:p>
    <w:p w:rsidR="00DF59D6" w:rsidRDefault="00DF59D6" w:rsidP="00DF59D6">
      <w:pPr>
        <w:pStyle w:val="Akapitzlist"/>
        <w:suppressAutoHyphens/>
        <w:spacing w:after="120"/>
        <w:ind w:left="284"/>
        <w:jc w:val="both"/>
        <w:rPr>
          <w:rFonts w:eastAsia="SimSun"/>
          <w:kern w:val="2"/>
          <w:sz w:val="22"/>
          <w:szCs w:val="22"/>
          <w:lang w:eastAsia="zh-CN" w:bidi="hi-IN"/>
        </w:rPr>
      </w:pPr>
    </w:p>
    <w:p w:rsidR="00DF59D6" w:rsidRDefault="00DF59D6" w:rsidP="00DF59D6">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Ogłoszono dnia 25 lipca 2024 r. </w:t>
      </w:r>
    </w:p>
    <w:p w:rsidR="00DF59D6" w:rsidRDefault="00DF59D6" w:rsidP="00DF59D6"/>
    <w:p w:rsidR="00DF59D6" w:rsidRDefault="00DF59D6" w:rsidP="00DF59D6"/>
    <w:p w:rsidR="00DF59D6" w:rsidRDefault="00DF59D6" w:rsidP="00DF59D6"/>
    <w:p w:rsidR="00DF59D6" w:rsidRDefault="00DF59D6" w:rsidP="00DF59D6"/>
    <w:p w:rsidR="00DF59D6" w:rsidRDefault="00DF59D6" w:rsidP="00DF59D6"/>
    <w:p w:rsidR="00DF59D6" w:rsidRDefault="00DF59D6" w:rsidP="00DF59D6"/>
    <w:p w:rsidR="00DF59D6" w:rsidRDefault="00DF59D6" w:rsidP="00DF59D6"/>
    <w:p w:rsidR="00DF59D6" w:rsidRDefault="00DF59D6" w:rsidP="00DF59D6"/>
    <w:p w:rsidR="00DF59D6" w:rsidRDefault="00DF59D6" w:rsidP="00DF59D6">
      <w:pPr>
        <w:spacing w:after="160" w:line="252" w:lineRule="auto"/>
      </w:pPr>
      <w:r>
        <w:br w:type="page"/>
      </w:r>
    </w:p>
    <w:p w:rsidR="00DF59D6" w:rsidRDefault="00DF59D6" w:rsidP="00DF59D6">
      <w:pPr>
        <w:jc w:val="center"/>
      </w:pPr>
      <w:r>
        <w:lastRenderedPageBreak/>
        <w:t>***</w:t>
      </w:r>
    </w:p>
    <w:p w:rsidR="00DF59D6" w:rsidRDefault="00DF59D6" w:rsidP="00DF59D6"/>
    <w:p w:rsidR="00DF59D6" w:rsidRDefault="00DF59D6" w:rsidP="00DF59D6">
      <w:pPr>
        <w:suppressAutoHyphens/>
        <w:jc w:val="center"/>
        <w:rPr>
          <w:rFonts w:eastAsia="SimSun"/>
          <w:b/>
          <w:kern w:val="2"/>
          <w:lang w:eastAsia="zh-CN" w:bidi="hi-IN"/>
        </w:rPr>
      </w:pPr>
      <w:r>
        <w:rPr>
          <w:rFonts w:eastAsia="SimSun"/>
          <w:b/>
          <w:kern w:val="2"/>
          <w:lang w:eastAsia="zh-CN" w:bidi="hi-IN"/>
        </w:rPr>
        <w:t xml:space="preserve">Warunki przetargu ustnego nieograniczonego </w:t>
      </w:r>
    </w:p>
    <w:p w:rsidR="00DF59D6" w:rsidRDefault="00DF59D6" w:rsidP="00DF59D6">
      <w:pPr>
        <w:suppressAutoHyphens/>
        <w:jc w:val="center"/>
        <w:rPr>
          <w:rFonts w:eastAsia="SimSun"/>
          <w:b/>
          <w:kern w:val="2"/>
          <w:lang w:eastAsia="zh-CN" w:bidi="hi-IN"/>
        </w:rPr>
      </w:pPr>
      <w:r>
        <w:rPr>
          <w:rFonts w:eastAsia="SimSun"/>
          <w:b/>
          <w:kern w:val="2"/>
          <w:lang w:eastAsia="zh-CN" w:bidi="hi-IN"/>
        </w:rPr>
        <w:t>na sprzedaż nieruchomości przy ul. Śluzowej w Bydgoszczy</w:t>
      </w:r>
    </w:p>
    <w:p w:rsidR="00DF59D6" w:rsidRDefault="00DF59D6" w:rsidP="00DF59D6">
      <w:pPr>
        <w:suppressAutoHyphens/>
        <w:jc w:val="center"/>
        <w:rPr>
          <w:rFonts w:eastAsia="SimSun"/>
          <w:b/>
          <w:kern w:val="2"/>
          <w:lang w:eastAsia="zh-CN" w:bidi="hi-IN"/>
        </w:rPr>
      </w:pPr>
    </w:p>
    <w:p w:rsidR="00DF59D6" w:rsidRDefault="00DF59D6" w:rsidP="00DF59D6">
      <w:pPr>
        <w:jc w:val="both"/>
        <w:rPr>
          <w:rFonts w:eastAsia="SimSun"/>
          <w:b/>
          <w:kern w:val="2"/>
          <w:sz w:val="22"/>
          <w:szCs w:val="22"/>
          <w:lang w:eastAsia="zh-CN" w:bidi="hi-IN"/>
        </w:rPr>
      </w:pPr>
    </w:p>
    <w:p w:rsidR="00DF59D6" w:rsidRDefault="00DF59D6" w:rsidP="00DF59D6">
      <w:pPr>
        <w:pStyle w:val="Akapitzlist"/>
        <w:numPr>
          <w:ilvl w:val="0"/>
          <w:numId w:val="3"/>
        </w:numPr>
        <w:ind w:left="284"/>
        <w:jc w:val="both"/>
        <w:rPr>
          <w:sz w:val="22"/>
          <w:szCs w:val="22"/>
        </w:rPr>
      </w:pPr>
      <w:r>
        <w:rPr>
          <w:sz w:val="22"/>
          <w:szCs w:val="22"/>
        </w:rPr>
        <w:t xml:space="preserve">Niniejszy dokument (Warunki) określa dalsze warunki przetargu prowadzonego przez Fabrykę Obrabiarek do Drewna Sp. z o.o. (Organizator), którego dotyczy Ogłoszenia przetargowego ogłoszone i opublikowane na stronie internetowej Organizatora dnia 25 lipca 2024 r. Rozumienie        i definicje pojęć wynikające z ww. Ogłoszenia, zachowują swą aktualność dla wykładni niniejszych Warunków. </w:t>
      </w:r>
    </w:p>
    <w:p w:rsidR="00DF59D6" w:rsidRDefault="00DF59D6" w:rsidP="00DF59D6">
      <w:pPr>
        <w:pStyle w:val="Akapitzlist"/>
        <w:numPr>
          <w:ilvl w:val="0"/>
          <w:numId w:val="3"/>
        </w:numPr>
        <w:ind w:left="284"/>
        <w:jc w:val="both"/>
        <w:rPr>
          <w:sz w:val="22"/>
          <w:szCs w:val="22"/>
        </w:rPr>
      </w:pPr>
      <w:r>
        <w:rPr>
          <w:sz w:val="22"/>
          <w:szCs w:val="22"/>
        </w:rPr>
        <w:t>W przetargu mogą wziąć udział osoby, które wpłacą wadium w wyznaczonym terminie oraz przedłożą wraz z ofertą:</w:t>
      </w:r>
    </w:p>
    <w:p w:rsidR="00DF59D6" w:rsidRDefault="00DF59D6" w:rsidP="00DF59D6">
      <w:pPr>
        <w:pStyle w:val="Akapitzlist"/>
        <w:numPr>
          <w:ilvl w:val="1"/>
          <w:numId w:val="4"/>
        </w:numPr>
        <w:ind w:left="709"/>
        <w:jc w:val="both"/>
        <w:rPr>
          <w:sz w:val="22"/>
          <w:szCs w:val="22"/>
        </w:rPr>
      </w:pPr>
      <w:r>
        <w:rPr>
          <w:sz w:val="22"/>
          <w:szCs w:val="22"/>
        </w:rPr>
        <w:t xml:space="preserve">dowód wniesienia wadium, </w:t>
      </w:r>
    </w:p>
    <w:p w:rsidR="00DF59D6" w:rsidRDefault="00DF59D6" w:rsidP="00DF59D6">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DF59D6" w:rsidRDefault="00DF59D6" w:rsidP="00DF59D6">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DF59D6" w:rsidRDefault="00DF59D6" w:rsidP="00DF59D6">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DF59D6" w:rsidRDefault="00DF59D6" w:rsidP="00DF59D6">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DF59D6" w:rsidRDefault="00DF59D6" w:rsidP="00DF59D6">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DF59D6" w:rsidRDefault="00DF59D6" w:rsidP="00DF59D6">
      <w:pPr>
        <w:pStyle w:val="Akapitzlist"/>
        <w:numPr>
          <w:ilvl w:val="1"/>
          <w:numId w:val="4"/>
        </w:numPr>
        <w:ind w:left="709"/>
        <w:jc w:val="both"/>
        <w:rPr>
          <w:sz w:val="22"/>
          <w:szCs w:val="22"/>
        </w:rPr>
      </w:pPr>
      <w:r>
        <w:rPr>
          <w:sz w:val="22"/>
          <w:szCs w:val="22"/>
        </w:rPr>
        <w:t>oświadczenie o wyrażeniu zgody na przetwarzanie danych osobowych w związku i na potrzeby przetargu oraz sprzedaży Nieruchomości.</w:t>
      </w:r>
    </w:p>
    <w:p w:rsidR="00DF59D6" w:rsidRDefault="00DF59D6" w:rsidP="00DF59D6">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DF59D6" w:rsidRDefault="00DF59D6" w:rsidP="00DF59D6">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otwarcia ofert. W przypadku bezskutecznego upływu tego terminu uznaje się, że zwycięzca przetargu uchyla się od nabycia nieruchomości, a wpłacone przez niego wadium nie podlega zwrotowi.</w:t>
      </w:r>
    </w:p>
    <w:p w:rsidR="00DF59D6" w:rsidRDefault="00DF59D6" w:rsidP="00DF59D6">
      <w:pPr>
        <w:pStyle w:val="Akapitzlist"/>
        <w:numPr>
          <w:ilvl w:val="0"/>
          <w:numId w:val="3"/>
        </w:numPr>
        <w:ind w:left="284"/>
        <w:jc w:val="both"/>
        <w:rPr>
          <w:sz w:val="22"/>
          <w:szCs w:val="22"/>
        </w:rPr>
      </w:pPr>
      <w:r>
        <w:rPr>
          <w:sz w:val="22"/>
          <w:szCs w:val="22"/>
        </w:rPr>
        <w:t>Wadium złożone przez oferentów, których oferty nie zostaną przyjęte, zostanie zwrócone (bez oprocentowania) w terminie 3 dni od zakończenia licytacji, na rachunek bankowy wskazany przez oferenta. Wadium złożone przez nabywcę zostanie zarachowane na poczet ceny. Zarachowanie to następować będzie w chwili zawarcia w formie aktu notarialnego umowy przenoszącej prawa do Nieruchomości. Wadium przepada na rzecz Organizatora, jeżeli oferent, którego oferta zostanie przyjęta, uchyli się od zawarcia umowy.</w:t>
      </w:r>
    </w:p>
    <w:p w:rsidR="00DF59D6" w:rsidRDefault="00DF59D6" w:rsidP="00DF59D6">
      <w:pPr>
        <w:pStyle w:val="Akapitzlist"/>
        <w:numPr>
          <w:ilvl w:val="0"/>
          <w:numId w:val="3"/>
        </w:numPr>
        <w:ind w:left="284"/>
        <w:jc w:val="both"/>
        <w:rPr>
          <w:sz w:val="22"/>
          <w:szCs w:val="22"/>
        </w:rPr>
      </w:pPr>
      <w:r>
        <w:rPr>
          <w:sz w:val="22"/>
          <w:szCs w:val="22"/>
        </w:rPr>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DF59D6" w:rsidRDefault="00DF59D6" w:rsidP="00DF59D6">
      <w:pPr>
        <w:pStyle w:val="Akapitzlist"/>
        <w:numPr>
          <w:ilvl w:val="0"/>
          <w:numId w:val="3"/>
        </w:numPr>
        <w:ind w:left="284"/>
        <w:jc w:val="both"/>
        <w:rPr>
          <w:sz w:val="22"/>
          <w:szCs w:val="22"/>
        </w:rPr>
      </w:pPr>
      <w:r>
        <w:rPr>
          <w:sz w:val="22"/>
          <w:szCs w:val="22"/>
        </w:rPr>
        <w:t>W dniu otwarcia ofert komisja przetargowa sprawdzi:</w:t>
      </w:r>
    </w:p>
    <w:p w:rsidR="00DF59D6" w:rsidRDefault="00DF59D6" w:rsidP="00DF59D6">
      <w:pPr>
        <w:pStyle w:val="Akapitzlist"/>
        <w:numPr>
          <w:ilvl w:val="1"/>
          <w:numId w:val="5"/>
        </w:numPr>
        <w:ind w:left="567"/>
        <w:jc w:val="both"/>
        <w:rPr>
          <w:sz w:val="22"/>
          <w:szCs w:val="22"/>
        </w:rPr>
      </w:pPr>
      <w:r>
        <w:rPr>
          <w:sz w:val="22"/>
          <w:szCs w:val="22"/>
        </w:rPr>
        <w:t>dowód wniesienia wadium,</w:t>
      </w:r>
    </w:p>
    <w:p w:rsidR="00DF59D6" w:rsidRDefault="00DF59D6" w:rsidP="00DF59D6">
      <w:pPr>
        <w:pStyle w:val="Akapitzlist"/>
        <w:numPr>
          <w:ilvl w:val="1"/>
          <w:numId w:val="5"/>
        </w:numPr>
        <w:ind w:left="567"/>
        <w:jc w:val="both"/>
        <w:rPr>
          <w:sz w:val="22"/>
          <w:szCs w:val="22"/>
        </w:rPr>
      </w:pPr>
      <w:r>
        <w:rPr>
          <w:sz w:val="22"/>
          <w:szCs w:val="22"/>
        </w:rPr>
        <w:t xml:space="preserve">zgodność oferty z Ogłoszenie i Warunkami przetargu. </w:t>
      </w:r>
    </w:p>
    <w:p w:rsidR="00DF59D6" w:rsidRDefault="00DF59D6" w:rsidP="00DF59D6">
      <w:pPr>
        <w:pStyle w:val="Akapitzlist"/>
        <w:numPr>
          <w:ilvl w:val="0"/>
          <w:numId w:val="3"/>
        </w:numPr>
        <w:ind w:left="284"/>
        <w:jc w:val="both"/>
        <w:rPr>
          <w:sz w:val="22"/>
          <w:szCs w:val="22"/>
        </w:rPr>
      </w:pPr>
      <w:r>
        <w:rPr>
          <w:sz w:val="22"/>
          <w:szCs w:val="22"/>
        </w:rPr>
        <w:t xml:space="preserve">Przetarg jest ważny bez względu na liczbę uczestników, jeżeli złożono przynajmniej jedną ważną ofertę. </w:t>
      </w:r>
    </w:p>
    <w:p w:rsidR="00DF59D6" w:rsidRDefault="00DF59D6" w:rsidP="00DF59D6">
      <w:pPr>
        <w:pStyle w:val="Akapitzlist"/>
        <w:numPr>
          <w:ilvl w:val="0"/>
          <w:numId w:val="3"/>
        </w:numPr>
        <w:ind w:left="284"/>
        <w:jc w:val="both"/>
        <w:rPr>
          <w:sz w:val="22"/>
          <w:szCs w:val="22"/>
        </w:rPr>
      </w:pPr>
      <w:r>
        <w:rPr>
          <w:sz w:val="22"/>
          <w:szCs w:val="22"/>
        </w:rPr>
        <w:t>Przetarg wygrywa oferent (uczestnik), który zaoferował najwyższą cenę.</w:t>
      </w:r>
    </w:p>
    <w:p w:rsidR="00DF59D6" w:rsidRDefault="00DF59D6" w:rsidP="00DF59D6">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(minimalnej) oraz w sytuacji, gdy nikt do przetargu nie przystąpił.</w:t>
      </w:r>
    </w:p>
    <w:p w:rsidR="00DF59D6" w:rsidRDefault="00DF59D6" w:rsidP="00DF59D6">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DF59D6" w:rsidRDefault="00DF59D6" w:rsidP="00DF59D6">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DF59D6" w:rsidRDefault="00DF59D6" w:rsidP="00DF59D6">
      <w:pPr>
        <w:pStyle w:val="Akapitzlist"/>
        <w:numPr>
          <w:ilvl w:val="0"/>
          <w:numId w:val="3"/>
        </w:numPr>
        <w:ind w:left="284"/>
        <w:jc w:val="both"/>
        <w:rPr>
          <w:sz w:val="22"/>
          <w:szCs w:val="22"/>
        </w:rPr>
      </w:pPr>
      <w:r>
        <w:rPr>
          <w:sz w:val="22"/>
          <w:szCs w:val="22"/>
        </w:rPr>
        <w:t>Przeprowadzenie przetargu i jej wynik wymaga każdorazowo udokumentowania stosownym protokołem. W protokole należy w szczególności zamieścić następujące informacje:</w:t>
      </w:r>
    </w:p>
    <w:p w:rsidR="00DF59D6" w:rsidRDefault="00DF59D6" w:rsidP="00DF59D6">
      <w:pPr>
        <w:pStyle w:val="Akapitzlist"/>
        <w:numPr>
          <w:ilvl w:val="1"/>
          <w:numId w:val="6"/>
        </w:numPr>
        <w:ind w:left="709"/>
        <w:jc w:val="both"/>
        <w:rPr>
          <w:sz w:val="22"/>
          <w:szCs w:val="22"/>
        </w:rPr>
      </w:pPr>
      <w:r>
        <w:rPr>
          <w:sz w:val="22"/>
          <w:szCs w:val="22"/>
        </w:rPr>
        <w:t>przedmiot przetargu i cenę wywoławczą (minimalną),</w:t>
      </w:r>
    </w:p>
    <w:p w:rsidR="00DF59D6" w:rsidRDefault="00DF59D6" w:rsidP="00DF59D6">
      <w:pPr>
        <w:pStyle w:val="Akapitzlist"/>
        <w:numPr>
          <w:ilvl w:val="1"/>
          <w:numId w:val="6"/>
        </w:numPr>
        <w:ind w:left="709"/>
        <w:jc w:val="both"/>
        <w:rPr>
          <w:sz w:val="22"/>
          <w:szCs w:val="22"/>
        </w:rPr>
      </w:pPr>
      <w:r>
        <w:rPr>
          <w:sz w:val="22"/>
          <w:szCs w:val="22"/>
        </w:rPr>
        <w:t>listę uczestników licytacji z informacją o wniesionych wadiach,</w:t>
      </w:r>
    </w:p>
    <w:p w:rsidR="00DF59D6" w:rsidRDefault="00DF59D6" w:rsidP="00DF59D6">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DF59D6" w:rsidRDefault="00DF59D6" w:rsidP="00DF59D6">
      <w:pPr>
        <w:pStyle w:val="Akapitzlist"/>
        <w:numPr>
          <w:ilvl w:val="1"/>
          <w:numId w:val="6"/>
        </w:numPr>
        <w:ind w:left="709"/>
        <w:jc w:val="both"/>
        <w:rPr>
          <w:sz w:val="22"/>
          <w:szCs w:val="22"/>
        </w:rPr>
      </w:pPr>
      <w:r>
        <w:rPr>
          <w:sz w:val="22"/>
          <w:szCs w:val="22"/>
        </w:rPr>
        <w:t>najwyższą uzyskaną cenę (zaoferowaną przez zwycięzcę),</w:t>
      </w:r>
    </w:p>
    <w:p w:rsidR="00DF59D6" w:rsidRDefault="00DF59D6" w:rsidP="00DF59D6">
      <w:pPr>
        <w:pStyle w:val="Akapitzlist"/>
        <w:numPr>
          <w:ilvl w:val="1"/>
          <w:numId w:val="6"/>
        </w:numPr>
        <w:ind w:left="709"/>
        <w:jc w:val="both"/>
        <w:rPr>
          <w:sz w:val="22"/>
          <w:szCs w:val="22"/>
        </w:rPr>
      </w:pPr>
      <w:r>
        <w:rPr>
          <w:sz w:val="22"/>
          <w:szCs w:val="22"/>
        </w:rPr>
        <w:t>oznaczenie sumy, jaką nabywca uiścił na poczet ceny,</w:t>
      </w:r>
    </w:p>
    <w:p w:rsidR="00DF59D6" w:rsidRDefault="00DF59D6" w:rsidP="00DF59D6">
      <w:pPr>
        <w:pStyle w:val="Akapitzlist"/>
        <w:numPr>
          <w:ilvl w:val="1"/>
          <w:numId w:val="6"/>
        </w:numPr>
        <w:ind w:left="709"/>
        <w:jc w:val="both"/>
        <w:rPr>
          <w:sz w:val="22"/>
          <w:szCs w:val="22"/>
        </w:rPr>
      </w:pPr>
      <w:r>
        <w:rPr>
          <w:sz w:val="22"/>
          <w:szCs w:val="22"/>
        </w:rPr>
        <w:t>podpis członków komisji.</w:t>
      </w:r>
    </w:p>
    <w:p w:rsidR="00DF59D6" w:rsidRDefault="00DF59D6" w:rsidP="00DF59D6">
      <w:pPr>
        <w:pStyle w:val="Akapitzlist"/>
        <w:numPr>
          <w:ilvl w:val="0"/>
          <w:numId w:val="3"/>
        </w:numPr>
        <w:ind w:left="284"/>
        <w:jc w:val="both"/>
        <w:rPr>
          <w:sz w:val="22"/>
          <w:szCs w:val="22"/>
        </w:rPr>
      </w:pPr>
      <w:r>
        <w:rPr>
          <w:sz w:val="22"/>
          <w:szCs w:val="22"/>
        </w:rPr>
        <w:t>Zwycięzca przetargu zostanie zawiadomiony o miejscu i terminie zawarcia umowy sprzedaży najpóźniej w ciągu 30 dni od dnia rozstrzygnięcia przetargu. Brak zapłaty ceny (odpowiednio zadatku) lub niestawienie się zwycięzcy przetargu w czasie i miejscu wyznaczonym przez Organizatora (z przynajmniej 7 dniowym wyprzedzeniem) na podpisanie aktu notarialnego (umowy sprzedaży lub przeniesienia Nieruchomości) będzie równoznaczne z uchyleniem się od zawarcia umowy i przepadkiem wadium na rzecz Organizatora. W takim przypadku wygasa także zobowiązanie Organizatora do dokonania sprzedaży na rzecz zwycięzcy przetargu.</w:t>
      </w:r>
    </w:p>
    <w:p w:rsidR="00DF59D6" w:rsidRDefault="00DF59D6" w:rsidP="00DF59D6">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DF59D6" w:rsidRDefault="00DF59D6" w:rsidP="00DF59D6">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DF59D6" w:rsidRDefault="00DF59D6" w:rsidP="00DF59D6">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w:t>
      </w:r>
    </w:p>
    <w:p w:rsidR="00DF59D6" w:rsidRDefault="00DF59D6" w:rsidP="00DF59D6">
      <w:pPr>
        <w:pStyle w:val="Akapitzlist"/>
        <w:numPr>
          <w:ilvl w:val="0"/>
          <w:numId w:val="3"/>
        </w:numPr>
        <w:ind w:left="284"/>
        <w:jc w:val="both"/>
        <w:rPr>
          <w:sz w:val="22"/>
          <w:szCs w:val="22"/>
        </w:rPr>
      </w:pPr>
      <w:r>
        <w:rPr>
          <w:sz w:val="22"/>
          <w:szCs w:val="22"/>
        </w:rPr>
        <w:t>Wedle aktualnego stanu rzeczy sprzedaż Nieruchomości w całości korzysta ze zwolnienia z opodatkowania podatkiem VAT na podstawie art. 43 ust. 1 pkt. 9 ustawy o VAT.</w:t>
      </w:r>
    </w:p>
    <w:p w:rsidR="00DF59D6" w:rsidRDefault="00DF59D6" w:rsidP="00DF59D6">
      <w:pPr>
        <w:jc w:val="both"/>
        <w:rPr>
          <w:sz w:val="22"/>
          <w:szCs w:val="22"/>
        </w:rPr>
      </w:pPr>
    </w:p>
    <w:p w:rsidR="00DF59D6" w:rsidRDefault="00DF59D6" w:rsidP="00DF59D6">
      <w:pPr>
        <w:jc w:val="both"/>
        <w:rPr>
          <w:sz w:val="22"/>
          <w:szCs w:val="22"/>
        </w:rPr>
      </w:pPr>
      <w:r>
        <w:rPr>
          <w:sz w:val="22"/>
          <w:szCs w:val="22"/>
        </w:rPr>
        <w:t xml:space="preserve">Ogłoszono dnia 25 lipca 2024 r. </w:t>
      </w:r>
    </w:p>
    <w:p w:rsidR="00DF59D6" w:rsidRDefault="00DF59D6" w:rsidP="00DF59D6"/>
    <w:p w:rsidR="00DF59D6" w:rsidRDefault="00DF59D6" w:rsidP="00DF59D6"/>
    <w:p w:rsidR="00DF59D6" w:rsidRDefault="00DF59D6" w:rsidP="00DF59D6"/>
    <w:p w:rsidR="00DF59D6" w:rsidRDefault="00DF59D6" w:rsidP="00DF59D6"/>
    <w:p w:rsidR="00DF59D6" w:rsidRDefault="00DF59D6" w:rsidP="00DF59D6"/>
    <w:p w:rsidR="00DF59D6" w:rsidRDefault="00DF59D6" w:rsidP="00DF59D6"/>
    <w:p w:rsidR="00DF59D6" w:rsidRDefault="00DF59D6" w:rsidP="00DF59D6"/>
    <w:sectPr w:rsidR="00DF5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04610"/>
    <w:multiLevelType w:val="hybridMultilevel"/>
    <w:tmpl w:val="6B3C3398"/>
    <w:lvl w:ilvl="0" w:tplc="AFE2FB00">
      <w:start w:val="1"/>
      <w:numFmt w:val="decimal"/>
      <w:lvlText w:val="%1)"/>
      <w:lvlJc w:val="left"/>
      <w:pPr>
        <w:ind w:left="644" w:hanging="360"/>
      </w:pPr>
      <w:rPr>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D6"/>
    <w:rsid w:val="00065641"/>
    <w:rsid w:val="009B67EA"/>
    <w:rsid w:val="00AF63A4"/>
    <w:rsid w:val="00DF5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090C0-A418-4421-9B04-9C9C23F5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59D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DF59D6"/>
    <w:pPr>
      <w:jc w:val="center"/>
    </w:pPr>
    <w:rPr>
      <w:sz w:val="20"/>
    </w:rPr>
  </w:style>
  <w:style w:type="character" w:customStyle="1" w:styleId="TekstpodstawowyZnak">
    <w:name w:val="Tekst podstawowy Znak"/>
    <w:basedOn w:val="Domylnaczcionkaakapitu"/>
    <w:link w:val="Tekstpodstawowy"/>
    <w:semiHidden/>
    <w:rsid w:val="00DF59D6"/>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DF5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1859</Words>
  <Characters>11156</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Meinert</dc:creator>
  <cp:keywords/>
  <dc:description/>
  <cp:lastModifiedBy>Blaszczak Anna</cp:lastModifiedBy>
  <cp:revision>2</cp:revision>
  <dcterms:created xsi:type="dcterms:W3CDTF">2024-07-25T07:51:00Z</dcterms:created>
  <dcterms:modified xsi:type="dcterms:W3CDTF">2024-07-25T07:51:00Z</dcterms:modified>
</cp:coreProperties>
</file>