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pPr w:leftFromText="141" w:rightFromText="141" w:tblpY="510"/>
        <w:tblW w:w="13745" w:type="dxa"/>
        <w:tblLook w:val="04A0" w:firstRow="1" w:lastRow="0" w:firstColumn="1" w:lastColumn="0" w:noHBand="0" w:noVBand="1"/>
      </w:tblPr>
      <w:tblGrid>
        <w:gridCol w:w="1408"/>
        <w:gridCol w:w="2126"/>
        <w:gridCol w:w="5245"/>
        <w:gridCol w:w="4966"/>
      </w:tblGrid>
      <w:tr w:rsidR="008261C7" w14:paraId="042912C3" w14:textId="77777777" w:rsidTr="008261C7">
        <w:tc>
          <w:tcPr>
            <w:tcW w:w="1408" w:type="dxa"/>
          </w:tcPr>
          <w:p w14:paraId="639B79C9" w14:textId="77777777" w:rsidR="008261C7" w:rsidRPr="004B6EC8" w:rsidRDefault="008261C7" w:rsidP="005F3A7F">
            <w:pPr>
              <w:pStyle w:val="Default"/>
              <w:spacing w:line="276" w:lineRule="auto"/>
              <w:jc w:val="center"/>
              <w:rPr>
                <w:rFonts w:ascii="Arial" w:hAnsi="Arial" w:cs="Arial"/>
                <w:b/>
                <w:sz w:val="20"/>
                <w:szCs w:val="20"/>
              </w:rPr>
            </w:pPr>
            <w:bookmarkStart w:id="0" w:name="_GoBack"/>
            <w:bookmarkEnd w:id="0"/>
            <w:r w:rsidRPr="004B6EC8">
              <w:rPr>
                <w:rFonts w:ascii="Arial" w:hAnsi="Arial" w:cs="Arial"/>
                <w:b/>
                <w:sz w:val="20"/>
                <w:szCs w:val="20"/>
              </w:rPr>
              <w:t>Art. projektu</w:t>
            </w:r>
          </w:p>
        </w:tc>
        <w:tc>
          <w:tcPr>
            <w:tcW w:w="2126" w:type="dxa"/>
          </w:tcPr>
          <w:p w14:paraId="5E9BFA5F" w14:textId="77777777" w:rsidR="008261C7" w:rsidRPr="004B6EC8" w:rsidRDefault="008261C7" w:rsidP="005F3A7F">
            <w:pPr>
              <w:pStyle w:val="Default"/>
              <w:spacing w:line="276" w:lineRule="auto"/>
              <w:jc w:val="center"/>
              <w:rPr>
                <w:rFonts w:ascii="Arial" w:hAnsi="Arial" w:cs="Arial"/>
                <w:b/>
                <w:sz w:val="20"/>
                <w:szCs w:val="20"/>
              </w:rPr>
            </w:pPr>
            <w:r w:rsidRPr="004B6EC8">
              <w:rPr>
                <w:rFonts w:ascii="Arial" w:hAnsi="Arial" w:cs="Arial"/>
                <w:b/>
                <w:sz w:val="20"/>
                <w:szCs w:val="20"/>
              </w:rPr>
              <w:t>Instytucja zgłaszająca uwagę</w:t>
            </w:r>
          </w:p>
        </w:tc>
        <w:tc>
          <w:tcPr>
            <w:tcW w:w="5245" w:type="dxa"/>
          </w:tcPr>
          <w:p w14:paraId="20E0ED00" w14:textId="77777777" w:rsidR="008261C7" w:rsidRPr="004B6EC8" w:rsidRDefault="008261C7" w:rsidP="005F3A7F">
            <w:pPr>
              <w:pStyle w:val="Default"/>
              <w:spacing w:line="276" w:lineRule="auto"/>
              <w:jc w:val="center"/>
              <w:rPr>
                <w:rFonts w:ascii="Arial" w:hAnsi="Arial" w:cs="Arial"/>
                <w:b/>
                <w:sz w:val="20"/>
                <w:szCs w:val="20"/>
              </w:rPr>
            </w:pPr>
            <w:r w:rsidRPr="004B6EC8">
              <w:rPr>
                <w:rFonts w:ascii="Arial" w:hAnsi="Arial" w:cs="Arial"/>
                <w:b/>
                <w:sz w:val="20"/>
                <w:szCs w:val="20"/>
              </w:rPr>
              <w:t>Treść uwagi</w:t>
            </w:r>
          </w:p>
        </w:tc>
        <w:tc>
          <w:tcPr>
            <w:tcW w:w="4966" w:type="dxa"/>
          </w:tcPr>
          <w:p w14:paraId="6FF0CE59" w14:textId="77777777" w:rsidR="008261C7" w:rsidRPr="004B6EC8" w:rsidRDefault="008261C7" w:rsidP="005F3A7F">
            <w:pPr>
              <w:pStyle w:val="Default"/>
              <w:spacing w:line="276" w:lineRule="auto"/>
              <w:jc w:val="center"/>
              <w:rPr>
                <w:rFonts w:ascii="Arial" w:hAnsi="Arial" w:cs="Arial"/>
                <w:b/>
                <w:sz w:val="20"/>
                <w:szCs w:val="20"/>
              </w:rPr>
            </w:pPr>
            <w:r w:rsidRPr="004B6EC8">
              <w:rPr>
                <w:rFonts w:ascii="Arial" w:hAnsi="Arial" w:cs="Arial"/>
                <w:b/>
                <w:sz w:val="20"/>
                <w:szCs w:val="20"/>
              </w:rPr>
              <w:t>Sposób rozpatrzenia uwagi/uzasadnienie</w:t>
            </w:r>
          </w:p>
        </w:tc>
      </w:tr>
      <w:tr w:rsidR="008261C7" w14:paraId="634F8DD3" w14:textId="77777777" w:rsidTr="008261C7">
        <w:tc>
          <w:tcPr>
            <w:tcW w:w="1408" w:type="dxa"/>
          </w:tcPr>
          <w:p w14:paraId="6D2EB767" w14:textId="7006312D" w:rsidR="008261C7" w:rsidRPr="00044CBB" w:rsidRDefault="008261C7" w:rsidP="00B90C59">
            <w:pPr>
              <w:spacing w:line="276" w:lineRule="auto"/>
              <w:rPr>
                <w:rFonts w:ascii="Arial" w:hAnsi="Arial" w:cs="Arial"/>
                <w:sz w:val="20"/>
                <w:szCs w:val="20"/>
              </w:rPr>
            </w:pPr>
            <w:r w:rsidRPr="00044CBB">
              <w:rPr>
                <w:rFonts w:ascii="Arial" w:hAnsi="Arial" w:cs="Arial"/>
                <w:sz w:val="20"/>
                <w:szCs w:val="20"/>
              </w:rPr>
              <w:t xml:space="preserve">Art. 1 pkt 9 lit. b </w:t>
            </w:r>
            <w:r>
              <w:rPr>
                <w:rFonts w:ascii="Arial" w:hAnsi="Arial" w:cs="Arial"/>
                <w:sz w:val="20"/>
                <w:szCs w:val="20"/>
              </w:rPr>
              <w:br/>
            </w:r>
            <w:r w:rsidRPr="00044CBB">
              <w:rPr>
                <w:rFonts w:ascii="Arial" w:hAnsi="Arial" w:cs="Arial"/>
                <w:b/>
                <w:sz w:val="20"/>
                <w:szCs w:val="20"/>
              </w:rPr>
              <w:t>(art. 83 ust. 1aa-1ak)</w:t>
            </w:r>
          </w:p>
          <w:p w14:paraId="38A53EEC" w14:textId="2CF3698D" w:rsidR="008261C7" w:rsidRPr="004B6EC8" w:rsidRDefault="008261C7" w:rsidP="00B90C59">
            <w:pPr>
              <w:pStyle w:val="Default"/>
              <w:spacing w:line="276" w:lineRule="auto"/>
              <w:jc w:val="center"/>
              <w:rPr>
                <w:rFonts w:ascii="Arial" w:hAnsi="Arial" w:cs="Arial"/>
                <w:sz w:val="20"/>
                <w:szCs w:val="20"/>
              </w:rPr>
            </w:pPr>
          </w:p>
        </w:tc>
        <w:tc>
          <w:tcPr>
            <w:tcW w:w="2126" w:type="dxa"/>
          </w:tcPr>
          <w:p w14:paraId="366BC66A" w14:textId="22EE066A" w:rsidR="008261C7" w:rsidRPr="004B6EC8" w:rsidRDefault="008261C7" w:rsidP="00B90C59">
            <w:pPr>
              <w:pStyle w:val="Default"/>
              <w:spacing w:line="276" w:lineRule="auto"/>
              <w:jc w:val="center"/>
              <w:rPr>
                <w:rFonts w:ascii="Arial" w:hAnsi="Arial" w:cs="Arial"/>
                <w:sz w:val="20"/>
                <w:szCs w:val="20"/>
              </w:rPr>
            </w:pPr>
            <w:r w:rsidRPr="00044CBB">
              <w:rPr>
                <w:rFonts w:ascii="Arial" w:hAnsi="Arial" w:cs="Arial"/>
                <w:sz w:val="20"/>
                <w:szCs w:val="20"/>
              </w:rPr>
              <w:t xml:space="preserve">Rzecznik Małych </w:t>
            </w:r>
            <w:r w:rsidRPr="00044CBB">
              <w:rPr>
                <w:rFonts w:ascii="Arial" w:hAnsi="Arial" w:cs="Arial"/>
                <w:sz w:val="20"/>
                <w:szCs w:val="20"/>
              </w:rPr>
              <w:br/>
              <w:t>i Średnich Przedsiębiorców</w:t>
            </w:r>
          </w:p>
        </w:tc>
        <w:tc>
          <w:tcPr>
            <w:tcW w:w="5245" w:type="dxa"/>
          </w:tcPr>
          <w:p w14:paraId="33E1389B" w14:textId="77777777" w:rsidR="008261C7" w:rsidRPr="00044CBB" w:rsidRDefault="008261C7" w:rsidP="00B90C59">
            <w:pPr>
              <w:autoSpaceDE w:val="0"/>
              <w:autoSpaceDN w:val="0"/>
              <w:adjustRightInd w:val="0"/>
              <w:spacing w:line="276" w:lineRule="auto"/>
              <w:jc w:val="both"/>
              <w:rPr>
                <w:rFonts w:ascii="Arial" w:eastAsia="Calibri" w:hAnsi="Arial" w:cs="Arial"/>
                <w:sz w:val="20"/>
                <w:szCs w:val="20"/>
              </w:rPr>
            </w:pPr>
            <w:r w:rsidRPr="00044CBB">
              <w:rPr>
                <w:rFonts w:ascii="Arial" w:eastAsia="Calibri" w:hAnsi="Arial" w:cs="Arial"/>
                <w:sz w:val="20"/>
                <w:szCs w:val="20"/>
              </w:rPr>
              <w:t xml:space="preserve">Zgodnie z projektowanym art. 83 ust. 1aa-1ah ustawy – Prawo o ruchu drogowym, opłatę za przeprowadzenie badania technicznego po wyznaczonej dacie pobiera się w przypadku przeprowadzania badania technicznego po upływie 30 dni od wyznaczonej daty tego badania. Opłatę za przeprowadzenie badania technicznego po wyznaczonej dacie przedsiębiorca prowadzący stację kontroli pojazdów pobiera niezależnie od opłaty za przeprowadzenie badania technicznego w wysokości odpowiadającej 100% wysokości opłaty za przeprowadzenie badania technicznego. Stanowi ona co do zasady przychód Transportowego Dozoru Technicznego. </w:t>
            </w:r>
          </w:p>
          <w:p w14:paraId="62456BFF" w14:textId="77777777" w:rsidR="008261C7" w:rsidRPr="00044CBB" w:rsidRDefault="008261C7" w:rsidP="00B90C59">
            <w:pPr>
              <w:autoSpaceDE w:val="0"/>
              <w:autoSpaceDN w:val="0"/>
              <w:adjustRightInd w:val="0"/>
              <w:spacing w:line="276" w:lineRule="auto"/>
              <w:jc w:val="both"/>
              <w:rPr>
                <w:rFonts w:ascii="Arial" w:eastAsia="Calibri" w:hAnsi="Arial" w:cs="Arial"/>
                <w:sz w:val="20"/>
                <w:szCs w:val="20"/>
              </w:rPr>
            </w:pPr>
            <w:r w:rsidRPr="00044CBB">
              <w:rPr>
                <w:rFonts w:ascii="Arial" w:eastAsia="Calibri" w:hAnsi="Arial" w:cs="Arial"/>
                <w:sz w:val="20"/>
                <w:szCs w:val="20"/>
              </w:rPr>
              <w:t xml:space="preserve">Stacje kontroli pojazdów miałyby odprowadzać opłaty dodatkowe na wyodrębniony rachunek budżetu państwa w terminie do 10. dnia każdego miesiąca następującego po miesiącu, w którym kwoty zostały pobrane oraz sporządzać kwartalne sprawozdania obejmujące informacje i dane o pobranych i odprowadzonych opłatach dodatkowych. </w:t>
            </w:r>
          </w:p>
          <w:p w14:paraId="1C4CFFBD" w14:textId="77777777" w:rsidR="008261C7" w:rsidRPr="00044CBB" w:rsidRDefault="008261C7" w:rsidP="00B90C59">
            <w:pPr>
              <w:autoSpaceDE w:val="0"/>
              <w:autoSpaceDN w:val="0"/>
              <w:adjustRightInd w:val="0"/>
              <w:spacing w:line="276" w:lineRule="auto"/>
              <w:jc w:val="both"/>
              <w:rPr>
                <w:rFonts w:ascii="Arial" w:eastAsia="Calibri" w:hAnsi="Arial" w:cs="Arial"/>
                <w:sz w:val="20"/>
                <w:szCs w:val="20"/>
              </w:rPr>
            </w:pPr>
            <w:r w:rsidRPr="00044CBB">
              <w:rPr>
                <w:rFonts w:ascii="Arial" w:eastAsia="Calibri" w:hAnsi="Arial" w:cs="Arial"/>
                <w:sz w:val="20"/>
                <w:szCs w:val="20"/>
              </w:rPr>
              <w:t xml:space="preserve">Co istotne, o należności z tytułu opłat dodatkowych oraz odsetek za zwłokę od tych opłat stosuje się odpowiednio przepisy działu II ustawy z dnia 29 sierpnia 1997 r. – Ordynacja podatkowa. </w:t>
            </w:r>
          </w:p>
          <w:p w14:paraId="5FA7B2D0" w14:textId="50FBB0ED" w:rsidR="008261C7" w:rsidRPr="004B6EC8" w:rsidRDefault="008261C7" w:rsidP="00B90C59">
            <w:pPr>
              <w:pStyle w:val="Default"/>
              <w:spacing w:line="276" w:lineRule="auto"/>
              <w:jc w:val="both"/>
              <w:rPr>
                <w:rFonts w:ascii="Arial" w:hAnsi="Arial" w:cs="Arial"/>
                <w:sz w:val="20"/>
                <w:szCs w:val="20"/>
              </w:rPr>
            </w:pPr>
            <w:r w:rsidRPr="00044CBB">
              <w:rPr>
                <w:rFonts w:ascii="Arial" w:eastAsia="Calibri" w:hAnsi="Arial" w:cs="Arial"/>
                <w:sz w:val="20"/>
                <w:szCs w:val="20"/>
              </w:rPr>
              <w:t xml:space="preserve">W ocenie Rzecznika MŚP projektowany system nakładania i egzekwowania opłaty dodatkowej zakłada wprowadzenie dodatkowych obowiązków dla SKP przy jednoczesnym przeznaczeniu 100% wpływów z tej opłaty budżetowi państwa. Jest to kolejny przykład nakładania na SKP obowiązków, które generują dodatkowe koszty </w:t>
            </w:r>
            <w:r w:rsidRPr="00044CBB">
              <w:rPr>
                <w:rFonts w:ascii="Arial" w:eastAsia="Calibri" w:hAnsi="Arial" w:cs="Arial"/>
                <w:sz w:val="20"/>
                <w:szCs w:val="20"/>
              </w:rPr>
              <w:lastRenderedPageBreak/>
              <w:t>(podobnie było podczas wdrażania systemu CEPIK). Powyższe jest tym bardziej dolegliwe dla SKP, że stawki opłat za badania techniczne pojazdów nie były waloryzowane od 16 lat. Dlatego zasadne i konieczne jest przeznaczenie części tej opłaty na rzecz SKP, aby mogły zrekompensować dodatkowe koszty z tym związane (przykładowo mogłoby to być między 10% a 20% z tej opłaty). W tym zakresie Rzecznik MŚP wskazał, że podczas posiedzenia Zespołu Roboczego ds. Transportu 12 listopada 2020 r. Pan Minister Rafał Weber zadeklarował, że jeżeli resort finansów wyrazi zgodę, aby część tej opłaty dodatkowej przeznaczonej na rzecz SKP, która przez to nie wpłynie na rzecz przychodów Transportowego Dozoru Technicznego, została mu zrekompensowana z budżetu państwa, to resort infrastruktury nie będzie oponował przeciwko takiemu rozwiązaniu.</w:t>
            </w:r>
          </w:p>
        </w:tc>
        <w:tc>
          <w:tcPr>
            <w:tcW w:w="4966" w:type="dxa"/>
          </w:tcPr>
          <w:p w14:paraId="3F83BB64" w14:textId="77777777" w:rsidR="008261C7" w:rsidRPr="002F5D9E" w:rsidRDefault="008261C7" w:rsidP="00B90C59">
            <w:pPr>
              <w:pStyle w:val="Default"/>
              <w:spacing w:line="276" w:lineRule="auto"/>
              <w:jc w:val="both"/>
              <w:rPr>
                <w:rFonts w:ascii="Arial" w:hAnsi="Arial" w:cs="Arial"/>
                <w:b/>
                <w:bCs/>
                <w:sz w:val="20"/>
                <w:szCs w:val="20"/>
                <w:u w:val="single"/>
              </w:rPr>
            </w:pPr>
            <w:r w:rsidRPr="002F5D9E">
              <w:rPr>
                <w:rFonts w:ascii="Arial" w:hAnsi="Arial" w:cs="Arial"/>
                <w:b/>
                <w:bCs/>
                <w:sz w:val="20"/>
                <w:szCs w:val="20"/>
                <w:u w:val="single"/>
              </w:rPr>
              <w:lastRenderedPageBreak/>
              <w:t>Rozbieżność</w:t>
            </w:r>
          </w:p>
          <w:p w14:paraId="6A321FFF" w14:textId="77777777" w:rsidR="008261C7" w:rsidRPr="004B6EC8" w:rsidRDefault="008261C7" w:rsidP="00B90C59">
            <w:pPr>
              <w:pStyle w:val="Default"/>
              <w:spacing w:line="276" w:lineRule="auto"/>
              <w:jc w:val="both"/>
              <w:rPr>
                <w:rFonts w:ascii="Arial" w:hAnsi="Arial" w:cs="Arial"/>
                <w:sz w:val="20"/>
                <w:szCs w:val="20"/>
              </w:rPr>
            </w:pPr>
          </w:p>
          <w:p w14:paraId="39937E40" w14:textId="2CC4E519" w:rsidR="008261C7" w:rsidRDefault="008261C7" w:rsidP="00B90C59">
            <w:pPr>
              <w:pStyle w:val="Default"/>
              <w:spacing w:line="276" w:lineRule="auto"/>
              <w:jc w:val="both"/>
              <w:rPr>
                <w:rFonts w:ascii="Arial" w:hAnsi="Arial" w:cs="Arial"/>
                <w:b/>
                <w:bCs/>
                <w:sz w:val="20"/>
                <w:szCs w:val="20"/>
              </w:rPr>
            </w:pPr>
            <w:r w:rsidRPr="004B6EC8">
              <w:rPr>
                <w:rFonts w:ascii="Arial" w:hAnsi="Arial" w:cs="Arial"/>
                <w:b/>
                <w:bCs/>
                <w:sz w:val="20"/>
                <w:szCs w:val="20"/>
              </w:rPr>
              <w:t>Stanowisko MI:</w:t>
            </w:r>
          </w:p>
          <w:p w14:paraId="44C3DBFA" w14:textId="77777777" w:rsidR="008261C7" w:rsidRPr="00044CBB" w:rsidRDefault="008261C7" w:rsidP="00B90C59">
            <w:pPr>
              <w:spacing w:line="276" w:lineRule="auto"/>
              <w:jc w:val="both"/>
              <w:rPr>
                <w:rFonts w:ascii="Arial" w:hAnsi="Arial" w:cs="Arial"/>
                <w:sz w:val="20"/>
              </w:rPr>
            </w:pPr>
            <w:r w:rsidRPr="00044CBB">
              <w:rPr>
                <w:rFonts w:ascii="Arial" w:hAnsi="Arial" w:cs="Arial"/>
                <w:sz w:val="20"/>
              </w:rPr>
              <w:t>W przypadku wykonania badania technicznego po upływie 30 dni po wyznaczonej dacie pobiera się dodatkową opłatę w wysokości odpowiadającej 100% wysokości opłaty za przeprowadzenie badania technicznego. W projekcie ustawy zaproponowano, aby opłata za przeprowadzenie badania technicznego po terminie stanowiła przychód Transportowego Dozoru Technicznego. Na tym będzie opierać się finansowanie nowego systemu nadzoru. Odnosząc się do możliwości przekazywania części opłaty za przeprowadzenie badania technicznego po terminie (od 10 do 20 procent) przedsiębiorcy prowadzącemu stację kontroli pojazdów należy dokonać oceny powyższej propozycji z punktu widzenia finansów publicznych i wziąć pod uwagę przejrzystość procesu przekazywania opłaty jej beneficjentom. Zdaniem Ministra Finansów, Funduszy i Polityki Regionalnej  „</w:t>
            </w:r>
            <w:r w:rsidRPr="00044CBB">
              <w:rPr>
                <w:rFonts w:ascii="Arial" w:hAnsi="Arial" w:cs="Arial"/>
                <w:i/>
                <w:sz w:val="20"/>
              </w:rPr>
              <w:t xml:space="preserve">Wprowadzenie trzeciego beneficjenta w znaczący sposób skomplikowałoby sposób rozliczeń pomiędzy budżetem państwa a TDT, a także spowodowałoby przekroczenie maksymalnych kwot przeznaczonych na dotację dla TDT. Należy zauważyć, iż TDT na wykonywanie zadań wynikających z projektu ma otrzymywać dotację z budżetu państwa. Jej wysokość będzie uzależniona m. in. od wielkości pobranych dodatkowych opłat. </w:t>
            </w:r>
          </w:p>
          <w:p w14:paraId="28DAD3AC" w14:textId="77777777" w:rsidR="008261C7" w:rsidRPr="00044CBB" w:rsidRDefault="008261C7" w:rsidP="00B90C59">
            <w:pPr>
              <w:spacing w:line="276" w:lineRule="auto"/>
              <w:jc w:val="both"/>
              <w:rPr>
                <w:rFonts w:ascii="Arial" w:hAnsi="Arial" w:cs="Arial"/>
                <w:i/>
                <w:sz w:val="20"/>
              </w:rPr>
            </w:pPr>
            <w:r w:rsidRPr="00044CBB">
              <w:rPr>
                <w:rFonts w:ascii="Arial" w:hAnsi="Arial" w:cs="Arial"/>
                <w:i/>
                <w:sz w:val="20"/>
              </w:rPr>
              <w:lastRenderedPageBreak/>
              <w:t xml:space="preserve">Wzajemne rozrachunki pomiędzy TDT a budżetem państwa w zakresie przekazywania dodatkowych opłat oraz dotacji, musiałyby uwzględniać potrącenia na rzecz przedsiębiorców prowadzących stacje kontroli pojazdów, co niewątpliwie miałoby wpływ na konieczność zwiększenia poziomu dotacji. </w:t>
            </w:r>
          </w:p>
          <w:p w14:paraId="0644FB29" w14:textId="77777777" w:rsidR="008261C7" w:rsidRDefault="008261C7" w:rsidP="00B90C59">
            <w:pPr>
              <w:pStyle w:val="Default"/>
              <w:spacing w:line="276" w:lineRule="auto"/>
              <w:jc w:val="both"/>
              <w:rPr>
                <w:rFonts w:ascii="Arial" w:hAnsi="Arial" w:cs="Arial"/>
                <w:sz w:val="20"/>
              </w:rPr>
            </w:pPr>
            <w:r w:rsidRPr="00044CBB">
              <w:rPr>
                <w:rFonts w:ascii="Arial" w:hAnsi="Arial" w:cs="Arial"/>
                <w:i/>
                <w:sz w:val="20"/>
              </w:rPr>
              <w:t>Równocześnie na przedsiębiorcę zostałby nałożony dodatkowy obowiązek obliczania kwoty nadwyżki i przekazywania jej we właściwym terminie na odpowiedni rachunek</w:t>
            </w:r>
            <w:r w:rsidRPr="00044CBB">
              <w:rPr>
                <w:rFonts w:ascii="Arial" w:hAnsi="Arial" w:cs="Arial"/>
                <w:sz w:val="20"/>
              </w:rPr>
              <w:t>.” W związku z powyższym, propozycja przekazywania części opłat przedsiębiorcom prowadzącym stacje kontroli pojazdów negatywnie wpłynęłaby na przejrzystość rozliczenia dotacji dla Transportowego Dozoru Technicznego.</w:t>
            </w:r>
            <w:r>
              <w:rPr>
                <w:rFonts w:ascii="Arial" w:hAnsi="Arial" w:cs="Arial"/>
                <w:sz w:val="20"/>
              </w:rPr>
              <w:t xml:space="preserve"> </w:t>
            </w:r>
          </w:p>
          <w:p w14:paraId="5A08C9DE" w14:textId="77777777" w:rsidR="008261C7" w:rsidRDefault="008261C7" w:rsidP="00B90C59">
            <w:pPr>
              <w:pStyle w:val="Default"/>
              <w:spacing w:line="276" w:lineRule="auto"/>
              <w:jc w:val="both"/>
              <w:rPr>
                <w:rFonts w:ascii="Arial" w:hAnsi="Arial" w:cs="Arial"/>
                <w:sz w:val="20"/>
              </w:rPr>
            </w:pPr>
          </w:p>
          <w:p w14:paraId="5FD37D3D" w14:textId="02AD4FBE" w:rsidR="008261C7" w:rsidRPr="004B6EC8" w:rsidRDefault="008261C7" w:rsidP="00B90C59">
            <w:pPr>
              <w:pStyle w:val="Default"/>
              <w:spacing w:line="276" w:lineRule="auto"/>
              <w:jc w:val="both"/>
              <w:rPr>
                <w:rFonts w:ascii="Arial" w:hAnsi="Arial" w:cs="Arial"/>
                <w:b/>
                <w:bCs/>
                <w:sz w:val="20"/>
                <w:szCs w:val="20"/>
              </w:rPr>
            </w:pPr>
            <w:r>
              <w:rPr>
                <w:rFonts w:ascii="Arial" w:hAnsi="Arial" w:cs="Arial"/>
                <w:b/>
                <w:bCs/>
                <w:sz w:val="20"/>
                <w:szCs w:val="20"/>
              </w:rPr>
              <w:t>Stanowisko Rzecznika Małych i Średnich Przedsiębiorców</w:t>
            </w:r>
            <w:r w:rsidRPr="004B6EC8">
              <w:rPr>
                <w:rFonts w:ascii="Arial" w:hAnsi="Arial" w:cs="Arial"/>
                <w:b/>
                <w:bCs/>
                <w:sz w:val="20"/>
                <w:szCs w:val="20"/>
              </w:rPr>
              <w:t xml:space="preserve">: </w:t>
            </w:r>
          </w:p>
          <w:p w14:paraId="6A5F410D" w14:textId="527EA6D8" w:rsidR="008261C7" w:rsidRPr="005E64BE" w:rsidRDefault="008261C7" w:rsidP="00B90C59">
            <w:pPr>
              <w:pStyle w:val="Default"/>
              <w:spacing w:line="276" w:lineRule="auto"/>
              <w:jc w:val="both"/>
              <w:rPr>
                <w:rFonts w:ascii="Arial" w:hAnsi="Arial" w:cs="Arial"/>
                <w:bCs/>
                <w:sz w:val="20"/>
                <w:szCs w:val="20"/>
              </w:rPr>
            </w:pPr>
            <w:r w:rsidRPr="005E64BE">
              <w:rPr>
                <w:rFonts w:ascii="Arial" w:hAnsi="Arial" w:cs="Arial"/>
                <w:bCs/>
                <w:sz w:val="20"/>
                <w:szCs w:val="20"/>
              </w:rPr>
              <w:t>Rzecznik Małych i Średnich Przedsiębiorców</w:t>
            </w:r>
            <w:r>
              <w:rPr>
                <w:rFonts w:ascii="Arial" w:hAnsi="Arial" w:cs="Arial"/>
                <w:bCs/>
                <w:sz w:val="20"/>
                <w:szCs w:val="20"/>
              </w:rPr>
              <w:t xml:space="preserve"> podtrzymał uwagę i nie przyjął przedstawionych wyjaśnień.</w:t>
            </w:r>
          </w:p>
        </w:tc>
      </w:tr>
    </w:tbl>
    <w:tbl>
      <w:tblPr>
        <w:tblW w:w="14250" w:type="dxa"/>
        <w:tblInd w:w="-108" w:type="dxa"/>
        <w:tblBorders>
          <w:top w:val="nil"/>
          <w:left w:val="nil"/>
          <w:bottom w:val="nil"/>
          <w:right w:val="nil"/>
        </w:tblBorders>
        <w:tblLayout w:type="fixed"/>
        <w:tblLook w:val="0000" w:firstRow="0" w:lastRow="0" w:firstColumn="0" w:lastColumn="0" w:noHBand="0" w:noVBand="0"/>
      </w:tblPr>
      <w:tblGrid>
        <w:gridCol w:w="2850"/>
        <w:gridCol w:w="2850"/>
        <w:gridCol w:w="2850"/>
        <w:gridCol w:w="2850"/>
        <w:gridCol w:w="2850"/>
      </w:tblGrid>
      <w:tr w:rsidR="00D65D71" w14:paraId="65C73869" w14:textId="77777777" w:rsidTr="00B90C59">
        <w:trPr>
          <w:trHeight w:val="357"/>
        </w:trPr>
        <w:tc>
          <w:tcPr>
            <w:tcW w:w="2850" w:type="dxa"/>
          </w:tcPr>
          <w:p w14:paraId="4F2A6DA0" w14:textId="77777777" w:rsidR="00D65D71" w:rsidRDefault="00D65D71">
            <w:pPr>
              <w:pStyle w:val="Default"/>
              <w:rPr>
                <w:rFonts w:ascii="Arial" w:hAnsi="Arial" w:cs="Arial"/>
                <w:sz w:val="20"/>
                <w:szCs w:val="20"/>
              </w:rPr>
            </w:pPr>
          </w:p>
        </w:tc>
        <w:tc>
          <w:tcPr>
            <w:tcW w:w="2850" w:type="dxa"/>
          </w:tcPr>
          <w:p w14:paraId="29BC7BCD" w14:textId="77777777" w:rsidR="00D65D71" w:rsidRDefault="00D65D71">
            <w:pPr>
              <w:pStyle w:val="Default"/>
              <w:rPr>
                <w:rFonts w:ascii="Arial" w:hAnsi="Arial" w:cs="Arial"/>
                <w:sz w:val="20"/>
                <w:szCs w:val="20"/>
              </w:rPr>
            </w:pPr>
          </w:p>
        </w:tc>
        <w:tc>
          <w:tcPr>
            <w:tcW w:w="2850" w:type="dxa"/>
          </w:tcPr>
          <w:p w14:paraId="3EE637CC" w14:textId="77777777" w:rsidR="00D65D71" w:rsidRDefault="00D65D71">
            <w:pPr>
              <w:pStyle w:val="Default"/>
              <w:rPr>
                <w:sz w:val="20"/>
                <w:szCs w:val="20"/>
              </w:rPr>
            </w:pPr>
          </w:p>
        </w:tc>
        <w:tc>
          <w:tcPr>
            <w:tcW w:w="2850" w:type="dxa"/>
          </w:tcPr>
          <w:p w14:paraId="20F75C29" w14:textId="77777777" w:rsidR="00D65D71" w:rsidRDefault="00D65D71">
            <w:pPr>
              <w:pStyle w:val="Default"/>
              <w:rPr>
                <w:rFonts w:ascii="Arial" w:hAnsi="Arial" w:cs="Arial"/>
                <w:sz w:val="20"/>
                <w:szCs w:val="20"/>
              </w:rPr>
            </w:pPr>
          </w:p>
        </w:tc>
        <w:tc>
          <w:tcPr>
            <w:tcW w:w="2850" w:type="dxa"/>
          </w:tcPr>
          <w:p w14:paraId="4C975C92" w14:textId="77777777" w:rsidR="00D65D71" w:rsidRDefault="00D65D71">
            <w:pPr>
              <w:pStyle w:val="Default"/>
              <w:rPr>
                <w:rFonts w:ascii="Arial" w:hAnsi="Arial" w:cs="Arial"/>
                <w:sz w:val="20"/>
                <w:szCs w:val="20"/>
              </w:rPr>
            </w:pPr>
          </w:p>
        </w:tc>
      </w:tr>
    </w:tbl>
    <w:p w14:paraId="0060F843" w14:textId="77777777" w:rsidR="00C11998" w:rsidRDefault="00C11998"/>
    <w:sectPr w:rsidR="00C11998" w:rsidSect="004B6EC8">
      <w:headerReference w:type="default" r:id="rId7"/>
      <w:headerReference w:type="first" r:id="rId8"/>
      <w:pgSz w:w="16838" w:h="11906" w:orient="landscape"/>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9E9BF" w14:textId="77777777" w:rsidR="001427D6" w:rsidRDefault="001427D6" w:rsidP="004B6EC8">
      <w:pPr>
        <w:spacing w:after="0" w:line="240" w:lineRule="auto"/>
      </w:pPr>
      <w:r>
        <w:separator/>
      </w:r>
    </w:p>
  </w:endnote>
  <w:endnote w:type="continuationSeparator" w:id="0">
    <w:p w14:paraId="354EC710" w14:textId="77777777" w:rsidR="001427D6" w:rsidRDefault="001427D6" w:rsidP="004B6E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6FD0C2" w14:textId="77777777" w:rsidR="001427D6" w:rsidRDefault="001427D6" w:rsidP="004B6EC8">
      <w:pPr>
        <w:spacing w:after="0" w:line="240" w:lineRule="auto"/>
      </w:pPr>
      <w:r>
        <w:separator/>
      </w:r>
    </w:p>
  </w:footnote>
  <w:footnote w:type="continuationSeparator" w:id="0">
    <w:p w14:paraId="5E114EFE" w14:textId="77777777" w:rsidR="001427D6" w:rsidRDefault="001427D6" w:rsidP="004B6E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793855" w14:textId="01C56F8E" w:rsidR="004B6EC8" w:rsidRDefault="004B6EC8" w:rsidP="004B6EC8">
    <w:pPr>
      <w:pStyle w:val="Default"/>
      <w:tabs>
        <w:tab w:val="center" w:pos="7002"/>
        <w:tab w:val="left" w:pos="8550"/>
      </w:tabs>
    </w:pPr>
    <w:r>
      <w:rPr>
        <w:b/>
        <w:bCs/>
        <w:sz w:val="22"/>
        <w:szCs w:val="22"/>
      </w:rPr>
      <w:tab/>
    </w:r>
  </w:p>
  <w:p w14:paraId="109A430A" w14:textId="77777777" w:rsidR="004B6EC8" w:rsidRDefault="004B6EC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7CC4C" w14:textId="5C33C120" w:rsidR="004B6EC8" w:rsidRPr="00C10D40" w:rsidRDefault="004B6EC8" w:rsidP="004B6EC8">
    <w:pPr>
      <w:pStyle w:val="Default"/>
      <w:jc w:val="center"/>
      <w:rPr>
        <w:rFonts w:ascii="Arial" w:hAnsi="Arial" w:cs="Arial"/>
        <w:b/>
        <w:bCs/>
        <w:sz w:val="22"/>
        <w:szCs w:val="22"/>
      </w:rPr>
    </w:pPr>
    <w:r w:rsidRPr="004359A5">
      <w:rPr>
        <w:rFonts w:ascii="Arial" w:hAnsi="Arial" w:cs="Arial"/>
        <w:b/>
        <w:bCs/>
        <w:sz w:val="22"/>
        <w:szCs w:val="22"/>
      </w:rPr>
      <w:t>Protokół rozbieżności</w:t>
    </w:r>
    <w:r w:rsidR="009C097A">
      <w:rPr>
        <w:rFonts w:ascii="Arial" w:hAnsi="Arial" w:cs="Arial"/>
        <w:b/>
        <w:bCs/>
        <w:sz w:val="22"/>
        <w:szCs w:val="22"/>
      </w:rPr>
      <w:t xml:space="preserve"> po konferencji uzgodnieniowej </w:t>
    </w:r>
    <w:r w:rsidR="009C097A" w:rsidRPr="00C10D40">
      <w:rPr>
        <w:rFonts w:ascii="Arial" w:hAnsi="Arial" w:cs="Arial"/>
        <w:b/>
        <w:bCs/>
        <w:i/>
        <w:sz w:val="22"/>
        <w:szCs w:val="22"/>
      </w:rPr>
      <w:t xml:space="preserve">projektu </w:t>
    </w:r>
    <w:r w:rsidR="005C1DAC">
      <w:rPr>
        <w:rFonts w:ascii="Arial" w:hAnsi="Arial" w:cs="Arial"/>
        <w:b/>
        <w:bCs/>
        <w:i/>
        <w:sz w:val="22"/>
        <w:szCs w:val="22"/>
      </w:rPr>
      <w:t>ustawy o zmianie ustawy – Prawo o ruchu drogowym oraz niektórych innych ustaw (UC48)</w:t>
    </w:r>
  </w:p>
  <w:p w14:paraId="37A92A39" w14:textId="77777777" w:rsidR="004B6EC8" w:rsidRDefault="004B6EC8">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71"/>
    <w:rsid w:val="000521BF"/>
    <w:rsid w:val="000A78B2"/>
    <w:rsid w:val="000B4FB5"/>
    <w:rsid w:val="00100844"/>
    <w:rsid w:val="00105432"/>
    <w:rsid w:val="00141E57"/>
    <w:rsid w:val="001427D6"/>
    <w:rsid w:val="0014615D"/>
    <w:rsid w:val="00166A66"/>
    <w:rsid w:val="0018729B"/>
    <w:rsid w:val="001B49F1"/>
    <w:rsid w:val="001F16A1"/>
    <w:rsid w:val="00202ED3"/>
    <w:rsid w:val="002E3B44"/>
    <w:rsid w:val="002F5D9E"/>
    <w:rsid w:val="00310496"/>
    <w:rsid w:val="00344561"/>
    <w:rsid w:val="003730A0"/>
    <w:rsid w:val="003776C2"/>
    <w:rsid w:val="00381B33"/>
    <w:rsid w:val="003E1C58"/>
    <w:rsid w:val="003E2B80"/>
    <w:rsid w:val="00424368"/>
    <w:rsid w:val="004359A5"/>
    <w:rsid w:val="00464548"/>
    <w:rsid w:val="004A7F8F"/>
    <w:rsid w:val="004B4273"/>
    <w:rsid w:val="004B6EC8"/>
    <w:rsid w:val="004D0763"/>
    <w:rsid w:val="005C1DAC"/>
    <w:rsid w:val="005C2029"/>
    <w:rsid w:val="005D0369"/>
    <w:rsid w:val="005E64BE"/>
    <w:rsid w:val="005F3A7F"/>
    <w:rsid w:val="00615AC5"/>
    <w:rsid w:val="00615E6D"/>
    <w:rsid w:val="00622599"/>
    <w:rsid w:val="00635BBA"/>
    <w:rsid w:val="00647F15"/>
    <w:rsid w:val="00691D00"/>
    <w:rsid w:val="00770329"/>
    <w:rsid w:val="007B3804"/>
    <w:rsid w:val="007C7A05"/>
    <w:rsid w:val="007E7DB2"/>
    <w:rsid w:val="008261C7"/>
    <w:rsid w:val="0085372A"/>
    <w:rsid w:val="00855CDE"/>
    <w:rsid w:val="008E7622"/>
    <w:rsid w:val="008F5D7E"/>
    <w:rsid w:val="008F7536"/>
    <w:rsid w:val="00924897"/>
    <w:rsid w:val="00964F60"/>
    <w:rsid w:val="009866BE"/>
    <w:rsid w:val="009C097A"/>
    <w:rsid w:val="009D1879"/>
    <w:rsid w:val="00A04F84"/>
    <w:rsid w:val="00A27B13"/>
    <w:rsid w:val="00A7188A"/>
    <w:rsid w:val="00A754CC"/>
    <w:rsid w:val="00AA3262"/>
    <w:rsid w:val="00AC73B1"/>
    <w:rsid w:val="00AF0A6F"/>
    <w:rsid w:val="00B412BF"/>
    <w:rsid w:val="00B5660A"/>
    <w:rsid w:val="00B90C59"/>
    <w:rsid w:val="00B94FAF"/>
    <w:rsid w:val="00BE5381"/>
    <w:rsid w:val="00C00CE6"/>
    <w:rsid w:val="00C10D40"/>
    <w:rsid w:val="00C11998"/>
    <w:rsid w:val="00C44425"/>
    <w:rsid w:val="00C54013"/>
    <w:rsid w:val="00C92A09"/>
    <w:rsid w:val="00CC17FB"/>
    <w:rsid w:val="00CD33D1"/>
    <w:rsid w:val="00CD477E"/>
    <w:rsid w:val="00D45BA0"/>
    <w:rsid w:val="00D65D71"/>
    <w:rsid w:val="00D708D3"/>
    <w:rsid w:val="00D85413"/>
    <w:rsid w:val="00DB3514"/>
    <w:rsid w:val="00DD53F5"/>
    <w:rsid w:val="00E14BEB"/>
    <w:rsid w:val="00E226DA"/>
    <w:rsid w:val="00E56280"/>
    <w:rsid w:val="00E90810"/>
    <w:rsid w:val="00FD4192"/>
    <w:rsid w:val="00FF10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A51572"/>
  <w15:chartTrackingRefBased/>
  <w15:docId w15:val="{5099F92B-F52B-4257-8CE5-5AF202BD3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91D0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65D71"/>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39"/>
    <w:rsid w:val="00166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B412BF"/>
    <w:rPr>
      <w:sz w:val="16"/>
      <w:szCs w:val="16"/>
    </w:rPr>
  </w:style>
  <w:style w:type="paragraph" w:styleId="Tekstkomentarza">
    <w:name w:val="annotation text"/>
    <w:basedOn w:val="Normalny"/>
    <w:link w:val="TekstkomentarzaZnak"/>
    <w:uiPriority w:val="99"/>
    <w:semiHidden/>
    <w:unhideWhenUsed/>
    <w:rsid w:val="00B412B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412BF"/>
    <w:rPr>
      <w:sz w:val="20"/>
      <w:szCs w:val="20"/>
    </w:rPr>
  </w:style>
  <w:style w:type="paragraph" w:styleId="Tematkomentarza">
    <w:name w:val="annotation subject"/>
    <w:basedOn w:val="Tekstkomentarza"/>
    <w:next w:val="Tekstkomentarza"/>
    <w:link w:val="TematkomentarzaZnak"/>
    <w:uiPriority w:val="99"/>
    <w:semiHidden/>
    <w:unhideWhenUsed/>
    <w:rsid w:val="00B412BF"/>
    <w:rPr>
      <w:b/>
      <w:bCs/>
    </w:rPr>
  </w:style>
  <w:style w:type="character" w:customStyle="1" w:styleId="TematkomentarzaZnak">
    <w:name w:val="Temat komentarza Znak"/>
    <w:basedOn w:val="TekstkomentarzaZnak"/>
    <w:link w:val="Tematkomentarza"/>
    <w:uiPriority w:val="99"/>
    <w:semiHidden/>
    <w:rsid w:val="00B412BF"/>
    <w:rPr>
      <w:b/>
      <w:bCs/>
      <w:sz w:val="20"/>
      <w:szCs w:val="20"/>
    </w:rPr>
  </w:style>
  <w:style w:type="paragraph" w:styleId="Tekstdymka">
    <w:name w:val="Balloon Text"/>
    <w:basedOn w:val="Normalny"/>
    <w:link w:val="TekstdymkaZnak"/>
    <w:uiPriority w:val="99"/>
    <w:semiHidden/>
    <w:unhideWhenUsed/>
    <w:rsid w:val="00B412B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12BF"/>
    <w:rPr>
      <w:rFonts w:ascii="Segoe UI" w:hAnsi="Segoe UI" w:cs="Segoe UI"/>
      <w:sz w:val="18"/>
      <w:szCs w:val="18"/>
    </w:rPr>
  </w:style>
  <w:style w:type="paragraph" w:styleId="Nagwek">
    <w:name w:val="header"/>
    <w:basedOn w:val="Normalny"/>
    <w:link w:val="NagwekZnak"/>
    <w:uiPriority w:val="99"/>
    <w:unhideWhenUsed/>
    <w:rsid w:val="004B6EC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6EC8"/>
  </w:style>
  <w:style w:type="paragraph" w:styleId="Stopka">
    <w:name w:val="footer"/>
    <w:basedOn w:val="Normalny"/>
    <w:link w:val="StopkaZnak"/>
    <w:uiPriority w:val="99"/>
    <w:unhideWhenUsed/>
    <w:rsid w:val="004B6EC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6EC8"/>
  </w:style>
  <w:style w:type="paragraph" w:styleId="Legenda">
    <w:name w:val="caption"/>
    <w:basedOn w:val="Normalny"/>
    <w:next w:val="Normalny"/>
    <w:qFormat/>
    <w:rsid w:val="005C1DAC"/>
    <w:pPr>
      <w:spacing w:after="0" w:line="240" w:lineRule="auto"/>
    </w:pPr>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58A76E-6FD0-44F2-B642-E6D1219C2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644</Words>
  <Characters>3866</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Ministerstwo Infrastruktury i Budownictwa</Company>
  <LinksUpToDate>false</LinksUpToDate>
  <CharactersWithSpaces>4501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Szwarczewska</dc:creator>
  <cp:keywords/>
  <dc:description/>
  <cp:lastModifiedBy>Brodzik Ewelina</cp:lastModifiedBy>
  <cp:revision>2</cp:revision>
  <cp:lastPrinted>2020-03-09T09:26:00Z</cp:lastPrinted>
  <dcterms:created xsi:type="dcterms:W3CDTF">2021-06-15T11:58:00Z</dcterms:created>
  <dcterms:modified xsi:type="dcterms:W3CDTF">2021-06-15T11:58:00Z</dcterms:modified>
</cp:coreProperties>
</file>