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C8A243" w14:textId="77777777" w:rsidR="002D0D32" w:rsidRDefault="00984B1F">
      <w:pPr>
        <w:pStyle w:val="Tytu"/>
        <w:rPr>
          <w:rFonts w:hint="eastAsia"/>
        </w:rPr>
      </w:pPr>
      <w:r>
        <w:t>Raport z postępu rzeczowo-finansowego projektu informatycznego</w:t>
      </w:r>
      <w:r>
        <w:br/>
      </w:r>
      <w:r>
        <w:rPr>
          <w:lang w:val="nl-NL"/>
        </w:rPr>
        <w:t>za I kwarta</w:t>
      </w:r>
      <w:r>
        <w:t>ł 2022 roku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3"/>
        <w:gridCol w:w="6355"/>
      </w:tblGrid>
      <w:tr w:rsidR="002D0D32" w14:paraId="7B488267" w14:textId="77777777">
        <w:trPr>
          <w:trHeight w:val="295"/>
        </w:trPr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5B39E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Tytuł projektu</w:t>
            </w:r>
          </w:p>
        </w:tc>
        <w:tc>
          <w:tcPr>
            <w:tcW w:w="6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86E9E" w14:textId="77777777" w:rsidR="002D0D32" w:rsidRDefault="00984B1F">
            <w:pPr>
              <w:pStyle w:val="Styltabeli2"/>
            </w:pPr>
            <w:r>
              <w:rPr>
                <w:rFonts w:ascii="Latin Modern Roman 10 Bold" w:hAnsi="Latin Modern Roman 10 Bold"/>
              </w:rPr>
              <w:t>Wspólna Infrastruktura Informatyczna Państwa</w:t>
            </w:r>
          </w:p>
        </w:tc>
      </w:tr>
      <w:tr w:rsidR="002D0D32" w14:paraId="594AD3A7" w14:textId="77777777">
        <w:trPr>
          <w:trHeight w:val="295"/>
        </w:trPr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FB5E9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Wnioskodawca</w:t>
            </w:r>
          </w:p>
        </w:tc>
        <w:tc>
          <w:tcPr>
            <w:tcW w:w="6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2754E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Minister Cyfryzacji</w:t>
            </w:r>
          </w:p>
        </w:tc>
      </w:tr>
      <w:tr w:rsidR="002D0D32" w14:paraId="7D4A4170" w14:textId="77777777">
        <w:trPr>
          <w:trHeight w:val="295"/>
        </w:trPr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8EDA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Beneficjent</w:t>
            </w:r>
          </w:p>
        </w:tc>
        <w:tc>
          <w:tcPr>
            <w:tcW w:w="6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316B0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Kancelaria Prezesa Rady Ministrów</w:t>
            </w:r>
          </w:p>
        </w:tc>
      </w:tr>
      <w:tr w:rsidR="002D0D32" w14:paraId="3AB01484" w14:textId="77777777">
        <w:trPr>
          <w:trHeight w:val="567"/>
        </w:trPr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D6E49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Partnerzy</w:t>
            </w:r>
          </w:p>
        </w:tc>
        <w:tc>
          <w:tcPr>
            <w:tcW w:w="6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C9F18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Naukowa i Akademicka Sieć Komputerowa – Państwowy Instytut Badawczy</w:t>
            </w:r>
          </w:p>
        </w:tc>
      </w:tr>
      <w:tr w:rsidR="002D0D32" w14:paraId="4FDCD5F9" w14:textId="77777777">
        <w:trPr>
          <w:trHeight w:val="1441"/>
        </w:trPr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FD9A8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Źródło finansowania</w:t>
            </w:r>
          </w:p>
        </w:tc>
        <w:tc>
          <w:tcPr>
            <w:tcW w:w="6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DC35E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Program Operacyjny Polska Cyfrowa na lata 2014-2020, Oś Priorytetowa nr 2 „E-administracja i otwarty rząd”, Działanie nr „2.1 Wysoka dostępność i jakość e-usług publicznych”, zgodnie z porozumieniem o dofinansowanie nr POPC.02.01.00-00-0104/19-00 z dn. 24.04.2020 r. oraz cz. 27. Informatyzacja.</w:t>
            </w:r>
          </w:p>
        </w:tc>
      </w:tr>
      <w:tr w:rsidR="002D0D32" w14:paraId="53186F18" w14:textId="77777777">
        <w:trPr>
          <w:trHeight w:val="567"/>
        </w:trPr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98FB7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Całkowity koszt projektu</w:t>
            </w:r>
          </w:p>
        </w:tc>
        <w:tc>
          <w:tcPr>
            <w:tcW w:w="6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B4CA7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159 666 380,17 zł brutto (wartość początkowa projektu: 188 718 396,90 zł)</w:t>
            </w:r>
          </w:p>
        </w:tc>
      </w:tr>
      <w:tr w:rsidR="002D0D32" w14:paraId="7FB725FE" w14:textId="77777777">
        <w:trPr>
          <w:trHeight w:val="567"/>
        </w:trPr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AD00C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Całkowity koszt projektu – wydatki kwalifikowalne</w:t>
            </w:r>
          </w:p>
        </w:tc>
        <w:tc>
          <w:tcPr>
            <w:tcW w:w="6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C3E83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159 666 380,17 zł brutto, w tym 135 125 657,54 zł brutto (84,63%) wkład UE</w:t>
            </w:r>
          </w:p>
        </w:tc>
      </w:tr>
      <w:tr w:rsidR="002D0D32" w14:paraId="4F3D01AA" w14:textId="77777777">
        <w:trPr>
          <w:trHeight w:val="847"/>
        </w:trPr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96B99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Okres realizacji projektu</w:t>
            </w:r>
          </w:p>
        </w:tc>
        <w:tc>
          <w:tcPr>
            <w:tcW w:w="6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19CD5" w14:textId="77777777" w:rsidR="002D0D32" w:rsidRDefault="00984B1F">
            <w:pPr>
              <w:pStyle w:val="Styltabeli2"/>
              <w:numPr>
                <w:ilvl w:val="0"/>
                <w:numId w:val="1"/>
              </w:numPr>
            </w:pPr>
            <w:r>
              <w:rPr>
                <w:rFonts w:eastAsia="Arial Unicode MS" w:cs="Arial Unicode MS"/>
              </w:rPr>
              <w:t>data rozpoczęcia realizacji projektu: 01.04.2020 r.</w:t>
            </w:r>
          </w:p>
          <w:p w14:paraId="5B4A5F75" w14:textId="77777777" w:rsidR="002D0D32" w:rsidRDefault="00984B1F">
            <w:pPr>
              <w:pStyle w:val="Styltabeli2"/>
              <w:numPr>
                <w:ilvl w:val="0"/>
                <w:numId w:val="1"/>
              </w:numPr>
            </w:pPr>
            <w:r>
              <w:rPr>
                <w:rFonts w:eastAsia="Arial Unicode MS" w:cs="Arial Unicode MS"/>
              </w:rPr>
              <w:t>data zakończenia realizacji projektu: 31.03.2023 r. (pierwotnie 31.01.2023 r.)</w:t>
            </w:r>
          </w:p>
        </w:tc>
      </w:tr>
    </w:tbl>
    <w:p w14:paraId="7275C1C1" w14:textId="77777777" w:rsidR="002D0D32" w:rsidRDefault="002D0D32">
      <w:pPr>
        <w:pStyle w:val="Tre"/>
      </w:pPr>
    </w:p>
    <w:p w14:paraId="2A96F1A4" w14:textId="77777777" w:rsidR="002D0D32" w:rsidRDefault="00984B1F">
      <w:pPr>
        <w:pStyle w:val="Nagwek"/>
        <w:numPr>
          <w:ilvl w:val="0"/>
          <w:numId w:val="3"/>
        </w:numPr>
        <w:rPr>
          <w:rFonts w:hint="eastAsia"/>
        </w:rPr>
      </w:pPr>
      <w:r>
        <w:t>Otoczenie prawne</w:t>
      </w:r>
    </w:p>
    <w:p w14:paraId="7BC0E309" w14:textId="77777777" w:rsidR="002D0D32" w:rsidRDefault="00984B1F">
      <w:pPr>
        <w:pStyle w:val="Tre"/>
      </w:pPr>
      <w:r>
        <w:rPr>
          <w:rFonts w:eastAsia="Arial Unicode MS" w:cs="Arial Unicode MS"/>
        </w:rPr>
        <w:t>Obecnie podstawę prawną realizacji projektu stanowią:</w:t>
      </w:r>
    </w:p>
    <w:p w14:paraId="31D2D4E5" w14:textId="77777777" w:rsidR="002D0D32" w:rsidRDefault="00984B1F">
      <w:pPr>
        <w:pStyle w:val="Tre"/>
        <w:numPr>
          <w:ilvl w:val="0"/>
          <w:numId w:val="5"/>
        </w:numPr>
      </w:pPr>
      <w:r>
        <w:rPr>
          <w:rFonts w:eastAsia="Arial Unicode MS" w:cs="Arial Unicode MS"/>
          <w:lang w:val="de-DE"/>
        </w:rPr>
        <w:t>Uchwa</w:t>
      </w:r>
      <w:r>
        <w:rPr>
          <w:rFonts w:eastAsia="Arial Unicode MS" w:cs="Arial Unicode MS"/>
        </w:rPr>
        <w:t>ła nr 97 Rady Ministrów z dnia 11 września 2019 r. w sprawie Inicjatywy „Wsp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lna Infrastruktura Informatyczna Państwa” (tekst jednolity — M.P. z 2021 poz. 1002),</w:t>
      </w:r>
    </w:p>
    <w:p w14:paraId="003E1C27" w14:textId="77777777" w:rsidR="002D0D32" w:rsidRDefault="00984B1F">
      <w:pPr>
        <w:pStyle w:val="Tre"/>
        <w:numPr>
          <w:ilvl w:val="0"/>
          <w:numId w:val="5"/>
        </w:numPr>
      </w:pPr>
      <w:r>
        <w:rPr>
          <w:rFonts w:eastAsia="Arial Unicode MS" w:cs="Arial Unicode MS"/>
        </w:rPr>
        <w:t>Ustawa z dnia 17 lutego 2005 r. o informatyzacji działalności podmiot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w realizujących zadania publiczne (tj. Dz.U. 2021 poz. 670),</w:t>
      </w:r>
    </w:p>
    <w:p w14:paraId="69CAB82A" w14:textId="77777777" w:rsidR="002D0D32" w:rsidRDefault="00984B1F">
      <w:pPr>
        <w:pStyle w:val="Tre"/>
        <w:numPr>
          <w:ilvl w:val="0"/>
          <w:numId w:val="5"/>
        </w:numPr>
      </w:pPr>
      <w:r>
        <w:rPr>
          <w:rFonts w:eastAsia="Arial Unicode MS" w:cs="Arial Unicode MS"/>
        </w:rPr>
        <w:t>Rozporządzenie Rady Ministr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w z dnia 12 kwietnia 2012 r. w sprawie Krajowych Ram Interoperacyjności, minimalnych wymagań dla rejestr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w publicznych i wymiany informacji w postaci elektronicznej oraz minimalnych wymagań dla system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w teleinformatycznych (tj. Dz.U. 2017 poz. 2247),</w:t>
      </w:r>
    </w:p>
    <w:p w14:paraId="210825B6" w14:textId="77777777" w:rsidR="002D0D32" w:rsidRDefault="00984B1F">
      <w:pPr>
        <w:pStyle w:val="Tre"/>
        <w:numPr>
          <w:ilvl w:val="0"/>
          <w:numId w:val="5"/>
        </w:numPr>
      </w:pPr>
      <w:r>
        <w:rPr>
          <w:rFonts w:eastAsia="Arial Unicode MS" w:cs="Arial Unicode MS"/>
        </w:rPr>
        <w:t>Ustawa z dnia 5 lipca 2018 r. o krajowym systemie cyberbezpieczeństwa (tj. Dz.U. 2020 poz. 1369).</w:t>
      </w:r>
    </w:p>
    <w:p w14:paraId="509B820B" w14:textId="77777777" w:rsidR="002D0D32" w:rsidRDefault="00984B1F">
      <w:pPr>
        <w:pStyle w:val="Nagwek"/>
        <w:numPr>
          <w:ilvl w:val="0"/>
          <w:numId w:val="6"/>
        </w:numPr>
        <w:rPr>
          <w:rFonts w:hint="eastAsia"/>
        </w:rPr>
      </w:pPr>
      <w:r>
        <w:t>Postęp finansowy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338"/>
        <w:gridCol w:w="3270"/>
        <w:gridCol w:w="3410"/>
      </w:tblGrid>
      <w:tr w:rsidR="002D0D32" w14:paraId="70C68F07" w14:textId="77777777">
        <w:trPr>
          <w:trHeight w:val="299"/>
          <w:tblHeader/>
        </w:trPr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8D269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Czas realizacji projektu</w:t>
            </w:r>
          </w:p>
        </w:tc>
        <w:tc>
          <w:tcPr>
            <w:tcW w:w="32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CEDFF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Wartość środków wydatkowanych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3202F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Wartość środków zaangażowanych</w:t>
            </w:r>
          </w:p>
        </w:tc>
      </w:tr>
      <w:tr w:rsidR="002D0D32" w14:paraId="0138F472" w14:textId="77777777">
        <w:tblPrEx>
          <w:shd w:val="clear" w:color="auto" w:fill="auto"/>
        </w:tblPrEx>
        <w:trPr>
          <w:trHeight w:val="299"/>
        </w:trPr>
        <w:tc>
          <w:tcPr>
            <w:tcW w:w="2337" w:type="dxa"/>
            <w:tcBorders>
              <w:top w:val="single" w:sz="6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9E539" w14:textId="77777777" w:rsidR="002D0D32" w:rsidRDefault="00984B1F">
            <w:pPr>
              <w:pStyle w:val="Styltabeli2"/>
              <w:jc w:val="center"/>
            </w:pPr>
            <w:r>
              <w:fldChar w:fldCharType="begin"/>
            </w:r>
            <w:r>
              <w:instrText xml:space="preserve"> = ((null))*100 \# "0%" \* MERGEFORMAT</w:instrText>
            </w:r>
            <w:r>
              <w:fldChar w:fldCharType="separate"/>
            </w:r>
            <w:r>
              <w:rPr>
                <w:rFonts w:ascii="Latin Modern Roman 10 Bold" w:hAnsi="Latin Modern Roman 10 Bold"/>
              </w:rPr>
              <w:t>66,67%</w:t>
            </w:r>
            <w:r>
              <w:fldChar w:fldCharType="end"/>
            </w:r>
          </w:p>
        </w:tc>
        <w:tc>
          <w:tcPr>
            <w:tcW w:w="3270" w:type="dxa"/>
            <w:tcBorders>
              <w:top w:val="single" w:sz="6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B81EA" w14:textId="77777777" w:rsidR="002D0D32" w:rsidRDefault="00984B1F">
            <w:pPr>
              <w:pStyle w:val="Styltabeli2"/>
              <w:jc w:val="center"/>
            </w:pPr>
            <w:r>
              <w:fldChar w:fldCharType="begin"/>
            </w:r>
            <w:r>
              <w:instrText xml:space="preserve"> = ((null))*100 \# "0%" \* MERGEFORMAT</w:instrText>
            </w:r>
            <w:r>
              <w:fldChar w:fldCharType="separate"/>
            </w:r>
            <w:r>
              <w:rPr>
                <w:rFonts w:ascii="Latin Modern Roman 10 Bold" w:hAnsi="Latin Modern Roman 10 Bold"/>
              </w:rPr>
              <w:t>17,46%</w:t>
            </w:r>
            <w:r>
              <w:fldChar w:fldCharType="end"/>
            </w:r>
          </w:p>
        </w:tc>
        <w:tc>
          <w:tcPr>
            <w:tcW w:w="3410" w:type="dxa"/>
            <w:tcBorders>
              <w:top w:val="single" w:sz="6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3CF6A" w14:textId="77777777" w:rsidR="002D0D32" w:rsidRDefault="00984B1F">
            <w:pPr>
              <w:pStyle w:val="Styltabeli2"/>
              <w:jc w:val="center"/>
            </w:pPr>
            <w:r>
              <w:fldChar w:fldCharType="begin"/>
            </w:r>
            <w:r>
              <w:instrText xml:space="preserve"> = ((null))*100 \# "0%" \* MERGEFORMAT</w:instrText>
            </w:r>
            <w:r>
              <w:fldChar w:fldCharType="separate"/>
            </w:r>
            <w:r>
              <w:rPr>
                <w:rFonts w:ascii="Latin Modern Roman 10 Bold" w:hAnsi="Latin Modern Roman 10 Bold"/>
              </w:rPr>
              <w:t>74,05%</w:t>
            </w:r>
            <w:r>
              <w:fldChar w:fldCharType="end"/>
            </w:r>
          </w:p>
        </w:tc>
      </w:tr>
      <w:tr w:rsidR="002D0D32" w14:paraId="3C2EDFB5" w14:textId="77777777">
        <w:tblPrEx>
          <w:shd w:val="clear" w:color="auto" w:fill="auto"/>
        </w:tblPrEx>
        <w:trPr>
          <w:trHeight w:val="560"/>
        </w:trPr>
        <w:tc>
          <w:tcPr>
            <w:tcW w:w="233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67237" w14:textId="77777777" w:rsidR="002D0D32" w:rsidRDefault="00984B1F">
            <w:pPr>
              <w:pStyle w:val="Styltabeli2"/>
              <w:jc w:val="center"/>
            </w:pPr>
            <w:r>
              <w:t>24/36 miesięcy</w:t>
            </w:r>
          </w:p>
        </w:tc>
        <w:tc>
          <w:tcPr>
            <w:tcW w:w="327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84F51" w14:textId="77777777" w:rsidR="002D0D32" w:rsidRDefault="00984B1F">
            <w:pPr>
              <w:pStyle w:val="Styltabeli2"/>
              <w:jc w:val="center"/>
            </w:pPr>
            <w:r>
              <w:t>Poniesione wydatki ogółem:</w:t>
            </w:r>
            <w:r>
              <w:br/>
              <w:t>27 871 505,49/159 666 380,17 zł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7C9A1" w14:textId="77777777" w:rsidR="002D0D32" w:rsidRDefault="00984B1F">
            <w:pPr>
              <w:pStyle w:val="Styltabeli2"/>
              <w:jc w:val="center"/>
            </w:pPr>
            <w:r>
              <w:t>118 226 004,25/159 666 380,17 zł</w:t>
            </w:r>
          </w:p>
        </w:tc>
      </w:tr>
      <w:tr w:rsidR="002D0D32" w14:paraId="32CD686E" w14:textId="77777777">
        <w:tblPrEx>
          <w:shd w:val="clear" w:color="auto" w:fill="auto"/>
        </w:tblPrEx>
        <w:trPr>
          <w:trHeight w:val="299"/>
        </w:trPr>
        <w:tc>
          <w:tcPr>
            <w:tcW w:w="233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901C3" w14:textId="77777777" w:rsidR="002D0D32" w:rsidRDefault="002D0D32"/>
        </w:tc>
        <w:tc>
          <w:tcPr>
            <w:tcW w:w="327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7BF8" w14:textId="77777777" w:rsidR="002D0D32" w:rsidRDefault="00984B1F">
            <w:pPr>
              <w:pStyle w:val="Styltabeli2"/>
              <w:jc w:val="center"/>
            </w:pPr>
            <w:r>
              <w:fldChar w:fldCharType="begin"/>
            </w:r>
            <w:r>
              <w:instrText xml:space="preserve"> = ((null))*100 \# "0%" \* MERGEFORMAT</w:instrText>
            </w:r>
            <w:r>
              <w:fldChar w:fldCharType="separate"/>
            </w:r>
            <w:r>
              <w:rPr>
                <w:rFonts w:ascii="Latin Modern Roman 10 Bold" w:hAnsi="Latin Modern Roman 10 Bold"/>
              </w:rPr>
              <w:t>5,76%</w:t>
            </w:r>
            <w:r>
              <w:fldChar w:fldCharType="end"/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1A2C0" w14:textId="77777777" w:rsidR="002D0D32" w:rsidRDefault="002D0D32"/>
        </w:tc>
      </w:tr>
      <w:tr w:rsidR="002D0D32" w14:paraId="7E7FAC8C" w14:textId="77777777">
        <w:tblPrEx>
          <w:shd w:val="clear" w:color="auto" w:fill="auto"/>
        </w:tblPrEx>
        <w:trPr>
          <w:trHeight w:val="1120"/>
        </w:trPr>
        <w:tc>
          <w:tcPr>
            <w:tcW w:w="233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2525" w14:textId="77777777" w:rsidR="002D0D32" w:rsidRDefault="002D0D32"/>
        </w:tc>
        <w:tc>
          <w:tcPr>
            <w:tcW w:w="327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9C678" w14:textId="77777777" w:rsidR="002D0D32" w:rsidRDefault="00984B1F">
            <w:pPr>
              <w:pStyle w:val="Styltabeli2"/>
              <w:jc w:val="center"/>
            </w:pPr>
            <w:r>
              <w:t>Poniesione wydatki kwalifikowane w zatwierdzonych wnioskach o płatność: 9 190 356,13/159 666 380,17 zł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FD51E" w14:textId="77777777" w:rsidR="002D0D32" w:rsidRDefault="002D0D32"/>
        </w:tc>
      </w:tr>
      <w:tr w:rsidR="002D0D32" w14:paraId="666ED6D6" w14:textId="77777777">
        <w:tblPrEx>
          <w:shd w:val="clear" w:color="auto" w:fill="auto"/>
        </w:tblPrEx>
        <w:trPr>
          <w:trHeight w:val="299"/>
        </w:trPr>
        <w:tc>
          <w:tcPr>
            <w:tcW w:w="233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7019" w14:textId="77777777" w:rsidR="002D0D32" w:rsidRDefault="002D0D32"/>
        </w:tc>
        <w:tc>
          <w:tcPr>
            <w:tcW w:w="327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81EA9" w14:textId="77777777" w:rsidR="002D0D32" w:rsidRDefault="00984B1F">
            <w:pPr>
              <w:pStyle w:val="Styltabeli2"/>
              <w:jc w:val="center"/>
            </w:pPr>
            <w:r>
              <w:rPr>
                <w:rFonts w:ascii="Latin Modern Roman 10 Bold" w:hAnsi="Latin Modern Roman 10 Bold"/>
              </w:rPr>
              <w:t>17,46%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D2059" w14:textId="77777777" w:rsidR="002D0D32" w:rsidRDefault="002D0D32"/>
        </w:tc>
      </w:tr>
      <w:tr w:rsidR="002D0D32" w14:paraId="5FF8D675" w14:textId="77777777">
        <w:tblPrEx>
          <w:shd w:val="clear" w:color="auto" w:fill="auto"/>
        </w:tblPrEx>
        <w:trPr>
          <w:trHeight w:val="563"/>
        </w:trPr>
        <w:tc>
          <w:tcPr>
            <w:tcW w:w="23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CE25" w14:textId="77777777" w:rsidR="002D0D32" w:rsidRDefault="002D0D32"/>
        </w:tc>
        <w:tc>
          <w:tcPr>
            <w:tcW w:w="32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54BB1" w14:textId="77777777" w:rsidR="002D0D32" w:rsidRDefault="00984B1F">
            <w:pPr>
              <w:pStyle w:val="Styltabeli2"/>
              <w:jc w:val="center"/>
            </w:pPr>
            <w:r>
              <w:t>Poniesione wydatki kwalifikowane:</w:t>
            </w:r>
            <w:r>
              <w:br/>
              <w:t>27 871 505,49/159 666 380,17 zł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58E82" w14:textId="77777777" w:rsidR="002D0D32" w:rsidRDefault="002D0D32"/>
        </w:tc>
      </w:tr>
    </w:tbl>
    <w:p w14:paraId="68484069" w14:textId="77777777" w:rsidR="002D0D32" w:rsidRDefault="002D0D32">
      <w:pPr>
        <w:pStyle w:val="Tre"/>
      </w:pPr>
    </w:p>
    <w:p w14:paraId="36DBEA4A" w14:textId="77777777" w:rsidR="002D0D32" w:rsidRDefault="00984B1F">
      <w:pPr>
        <w:pStyle w:val="Nagwek"/>
        <w:numPr>
          <w:ilvl w:val="0"/>
          <w:numId w:val="6"/>
        </w:numPr>
        <w:rPr>
          <w:rFonts w:hint="eastAsia"/>
        </w:rPr>
      </w:pPr>
      <w:r>
        <w:t>Postęp rzeczowy</w:t>
      </w:r>
    </w:p>
    <w:p w14:paraId="2DB7F32C" w14:textId="77777777" w:rsidR="002D0D32" w:rsidRDefault="00984B1F">
      <w:pPr>
        <w:pStyle w:val="Tre"/>
        <w:keepNext/>
      </w:pPr>
      <w:r>
        <w:rPr>
          <w:rStyle w:val="Wyrnienie"/>
        </w:rPr>
        <w:t>Kamienie milowe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3789"/>
        <w:gridCol w:w="1217"/>
        <w:gridCol w:w="1009"/>
        <w:gridCol w:w="1035"/>
        <w:gridCol w:w="1968"/>
      </w:tblGrid>
      <w:tr w:rsidR="002D0D32" w14:paraId="00998D3E" w14:textId="77777777">
        <w:trPr>
          <w:trHeight w:val="1411"/>
          <w:tblHeader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8B41B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Nazwa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23079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Powiązane wskaźniki projektu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A626E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Planowany termin osiągnięcia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EF2F3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Rzeczywisty termin osiągnięcia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B17B6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Status realizacji kamienia milowego</w:t>
            </w:r>
          </w:p>
        </w:tc>
      </w:tr>
      <w:tr w:rsidR="002D0D32" w14:paraId="1592CED7" w14:textId="77777777">
        <w:tblPrEx>
          <w:shd w:val="clear" w:color="auto" w:fill="auto"/>
        </w:tblPrEx>
        <w:trPr>
          <w:trHeight w:val="571"/>
        </w:trPr>
        <w:tc>
          <w:tcPr>
            <w:tcW w:w="378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C3B33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 xml:space="preserve">(1) Opracowanie standardów bezpieczeństwa chmury obliczeniowej 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7C56E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(5): 1 szt.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DF141" w14:textId="45142732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</w:t>
            </w:r>
            <w:r w:rsidR="00E801A5">
              <w:rPr>
                <w:rFonts w:eastAsia="Arial Unicode MS" w:cs="Arial Unicode MS"/>
              </w:rPr>
              <w:t>6</w:t>
            </w:r>
            <w:r>
              <w:rPr>
                <w:rFonts w:eastAsia="Arial Unicode MS" w:cs="Arial Unicode MS"/>
              </w:rPr>
              <w:t>-2020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D1625" w14:textId="3130948A" w:rsidR="002D0D32" w:rsidRDefault="00984B1F">
            <w:pPr>
              <w:pStyle w:val="Styltabeli2"/>
            </w:pPr>
            <w:r w:rsidRPr="00D93198">
              <w:rPr>
                <w:rFonts w:eastAsia="Arial Unicode MS" w:cs="Arial Unicode MS"/>
              </w:rPr>
              <w:t>0</w:t>
            </w:r>
            <w:r w:rsidR="00E801A5" w:rsidRPr="00D93198">
              <w:rPr>
                <w:rFonts w:eastAsia="Arial Unicode MS" w:cs="Arial Unicode MS"/>
              </w:rPr>
              <w:t>5</w:t>
            </w:r>
            <w:r w:rsidRPr="00D93198">
              <w:rPr>
                <w:rFonts w:eastAsia="Arial Unicode MS" w:cs="Arial Unicode MS"/>
              </w:rPr>
              <w:t>-2020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74084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- osiągnięty</w:t>
            </w:r>
          </w:p>
        </w:tc>
      </w:tr>
      <w:tr w:rsidR="002D0D32" w14:paraId="0D951E12" w14:textId="77777777">
        <w:tblPrEx>
          <w:shd w:val="clear" w:color="auto" w:fill="auto"/>
        </w:tblPrEx>
        <w:trPr>
          <w:trHeight w:val="56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BB23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(2) Odbiór koncepcji realizacyjnej SOC/NOC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90DED" w14:textId="77777777" w:rsidR="002D0D32" w:rsidRDefault="002D0D32"/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7F943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01-2022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27A12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01-2022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1F29C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- osiągnięty</w:t>
            </w:r>
          </w:p>
        </w:tc>
      </w:tr>
      <w:tr w:rsidR="002D0D32" w14:paraId="02AC81C5" w14:textId="77777777">
        <w:tblPrEx>
          <w:shd w:val="clear" w:color="auto" w:fill="auto"/>
        </w:tblPrEx>
        <w:trPr>
          <w:trHeight w:val="308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F5263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(3) Wydanie docelowego katalogu chmury publicznej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85C21" w14:textId="77777777" w:rsidR="002D0D32" w:rsidRDefault="002D0D32"/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358B9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03-2022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78EB" w14:textId="77777777" w:rsidR="002D0D32" w:rsidRDefault="002D0D32"/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E7C54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- w trakcie realizacji</w:t>
            </w:r>
          </w:p>
          <w:p w14:paraId="30247BC2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 xml:space="preserve">Katalog jest dostępny w serwisie </w:t>
            </w:r>
            <w:hyperlink r:id="rId7" w:history="1">
              <w:r>
                <w:rPr>
                  <w:rStyle w:val="Hyperlink0"/>
                  <w:rFonts w:eastAsia="Arial Unicode MS" w:cs="Arial Unicode MS"/>
                </w:rPr>
                <w:t>chmura.gov.pl</w:t>
              </w:r>
            </w:hyperlink>
            <w:r>
              <w:rPr>
                <w:rFonts w:eastAsia="Arial Unicode MS" w:cs="Arial Unicode MS"/>
              </w:rPr>
              <w:t>. Trwa formalny odbiór produktów związanych z KM. Opóźnienie wynika z przedłużającej się formalnej procedury odbioru.</w:t>
            </w:r>
          </w:p>
        </w:tc>
      </w:tr>
      <w:tr w:rsidR="002D0D32" w14:paraId="2E88129D" w14:textId="77777777">
        <w:tblPrEx>
          <w:shd w:val="clear" w:color="auto" w:fill="auto"/>
        </w:tblPrEx>
        <w:trPr>
          <w:trHeight w:val="196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B1033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(4) Wydanie inicjalnego katalogu usług Rządowej Chmury Obliczeniowej — Uruchomienie katalogu usług IaaS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93FC1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(1): 3416 TB</w:t>
            </w:r>
          </w:p>
          <w:p w14:paraId="27FFCE0B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(2): 1 szt.</w:t>
            </w:r>
          </w:p>
          <w:p w14:paraId="1B904A73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(6): 3 szt.</w:t>
            </w:r>
          </w:p>
          <w:p w14:paraId="48621084" w14:textId="3C0CE211" w:rsidR="002D0D32" w:rsidRDefault="00984B1F" w:rsidP="00E801A5">
            <w:pPr>
              <w:pStyle w:val="Styltabeli2"/>
            </w:pPr>
            <w:r>
              <w:rPr>
                <w:rFonts w:eastAsia="Arial Unicode MS" w:cs="Arial Unicode MS"/>
              </w:rPr>
              <w:t>(</w:t>
            </w:r>
            <w:r w:rsidR="00462E04" w:rsidDel="00462E04">
              <w:rPr>
                <w:rFonts w:eastAsia="Arial Unicode MS" w:cs="Arial Unicode MS"/>
              </w:rPr>
              <w:t xml:space="preserve"> </w:t>
            </w:r>
            <w:r>
              <w:rPr>
                <w:rFonts w:eastAsia="Arial Unicode MS" w:cs="Arial Unicode MS"/>
              </w:rPr>
              <w:t>(8): 3800 szt.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79F5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39C51" w14:textId="77777777" w:rsidR="002D0D32" w:rsidRDefault="002D0D32"/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0DA6C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- w trakcie realizacji</w:t>
            </w:r>
          </w:p>
        </w:tc>
      </w:tr>
      <w:tr w:rsidR="002D0D32" w14:paraId="74C7207C" w14:textId="77777777">
        <w:tblPrEx>
          <w:shd w:val="clear" w:color="auto" w:fill="auto"/>
        </w:tblPrEx>
        <w:trPr>
          <w:trHeight w:val="56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EDF69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(5) Uruchomienie Rządowego Klastra Bezpieczeństwa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D98D5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(3): 2 szt.</w:t>
            </w:r>
          </w:p>
          <w:p w14:paraId="4CAD0D7A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(4): 1 szt.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AE2F4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1781E" w14:textId="77777777" w:rsidR="002D0D32" w:rsidRDefault="002D0D32"/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9E9B2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- w trakcie realizacji</w:t>
            </w:r>
          </w:p>
        </w:tc>
      </w:tr>
      <w:tr w:rsidR="002D0D32" w14:paraId="2C0A0338" w14:textId="77777777">
        <w:tblPrEx>
          <w:shd w:val="clear" w:color="auto" w:fill="auto"/>
        </w:tblPrEx>
        <w:trPr>
          <w:trHeight w:val="112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6388D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lastRenderedPageBreak/>
              <w:t>(6) Wydanie katalogu usług PaaS Rządowej Chmury Obliczeniowej — rozbudowa katalogu usług o elementy PaaS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4244F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(6): 1 szt.</w:t>
            </w:r>
          </w:p>
          <w:p w14:paraId="3A91AF2F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(7): 98,75%</w:t>
            </w:r>
          </w:p>
          <w:p w14:paraId="01FA78AB" w14:textId="77777777" w:rsidR="002D0D32" w:rsidRDefault="002D0D32">
            <w:pPr>
              <w:pStyle w:val="Styltabeli2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3DC64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9883" w14:textId="77777777" w:rsidR="002D0D32" w:rsidRDefault="002D0D32"/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99C31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- w trakcie realizacji</w:t>
            </w:r>
          </w:p>
        </w:tc>
      </w:tr>
      <w:tr w:rsidR="002D0D32" w14:paraId="5CD2BF14" w14:textId="77777777">
        <w:tblPrEx>
          <w:shd w:val="clear" w:color="auto" w:fill="auto"/>
        </w:tblPrEx>
        <w:trPr>
          <w:trHeight w:val="112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A3D82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(7) Wydanie katalogu usług bezpieczeństwa w ramach RKB — uruchomienie usług bezpieczeństwa w modelu chmurowym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6669D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(9): 5 szt.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B6C54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79D72" w14:textId="77777777" w:rsidR="002D0D32" w:rsidRDefault="002D0D32"/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EA78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- w trakcie realizacji</w:t>
            </w:r>
          </w:p>
        </w:tc>
      </w:tr>
      <w:tr w:rsidR="002D0D32" w14:paraId="2ACD0FA1" w14:textId="77777777">
        <w:tblPrEx>
          <w:shd w:val="clear" w:color="auto" w:fill="auto"/>
        </w:tblPrEx>
        <w:trPr>
          <w:trHeight w:val="140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95908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(8) Wydanie inicjalnego katalogu usług chmury publicznej — uruchomienie systemu ZUCH wraz z opublikowaniem 1 katalogu usług Publicznej Chmury Obliczeniowej (PChO)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9378F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(11): 5 szt.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556DE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01-2023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26E65" w14:textId="77777777" w:rsidR="002D0D32" w:rsidRDefault="002D0D32"/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1FA52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- w trakcie realizacji</w:t>
            </w:r>
          </w:p>
        </w:tc>
      </w:tr>
      <w:tr w:rsidR="002D0D32" w14:paraId="1F2F4A91" w14:textId="77777777">
        <w:tblPrEx>
          <w:shd w:val="clear" w:color="auto" w:fill="auto"/>
        </w:tblPrEx>
        <w:trPr>
          <w:trHeight w:val="84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D6649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(9) Wydanie docelowego katalogu chmury publicznej — uruchomienie co najmniej 1 usługi w modelu SaaS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9CD59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(11): 5 szt.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7861B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01-2023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08B2F" w14:textId="77777777" w:rsidR="002D0D32" w:rsidRDefault="002D0D32"/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4796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- w trakcie realizacji</w:t>
            </w:r>
          </w:p>
        </w:tc>
      </w:tr>
      <w:tr w:rsidR="002D0D32" w14:paraId="7848A5DB" w14:textId="77777777">
        <w:tblPrEx>
          <w:shd w:val="clear" w:color="auto" w:fill="auto"/>
        </w:tblPrEx>
        <w:trPr>
          <w:trHeight w:val="1127"/>
        </w:trPr>
        <w:tc>
          <w:tcPr>
            <w:tcW w:w="3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C66ED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(10) Wydanie katalogu usług SaaS Rządowej Chmury Obliczeniowej — uruchomienie co najmniej 1 usługi w modelu SaaS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59287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(7): 98,75%</w:t>
            </w:r>
          </w:p>
          <w:p w14:paraId="53C19D5A" w14:textId="77777777" w:rsidR="002D0D32" w:rsidRDefault="00984B1F">
            <w:pPr>
              <w:pStyle w:val="Styltabeli2"/>
              <w:rPr>
                <w:rFonts w:eastAsia="Arial Unicode MS" w:cs="Arial Unicode MS" w:hint="eastAsia"/>
              </w:rPr>
            </w:pPr>
            <w:r>
              <w:rPr>
                <w:rFonts w:eastAsia="Arial Unicode MS" w:cs="Arial Unicode MS"/>
              </w:rPr>
              <w:t>(10): 8 szt.</w:t>
            </w:r>
          </w:p>
          <w:p w14:paraId="00A30569" w14:textId="1C5AC802" w:rsidR="00462E04" w:rsidRDefault="00462E04">
            <w:pPr>
              <w:pStyle w:val="Styltabeli2"/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341BF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01-2023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E037F" w14:textId="77777777" w:rsidR="002D0D32" w:rsidRDefault="002D0D32"/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8EC92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- w trakcie realizacji</w:t>
            </w:r>
          </w:p>
        </w:tc>
      </w:tr>
    </w:tbl>
    <w:p w14:paraId="160FB67A" w14:textId="77777777" w:rsidR="002D0D32" w:rsidRDefault="002D0D32">
      <w:pPr>
        <w:pStyle w:val="Tre"/>
      </w:pPr>
    </w:p>
    <w:p w14:paraId="73D819CB" w14:textId="77777777" w:rsidR="002D0D32" w:rsidRDefault="002D0D32">
      <w:pPr>
        <w:pStyle w:val="Tre"/>
      </w:pPr>
    </w:p>
    <w:p w14:paraId="446278C8" w14:textId="77777777" w:rsidR="002D0D32" w:rsidRDefault="00984B1F">
      <w:pPr>
        <w:pStyle w:val="Tre"/>
        <w:keepNext/>
        <w:rPr>
          <w:rStyle w:val="Wyrnienie"/>
        </w:rPr>
      </w:pPr>
      <w:r>
        <w:rPr>
          <w:rStyle w:val="Wyrnienie"/>
        </w:rPr>
        <w:t>Wskaźniki efektywności projektu (KPI)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3679"/>
        <w:gridCol w:w="695"/>
        <w:gridCol w:w="1003"/>
        <w:gridCol w:w="1383"/>
        <w:gridCol w:w="2258"/>
      </w:tblGrid>
      <w:tr w:rsidR="002D0D32" w14:paraId="2D6CC4F4" w14:textId="77777777">
        <w:trPr>
          <w:trHeight w:val="851"/>
          <w:tblHeader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06A33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Nazwa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6DC53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Jedn. miary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F4607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Wartość docelowa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E4745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Planowany termin osią-gnięcia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0FBE9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 xml:space="preserve">Wartość osiągnięta od początku realizacji projektu (narastająco) </w:t>
            </w:r>
          </w:p>
        </w:tc>
      </w:tr>
      <w:tr w:rsidR="002D0D32" w14:paraId="5F616F6F" w14:textId="77777777">
        <w:tblPrEx>
          <w:shd w:val="clear" w:color="auto" w:fill="auto"/>
        </w:tblPrEx>
        <w:trPr>
          <w:trHeight w:val="299"/>
        </w:trPr>
        <w:tc>
          <w:tcPr>
            <w:tcW w:w="367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C9E08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(1) Przestrzeń dyskowa serwerowni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76723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TB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C4F1A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3416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38AC9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225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021E7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2D0D32" w14:paraId="37842E1E" w14:textId="77777777">
        <w:tblPrEx>
          <w:shd w:val="clear" w:color="auto" w:fill="auto"/>
        </w:tblPrEx>
        <w:trPr>
          <w:trHeight w:val="84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F155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(2) Liczba uruchomionych systemów teleinformatycznych w podmiotach wykonujących zadania publiczne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314F4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7D4FE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2F3F6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5D61F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2D0D32" w14:paraId="57AE00E4" w14:textId="77777777">
        <w:tblPrEx>
          <w:shd w:val="clear" w:color="auto" w:fill="auto"/>
        </w:tblPrEx>
        <w:trPr>
          <w:trHeight w:val="1131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9F9FB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(3) Liczba ośrodków CPD, objętych standardem technicznym i organizacyjnym w ramach Rządowego Klastra Bezpieczeństwa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7FE27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E148E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76521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F58C9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2D0D32" w14:paraId="2D92F16F" w14:textId="77777777">
        <w:tblPrEx>
          <w:shd w:val="clear" w:color="auto" w:fill="auto"/>
        </w:tblPrEx>
        <w:trPr>
          <w:trHeight w:val="112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51DFE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(4) Liczba centrów operacji bezpieczeństwa i zarządzania siecią (SOC/NOC), które osiągnęły pełną gotowość operacyjną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C7A15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4452D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ECF79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A462C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2D0D32" w14:paraId="5DB1B826" w14:textId="77777777">
        <w:tblPrEx>
          <w:shd w:val="clear" w:color="auto" w:fill="auto"/>
        </w:tblPrEx>
        <w:trPr>
          <w:trHeight w:val="84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4F4EE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lastRenderedPageBreak/>
              <w:t>(5) Liczba opracowanych standardów bezpieczeństwa w zakresie CPD oraz usług świadczonych w ramach RChO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544D8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F125F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0A2AD" w14:textId="00A1210B" w:rsidR="002D0D32" w:rsidRDefault="00B07EA9">
            <w:pPr>
              <w:pStyle w:val="Styltabeli2"/>
            </w:pPr>
            <w:r>
              <w:rPr>
                <w:rFonts w:eastAsia="Arial Unicode MS" w:cs="Arial Unicode MS"/>
              </w:rPr>
              <w:t>3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D8A5C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</w:tr>
      <w:tr w:rsidR="002D0D32" w14:paraId="7F1560C1" w14:textId="77777777">
        <w:tblPrEx>
          <w:shd w:val="clear" w:color="auto" w:fill="auto"/>
        </w:tblPrEx>
        <w:trPr>
          <w:trHeight w:val="56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263A6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(6) Liczba wdrożonych platform wirtualizacyjnych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5829D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09A6E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15D3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F0B68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2D0D32" w14:paraId="435550C5" w14:textId="77777777">
        <w:tblPrEx>
          <w:shd w:val="clear" w:color="auto" w:fill="auto"/>
        </w:tblPrEx>
        <w:trPr>
          <w:trHeight w:val="56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DD35B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(7) Średni poziom dostępności świadczonych usług (SLA)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24504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%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E8724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98,75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3E01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E829A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0%</w:t>
            </w:r>
          </w:p>
        </w:tc>
      </w:tr>
      <w:tr w:rsidR="002D0D32" w14:paraId="5507552D" w14:textId="77777777">
        <w:tblPrEx>
          <w:shd w:val="clear" w:color="auto" w:fill="auto"/>
        </w:tblPrEx>
        <w:trPr>
          <w:trHeight w:val="56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8751A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(8) Ilość dostępnych rdzeni fizycznych procesorów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130A0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3D38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3800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0780B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A0AA7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2D0D32" w14:paraId="075EB364" w14:textId="77777777">
        <w:tblPrEx>
          <w:shd w:val="clear" w:color="auto" w:fill="auto"/>
        </w:tblPrEx>
        <w:trPr>
          <w:trHeight w:val="56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B7525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(9) Liczba udostępnionych usług wewnątrzadministracyjnych (A2A)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9BF17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CD77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B2EAA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01-2023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00D5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2D0D32" w14:paraId="0D1F25F5" w14:textId="77777777">
        <w:tblPrEx>
          <w:shd w:val="clear" w:color="auto" w:fill="auto"/>
        </w:tblPrEx>
        <w:trPr>
          <w:trHeight w:val="112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4A5CB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(10) Liczba systemów teleinformatycznych administracji publicznej korzystających z udostępnionych usług A2A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94BDD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04570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49F99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12-2023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B761E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2D0D32" w14:paraId="2DAE1E4F" w14:textId="77777777">
        <w:tblPrEx>
          <w:shd w:val="clear" w:color="auto" w:fill="auto"/>
        </w:tblPrEx>
        <w:trPr>
          <w:trHeight w:val="1967"/>
        </w:trPr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FDF4C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(11) Liczba zawartych umów wykonawczych przez podmioty administracji publicznej w ramach dostawy usług Publicznej Chmury Obliczeniowej za pośrednictwem Systemu Zapewniania Usług Chmurowych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668C3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szt.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DC7F3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7738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12-2023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64CD4" w14:textId="77777777" w:rsidR="002D0D32" w:rsidRDefault="00984B1F">
            <w:pPr>
              <w:jc w:val="right"/>
            </w:pPr>
            <w:r>
              <w:rPr>
                <w:rFonts w:ascii="Latin Modern Roman 10 Regular" w:hAnsi="Latin Modern Roman 10 Regular" w:cs="Arial Unicode MS"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</w:tbl>
    <w:p w14:paraId="0BCD8682" w14:textId="77777777" w:rsidR="002D0D32" w:rsidRDefault="002D0D32">
      <w:pPr>
        <w:pStyle w:val="Tre"/>
      </w:pPr>
    </w:p>
    <w:p w14:paraId="66ADD97A" w14:textId="77777777" w:rsidR="002D0D32" w:rsidRDefault="00984B1F">
      <w:pPr>
        <w:pStyle w:val="Nagwek"/>
        <w:numPr>
          <w:ilvl w:val="0"/>
          <w:numId w:val="6"/>
        </w:numPr>
        <w:rPr>
          <w:rFonts w:hint="eastAsia"/>
        </w:rPr>
      </w:pPr>
      <w:r>
        <w:t>E-usługi A2A, A2B, A2C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3964"/>
        <w:gridCol w:w="1160"/>
        <w:gridCol w:w="1169"/>
        <w:gridCol w:w="2725"/>
      </w:tblGrid>
      <w:tr w:rsidR="002D0D32" w14:paraId="27931A9E" w14:textId="77777777">
        <w:trPr>
          <w:trHeight w:val="851"/>
          <w:tblHeader/>
        </w:trPr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D1CA0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Nazwa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FF0E6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Planowana data wdrożenia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9B265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Rzeczywista data wdrożenia</w:t>
            </w:r>
          </w:p>
        </w:tc>
        <w:tc>
          <w:tcPr>
            <w:tcW w:w="27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DBCDD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Opis zmian</w:t>
            </w:r>
          </w:p>
        </w:tc>
      </w:tr>
      <w:tr w:rsidR="002D0D32" w14:paraId="67327C33" w14:textId="77777777">
        <w:tblPrEx>
          <w:shd w:val="clear" w:color="auto" w:fill="auto"/>
        </w:tblPrEx>
        <w:trPr>
          <w:trHeight w:val="851"/>
        </w:trPr>
        <w:tc>
          <w:tcPr>
            <w:tcW w:w="39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D8F1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(1) Zamówienie usługi IT świadczonej w modelu chmury obliczeniowej z wykorzystaniem systemu ZUCH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F8292" w14:textId="407D477D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01-202</w:t>
            </w:r>
            <w:r w:rsidR="00B07EA9">
              <w:rPr>
                <w:rFonts w:eastAsia="Arial Unicode MS" w:cs="Arial Unicode MS"/>
              </w:rPr>
              <w:t>1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0FFE5" w14:textId="1D792C08" w:rsidR="002D0D32" w:rsidRDefault="00B07EA9" w:rsidP="00D93198">
            <w:pPr>
              <w:pStyle w:val="Styltabeli2"/>
            </w:pPr>
            <w:r w:rsidRPr="00D93198">
              <w:rPr>
                <w:rFonts w:eastAsia="Arial Unicode MS" w:cs="Arial Unicode MS"/>
              </w:rPr>
              <w:t>01-2021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BA8C" w14:textId="77777777" w:rsidR="002D0D32" w:rsidRDefault="002D0D32"/>
        </w:tc>
      </w:tr>
      <w:tr w:rsidR="002D0D32" w14:paraId="63012D9B" w14:textId="77777777">
        <w:tblPrEx>
          <w:shd w:val="clear" w:color="auto" w:fill="auto"/>
        </w:tblPrEx>
        <w:trPr>
          <w:trHeight w:val="847"/>
        </w:trPr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3ADBC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(2) Dostawa usług w zakresie infrastruktury IT (IaaS) oraz platform systemowych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CCCC7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8D312" w14:textId="77777777" w:rsidR="002D0D32" w:rsidRDefault="002D0D32"/>
        </w:tc>
        <w:tc>
          <w:tcPr>
            <w:tcW w:w="2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63F25" w14:textId="77777777" w:rsidR="002D0D32" w:rsidRDefault="002D0D32"/>
        </w:tc>
      </w:tr>
      <w:tr w:rsidR="002D0D32" w14:paraId="315BC2C2" w14:textId="77777777">
        <w:tblPrEx>
          <w:shd w:val="clear" w:color="auto" w:fill="auto"/>
        </w:tblPrEx>
        <w:trPr>
          <w:trHeight w:val="847"/>
        </w:trPr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F71DE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(3) Dostarczanie oprogramowania i usług w modelu chmury obliczeniowej (PaaS/SaaS)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03455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01-2023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45CD3" w14:textId="77777777" w:rsidR="002D0D32" w:rsidRDefault="002D0D32"/>
        </w:tc>
        <w:tc>
          <w:tcPr>
            <w:tcW w:w="2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9CA1F" w14:textId="77777777" w:rsidR="002D0D32" w:rsidRDefault="002D0D32"/>
        </w:tc>
      </w:tr>
      <w:tr w:rsidR="002D0D32" w14:paraId="18A178D7" w14:textId="77777777">
        <w:tblPrEx>
          <w:shd w:val="clear" w:color="auto" w:fill="auto"/>
        </w:tblPrEx>
        <w:trPr>
          <w:trHeight w:val="567"/>
        </w:trPr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B487F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(4) System raportowania i rozliczeń udostępnianych usług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8F691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0EFD" w14:textId="77777777" w:rsidR="002D0D32" w:rsidRDefault="002D0D32"/>
        </w:tc>
        <w:tc>
          <w:tcPr>
            <w:tcW w:w="2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3D28F" w14:textId="77777777" w:rsidR="002D0D32" w:rsidRDefault="002D0D32"/>
        </w:tc>
      </w:tr>
      <w:tr w:rsidR="002D0D32" w14:paraId="06473D2C" w14:textId="77777777">
        <w:tblPrEx>
          <w:shd w:val="clear" w:color="auto" w:fill="auto"/>
        </w:tblPrEx>
        <w:trPr>
          <w:trHeight w:val="567"/>
        </w:trPr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58F20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lastRenderedPageBreak/>
              <w:t>(5) Wsparcie techniczne (Help desk) – elektroniczna obsługa zgłoszeń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068E3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11-2022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49106" w14:textId="77777777" w:rsidR="002D0D32" w:rsidRDefault="002D0D32"/>
        </w:tc>
        <w:tc>
          <w:tcPr>
            <w:tcW w:w="2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C74BD" w14:textId="77777777" w:rsidR="002D0D32" w:rsidRDefault="002D0D32"/>
        </w:tc>
      </w:tr>
    </w:tbl>
    <w:p w14:paraId="76027189" w14:textId="77777777" w:rsidR="002D0D32" w:rsidRDefault="002D0D32">
      <w:pPr>
        <w:pStyle w:val="Tre"/>
      </w:pPr>
    </w:p>
    <w:p w14:paraId="56CA8995" w14:textId="77777777" w:rsidR="002D0D32" w:rsidRDefault="00984B1F">
      <w:pPr>
        <w:pStyle w:val="Nagwek"/>
        <w:numPr>
          <w:ilvl w:val="0"/>
          <w:numId w:val="6"/>
        </w:numPr>
        <w:rPr>
          <w:rFonts w:hint="eastAsia"/>
        </w:rPr>
      </w:pPr>
      <w:r>
        <w:t>Udostępnione informacje sektora publicznego i zdigitalizowane zasoby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866"/>
        <w:gridCol w:w="1419"/>
        <w:gridCol w:w="1741"/>
        <w:gridCol w:w="2992"/>
      </w:tblGrid>
      <w:tr w:rsidR="002D0D32" w14:paraId="0075D91E" w14:textId="77777777">
        <w:trPr>
          <w:trHeight w:val="851"/>
          <w:tblHeader/>
        </w:trPr>
        <w:tc>
          <w:tcPr>
            <w:tcW w:w="286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CF9DD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Nazwa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A59DF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Planowana data wdrożenia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67789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Rzeczywista data wdrożenia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48D1A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Opis zmian</w:t>
            </w:r>
          </w:p>
        </w:tc>
      </w:tr>
      <w:tr w:rsidR="002D0D32" w14:paraId="796EFCC7" w14:textId="77777777">
        <w:tblPrEx>
          <w:shd w:val="clear" w:color="auto" w:fill="auto"/>
        </w:tblPrEx>
        <w:trPr>
          <w:trHeight w:val="299"/>
        </w:trPr>
        <w:tc>
          <w:tcPr>
            <w:tcW w:w="28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70FFE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Nie dotyczy.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D50AD" w14:textId="77777777" w:rsidR="002D0D32" w:rsidRDefault="002D0D32"/>
        </w:tc>
        <w:tc>
          <w:tcPr>
            <w:tcW w:w="174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D424" w14:textId="77777777" w:rsidR="002D0D32" w:rsidRDefault="002D0D32"/>
        </w:tc>
        <w:tc>
          <w:tcPr>
            <w:tcW w:w="2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33402" w14:textId="77777777" w:rsidR="002D0D32" w:rsidRDefault="002D0D32"/>
        </w:tc>
      </w:tr>
    </w:tbl>
    <w:p w14:paraId="31E44625" w14:textId="77777777" w:rsidR="002D0D32" w:rsidRDefault="002D0D32">
      <w:pPr>
        <w:pStyle w:val="Tre"/>
      </w:pPr>
    </w:p>
    <w:p w14:paraId="1D63C9FE" w14:textId="77777777" w:rsidR="002D0D32" w:rsidRDefault="00984B1F">
      <w:pPr>
        <w:pStyle w:val="Nagwek"/>
        <w:numPr>
          <w:ilvl w:val="0"/>
          <w:numId w:val="6"/>
        </w:numPr>
        <w:rPr>
          <w:rFonts w:hint="eastAsia"/>
        </w:rPr>
      </w:pPr>
      <w:r>
        <w:t>Produkty końcowe projektu (inne niż wskazane w pkt. 4-5)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3765"/>
        <w:gridCol w:w="1347"/>
        <w:gridCol w:w="1424"/>
        <w:gridCol w:w="2482"/>
      </w:tblGrid>
      <w:tr w:rsidR="002D0D32" w14:paraId="33570643" w14:textId="77777777">
        <w:trPr>
          <w:trHeight w:val="851"/>
          <w:tblHeader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8D2DE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Nazwa produktu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E4DF7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Planowana data wdrożenia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1C2DD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Rzeczywista data wdrożenia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D72B9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Komplementarność względem produktów innych projektów</w:t>
            </w:r>
            <w:bookmarkStart w:id="0" w:name="_GoBack"/>
            <w:bookmarkEnd w:id="0"/>
          </w:p>
        </w:tc>
      </w:tr>
      <w:tr w:rsidR="002D0D32" w14:paraId="071FE86B" w14:textId="77777777">
        <w:tblPrEx>
          <w:shd w:val="clear" w:color="auto" w:fill="auto"/>
        </w:tblPrEx>
        <w:trPr>
          <w:trHeight w:val="1971"/>
        </w:trPr>
        <w:tc>
          <w:tcPr>
            <w:tcW w:w="376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81720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System Zapewniania Usług Chmurowych — wersja produkcyjna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BF7D8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02-2022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015C7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02-2022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033E3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Produkt projektu komplementarnego Platforma Innowacyjnej Administracji (wytworzenie oprogramowania).</w:t>
            </w:r>
          </w:p>
          <w:p w14:paraId="1A032E9C" w14:textId="77777777" w:rsidR="002D0D32" w:rsidRDefault="002D0D32">
            <w:pPr>
              <w:pStyle w:val="Styltabeli2"/>
            </w:pPr>
          </w:p>
        </w:tc>
      </w:tr>
      <w:tr w:rsidR="002D0D32" w14:paraId="197A98DF" w14:textId="77777777">
        <w:tblPrEx>
          <w:shd w:val="clear" w:color="auto" w:fill="auto"/>
        </w:tblPrEx>
        <w:trPr>
          <w:trHeight w:val="847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F7BD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System Zapewniania Usług Chmurowych — model zakupu usług Publicznej Chmury Obliczeniowej (PChO)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3F9C3" w14:textId="3B591836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</w:t>
            </w:r>
            <w:r w:rsidR="00B07EA9">
              <w:rPr>
                <w:rFonts w:eastAsia="Arial Unicode MS" w:cs="Arial Unicode MS"/>
              </w:rPr>
              <w:t>1</w:t>
            </w:r>
            <w:r>
              <w:rPr>
                <w:rFonts w:eastAsia="Arial Unicode MS" w:cs="Arial Unicode MS"/>
              </w:rPr>
              <w:t>-202</w:t>
            </w:r>
            <w:r w:rsidR="00B07EA9">
              <w:rPr>
                <w:rFonts w:eastAsia="Arial Unicode MS" w:cs="Arial Unicode MS"/>
              </w:rPr>
              <w:t>1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193AA" w14:textId="3A632C50" w:rsidR="002D0D32" w:rsidRDefault="00F95347" w:rsidP="003A439B">
            <w:pPr>
              <w:pStyle w:val="Styltabeli2"/>
            </w:pPr>
            <w:r>
              <w:t xml:space="preserve"> </w:t>
            </w:r>
            <w:r w:rsidR="00B07EA9" w:rsidRPr="003A439B">
              <w:rPr>
                <w:rFonts w:eastAsia="Arial Unicode MS" w:cs="Arial Unicode MS"/>
              </w:rPr>
              <w:t>01-2021</w:t>
            </w:r>
          </w:p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ADB45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nie dotyczy.</w:t>
            </w:r>
          </w:p>
        </w:tc>
      </w:tr>
      <w:tr w:rsidR="002D0D32" w14:paraId="187FD488" w14:textId="77777777">
        <w:tblPrEx>
          <w:shd w:val="clear" w:color="auto" w:fill="auto"/>
        </w:tblPrEx>
        <w:trPr>
          <w:trHeight w:val="567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75C56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Rządowy Klaster Bezpieczeństwa — wyposażenie i oprogramowanie RKB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E00FF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03-2022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9017E" w14:textId="77777777" w:rsidR="002D0D32" w:rsidRDefault="002D0D32"/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B03DC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nie dotyczy.</w:t>
            </w:r>
          </w:p>
        </w:tc>
      </w:tr>
      <w:tr w:rsidR="002D0D32" w14:paraId="44AB7EAF" w14:textId="77777777">
        <w:tblPrEx>
          <w:shd w:val="clear" w:color="auto" w:fill="auto"/>
        </w:tblPrEx>
        <w:trPr>
          <w:trHeight w:val="847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9356D" w14:textId="77777777" w:rsidR="002D0D32" w:rsidRDefault="00984B1F">
            <w:pPr>
              <w:pStyle w:val="Styltabeli2"/>
            </w:pPr>
            <w:r w:rsidRPr="00D93198">
              <w:rPr>
                <w:rFonts w:eastAsia="Arial Unicode MS" w:cs="Arial Unicode MS"/>
              </w:rPr>
              <w:t>Rządowa Chmura Obliczeniowa — wyposażenie i oprogramowanie wraz z Katalogiem usług RChO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39680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05-2022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188BD" w14:textId="77777777" w:rsidR="002D0D32" w:rsidRDefault="002D0D32"/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6F88A" w14:textId="65A93EE3" w:rsidR="003A439B" w:rsidRPr="003A439B" w:rsidRDefault="003A439B" w:rsidP="003A439B">
            <w:pPr>
              <w:pStyle w:val="Styltabeli2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-</w:t>
            </w:r>
            <w:r w:rsidRPr="003A439B">
              <w:rPr>
                <w:rFonts w:eastAsia="Arial Unicode MS" w:cs="Arial Unicode MS"/>
              </w:rPr>
              <w:t>korzystanie - Integracja z serwisem Otwarte Dane (rest API).</w:t>
            </w:r>
          </w:p>
          <w:p w14:paraId="75397EDA" w14:textId="76FA1329" w:rsidR="003A439B" w:rsidRPr="003A439B" w:rsidRDefault="003A439B" w:rsidP="003A439B">
            <w:pPr>
              <w:pStyle w:val="Styltabeli2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-</w:t>
            </w:r>
            <w:r w:rsidRPr="003A439B">
              <w:rPr>
                <w:rFonts w:eastAsia="Arial Unicode MS" w:cs="Arial Unicode MS"/>
              </w:rPr>
              <w:t>specyfikowanie wymagań</w:t>
            </w:r>
          </w:p>
          <w:p w14:paraId="1689431F" w14:textId="3172A432" w:rsidR="00FE6960" w:rsidRDefault="003A439B" w:rsidP="003A439B">
            <w:pPr>
              <w:pStyle w:val="Styltabeli2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-</w:t>
            </w:r>
            <w:r w:rsidRPr="003A439B">
              <w:rPr>
                <w:rFonts w:eastAsia="Arial Unicode MS" w:cs="Arial Unicode MS"/>
              </w:rPr>
              <w:t xml:space="preserve">zastępuję planowaną </w:t>
            </w:r>
            <w:r>
              <w:rPr>
                <w:rFonts w:eastAsia="Arial Unicode MS" w:cs="Arial Unicode MS"/>
              </w:rPr>
              <w:t xml:space="preserve">pierwotnie integrację z sys. TREZOR po konsultacjach Ministerstwem </w:t>
            </w:r>
            <w:r w:rsidRPr="003A439B">
              <w:rPr>
                <w:rFonts w:eastAsia="Arial Unicode MS" w:cs="Arial Unicode MS"/>
              </w:rPr>
              <w:t xml:space="preserve"> Finansów </w:t>
            </w:r>
          </w:p>
          <w:p w14:paraId="5BA78523" w14:textId="6402979F" w:rsidR="002D0D32" w:rsidRDefault="00FE6960" w:rsidP="00117772">
            <w:pPr>
              <w:pStyle w:val="Styltabeli2"/>
            </w:pPr>
            <w:r w:rsidRPr="00FE6960">
              <w:rPr>
                <w:rFonts w:eastAsia="Arial Unicode MS" w:cs="Arial Unicode MS"/>
              </w:rPr>
              <w:t xml:space="preserve">Na podstawie konsultacji z przedstawicielami Ministerstwa Finansów zmodyfikowano integrację (API) pom-iędzy systemem ZUCH oraz TREZOR, wprowadzając zamiast niej integracje z systemem Otwarte Dane. Zgodnie z informacją przekazaną </w:t>
            </w:r>
            <w:r w:rsidRPr="00FE6960">
              <w:rPr>
                <w:rFonts w:eastAsia="Arial Unicode MS" w:cs="Arial Unicode MS"/>
              </w:rPr>
              <w:lastRenderedPageBreak/>
              <w:t>przez MF w okresie realizacji projektu nie jest planowana możliwości wykorzystania informacji nt. kosztów funkcjonowania RChO bezpośrednio w systemie TREZOR- zmiana w tym zakresie procedowana w CPPC</w:t>
            </w:r>
          </w:p>
        </w:tc>
      </w:tr>
      <w:tr w:rsidR="002D0D32" w14:paraId="622D2161" w14:textId="77777777">
        <w:tblPrEx>
          <w:shd w:val="clear" w:color="auto" w:fill="auto"/>
        </w:tblPrEx>
        <w:trPr>
          <w:trHeight w:val="567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7D9CB" w14:textId="4C77446F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lastRenderedPageBreak/>
              <w:t>Rządowy Klaster Bezpieczeństwa — standardy i polityki bezpieczeństwa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AE888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08-2022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7948E" w14:textId="77777777" w:rsidR="002D0D32" w:rsidRDefault="002D0D32"/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AF2B0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nie dotyczy.</w:t>
            </w:r>
          </w:p>
        </w:tc>
      </w:tr>
      <w:tr w:rsidR="002D0D32" w14:paraId="212C451F" w14:textId="77777777">
        <w:tblPrEx>
          <w:shd w:val="clear" w:color="auto" w:fill="auto"/>
        </w:tblPrEx>
        <w:trPr>
          <w:trHeight w:val="847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65F1A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Rządowy Klaster Bezpieczeństwa — zasobu organizacyjne — gotowość zespołu obsługi RKB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B529F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10-2022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D6012" w14:textId="77777777" w:rsidR="002D0D32" w:rsidRDefault="002D0D32"/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B893A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nie dotyczy.</w:t>
            </w:r>
          </w:p>
        </w:tc>
      </w:tr>
      <w:tr w:rsidR="002D0D32" w14:paraId="5DE9692F" w14:textId="77777777">
        <w:tblPrEx>
          <w:shd w:val="clear" w:color="auto" w:fill="auto"/>
        </w:tblPrEx>
        <w:trPr>
          <w:trHeight w:val="847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81F1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Rządowa Chmura Obliczeniowa — zasoby organizacyjne — gotowość zespołu obsługi RChO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BF8F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10-2022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6B5F5" w14:textId="77777777" w:rsidR="002D0D32" w:rsidRDefault="002D0D32"/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25CA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nie dotyczy.</w:t>
            </w:r>
          </w:p>
        </w:tc>
      </w:tr>
      <w:tr w:rsidR="002D0D32" w14:paraId="78C08013" w14:textId="77777777">
        <w:tblPrEx>
          <w:shd w:val="clear" w:color="auto" w:fill="auto"/>
        </w:tblPrEx>
        <w:trPr>
          <w:trHeight w:val="2807"/>
        </w:trPr>
        <w:tc>
          <w:tcPr>
            <w:tcW w:w="3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50FC2" w14:textId="77777777" w:rsidR="002D0D32" w:rsidRDefault="00984B1F">
            <w:pPr>
              <w:pStyle w:val="Styltabeli2"/>
            </w:pPr>
            <w:r w:rsidRPr="00FE6960">
              <w:rPr>
                <w:rFonts w:eastAsia="Arial Unicode MS" w:cs="Arial Unicode MS"/>
              </w:rPr>
              <w:t>System Zapewniania Usług Chmurowych — Katalog usług chmury publicznej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A5D98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01-2023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5B12" w14:textId="77777777" w:rsidR="002D0D32" w:rsidRDefault="002D0D32"/>
        </w:tc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3ACFD" w14:textId="77777777" w:rsidR="002D0D32" w:rsidRDefault="00984B1F">
            <w:pPr>
              <w:pStyle w:val="Styltabeli2"/>
              <w:numPr>
                <w:ilvl w:val="0"/>
                <w:numId w:val="7"/>
              </w:numPr>
            </w:pPr>
            <w:r>
              <w:rPr>
                <w:rFonts w:eastAsia="Arial Unicode MS" w:cs="Arial Unicode MS"/>
              </w:rPr>
              <w:t>korzystanie - Integracja z serwisem Otwarte Dane (rest API).</w:t>
            </w:r>
          </w:p>
          <w:p w14:paraId="7C202BAA" w14:textId="77777777" w:rsidR="002D0D32" w:rsidRDefault="00984B1F">
            <w:pPr>
              <w:pStyle w:val="Styltabeli2"/>
              <w:numPr>
                <w:ilvl w:val="0"/>
                <w:numId w:val="7"/>
              </w:numPr>
            </w:pPr>
            <w:r>
              <w:rPr>
                <w:rFonts w:eastAsia="Arial Unicode MS" w:cs="Arial Unicode MS"/>
              </w:rPr>
              <w:t>specyfikowanie wymagań</w:t>
            </w:r>
          </w:p>
          <w:p w14:paraId="3507E926" w14:textId="2B31D16D" w:rsidR="002D0D32" w:rsidRPr="003A439B" w:rsidRDefault="00984B1F">
            <w:pPr>
              <w:pStyle w:val="Styltabeli2"/>
              <w:numPr>
                <w:ilvl w:val="0"/>
                <w:numId w:val="7"/>
              </w:numPr>
            </w:pPr>
            <w:r>
              <w:rPr>
                <w:rFonts w:eastAsia="Arial Unicode MS" w:cs="Arial Unicode MS"/>
              </w:rPr>
              <w:t xml:space="preserve">zastępuję planowaną pierwotnie integrację z sys. Trezor, po konsultacjach </w:t>
            </w:r>
            <w:r w:rsidR="003A439B">
              <w:rPr>
                <w:rFonts w:eastAsia="Arial Unicode MS" w:cs="Arial Unicode MS"/>
              </w:rPr>
              <w:t>Minerstwem</w:t>
            </w:r>
            <w:r>
              <w:rPr>
                <w:rFonts w:eastAsia="Arial Unicode MS" w:cs="Arial Unicode MS"/>
              </w:rPr>
              <w:t xml:space="preserve"> Finansów</w:t>
            </w:r>
            <w:r w:rsidR="003A439B">
              <w:rPr>
                <w:rFonts w:eastAsia="Arial Unicode MS" w:cs="Arial Unicode MS"/>
              </w:rPr>
              <w:t>.</w:t>
            </w:r>
          </w:p>
          <w:p w14:paraId="79381D14" w14:textId="35A74D37" w:rsidR="003A439B" w:rsidRDefault="003A439B" w:rsidP="003A439B">
            <w:pPr>
              <w:pStyle w:val="Styltabeli2"/>
              <w:ind w:left="218"/>
            </w:pPr>
            <w:r w:rsidRPr="003A439B">
              <w:t>Na podstawie konsultac</w:t>
            </w:r>
            <w:r>
              <w:t>ji z przedstawicielami Ministerstwa Finansów zmodyfikowano integrację (API) pom</w:t>
            </w:r>
            <w:r w:rsidRPr="003A439B">
              <w:t xml:space="preserve">iędzy systemem ZUCH oraz TREZOR, wprowadzając zamiast niej integracje z systemem Otwarte </w:t>
            </w:r>
            <w:r>
              <w:t>Dane. Zgodnie z informacją prze</w:t>
            </w:r>
            <w:r w:rsidRPr="003A439B">
              <w:t>kazaną przez MF w okresie realizacji projektu nie jest planowana możliwości wykorzystania informacji nt. kosztów funkcjo</w:t>
            </w:r>
            <w:r>
              <w:t>nowania RChO bezpośrednio w sys</w:t>
            </w:r>
            <w:r w:rsidRPr="003A439B">
              <w:t>temie TREZOR- zmiana w tym zakresie procedowana w CPPC</w:t>
            </w:r>
          </w:p>
        </w:tc>
      </w:tr>
    </w:tbl>
    <w:p w14:paraId="0BFE43D4" w14:textId="0B881DC4" w:rsidR="002D0D32" w:rsidRDefault="002D0D32">
      <w:pPr>
        <w:pStyle w:val="Tre"/>
      </w:pPr>
    </w:p>
    <w:p w14:paraId="347CD749" w14:textId="77777777" w:rsidR="002D0D32" w:rsidRDefault="00984B1F">
      <w:pPr>
        <w:pStyle w:val="Nagwek"/>
        <w:numPr>
          <w:ilvl w:val="0"/>
          <w:numId w:val="6"/>
        </w:numPr>
        <w:rPr>
          <w:rFonts w:hint="eastAsia"/>
        </w:rPr>
      </w:pPr>
      <w:r>
        <w:lastRenderedPageBreak/>
        <w:t>Ryzyka</w:t>
      </w:r>
    </w:p>
    <w:p w14:paraId="345BD8FF" w14:textId="77777777" w:rsidR="002D0D32" w:rsidRDefault="00984B1F">
      <w:pPr>
        <w:pStyle w:val="Tre"/>
        <w:keepNext/>
      </w:pPr>
      <w:r>
        <w:rPr>
          <w:rStyle w:val="Wyrnienie"/>
        </w:rPr>
        <w:t>Ryzyka wpływające na realizację projektu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3229"/>
        <w:gridCol w:w="1100"/>
        <w:gridCol w:w="1666"/>
        <w:gridCol w:w="3023"/>
      </w:tblGrid>
      <w:tr w:rsidR="002D0D32" w14:paraId="697DBB9D" w14:textId="77777777">
        <w:trPr>
          <w:trHeight w:hRule="exact" w:val="851"/>
          <w:tblHeader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0816F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Nazwa ryzyka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24E27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Siła oddziaływania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CE4F0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Prawdopodobieństwo wystąpienia ryzyka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7C2ED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Sposób zarządzania ryzykiem</w:t>
            </w:r>
          </w:p>
        </w:tc>
      </w:tr>
      <w:tr w:rsidR="002D0D32" w14:paraId="3F92538F" w14:textId="77777777">
        <w:tblPrEx>
          <w:shd w:val="clear" w:color="auto" w:fill="auto"/>
        </w:tblPrEx>
        <w:trPr>
          <w:trHeight w:hRule="exact" w:val="2325"/>
        </w:trPr>
        <w:tc>
          <w:tcPr>
            <w:tcW w:w="32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354BF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Ograniczenia dostępności sieci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EDA5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średnia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786A5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wysokie</w:t>
            </w:r>
          </w:p>
        </w:tc>
        <w:tc>
          <w:tcPr>
            <w:tcW w:w="30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2829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Wykorzystanie sieci światłowodowych NASK PIB / NASK S.A. lub innych komercyjnych z nałożeniem warstwy kryptograficznej na komunikację pomiędzy ośrodkami do czasu odpowiedniej konfiguracji i wyposażenia węzłów sieci rządowych.</w:t>
            </w:r>
          </w:p>
        </w:tc>
      </w:tr>
      <w:tr w:rsidR="002D0D32" w14:paraId="567513BC" w14:textId="77777777">
        <w:tblPrEx>
          <w:shd w:val="clear" w:color="auto" w:fill="auto"/>
        </w:tblPrEx>
        <w:trPr>
          <w:trHeight w:hRule="exact" w:val="1406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C644C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Opóźnienia przetargów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09F28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duża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6C2EF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średnie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118E7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Realizacja zadań z wykorzystaniem istniejącej infrastruktury poprzez ograniczenie zakresu do czasu zakończenia procesów zakupowych.</w:t>
            </w:r>
          </w:p>
        </w:tc>
      </w:tr>
      <w:tr w:rsidR="002D0D32" w14:paraId="6961E498" w14:textId="77777777">
        <w:tblPrEx>
          <w:shd w:val="clear" w:color="auto" w:fill="auto"/>
        </w:tblPrEx>
        <w:trPr>
          <w:trHeight w:hRule="exact" w:val="1451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2E784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Zbyt mały lub zbyt duży popyt na usługi oferowane przez Chmurę Rządową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89317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średnia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F8E8E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średnie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B614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Podjęcie działań promocyjnych i regulacyjnych (pobudzanie popytu) oraz zapewnienie skalowalności infrastruktury w celu dostosowania do popytu.</w:t>
            </w:r>
          </w:p>
        </w:tc>
      </w:tr>
      <w:tr w:rsidR="002D0D32" w14:paraId="2FC1D2E4" w14:textId="77777777">
        <w:tblPrEx>
          <w:shd w:val="clear" w:color="auto" w:fill="auto"/>
        </w:tblPrEx>
        <w:trPr>
          <w:trHeight w:hRule="exact" w:val="570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B986C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Porozumienia partnerskie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35514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średnia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3C532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średnie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0DC58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Realizacja jako zadanie własne KPRM.</w:t>
            </w:r>
          </w:p>
        </w:tc>
      </w:tr>
      <w:tr w:rsidR="002D0D32" w14:paraId="5BFCBF3D" w14:textId="77777777">
        <w:tblPrEx>
          <w:shd w:val="clear" w:color="auto" w:fill="auto"/>
        </w:tblPrEx>
        <w:trPr>
          <w:trHeight w:hRule="exact" w:val="855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45423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Ograniczenia w dostępności kadry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C9E5A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duża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3C228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średnie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3BBF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Zapewnienie wsparcia szkoleniowego oraz odpowiedniego funduszu wynagrodzeń.</w:t>
            </w:r>
          </w:p>
        </w:tc>
      </w:tr>
      <w:tr w:rsidR="002D0D32" w14:paraId="1FF494E1" w14:textId="77777777">
        <w:tblPrEx>
          <w:shd w:val="clear" w:color="auto" w:fill="auto"/>
        </w:tblPrEx>
        <w:trPr>
          <w:trHeight w:hRule="exact" w:val="1130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1717D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Ograniczenia licencyjne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B7239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średnia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9B5D2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wysokie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10D35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Zastosowanie dedykowanych licencji (brak współdzielenia). Zabezpieczenie środków na obsługę ryzyka.</w:t>
            </w:r>
          </w:p>
        </w:tc>
      </w:tr>
      <w:tr w:rsidR="002D0D32" w14:paraId="3D866A44" w14:textId="77777777">
        <w:tblPrEx>
          <w:shd w:val="clear" w:color="auto" w:fill="auto"/>
        </w:tblPrEx>
        <w:trPr>
          <w:trHeight w:hRule="exact" w:val="1451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416D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Opóźnienia związane z COVID-19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AA339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duża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4BD7D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średnie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40F3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Modyfikacja Harmonogramu prac planowanych w ramach WIIP POPC – adaptacja do zmieniających się warunków realizacji projektu.</w:t>
            </w:r>
          </w:p>
        </w:tc>
      </w:tr>
      <w:tr w:rsidR="002D0D32" w14:paraId="74810200" w14:textId="77777777">
        <w:tblPrEx>
          <w:shd w:val="clear" w:color="auto" w:fill="auto"/>
        </w:tblPrEx>
        <w:trPr>
          <w:trHeight w:hRule="exact" w:val="1740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7912F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Przekroczenie limitów finansowych przeznaczonych na realizację zamówień publicznych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9BA25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duża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72A3A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średnie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BFEF5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Obsługa zmiany w budżecie projektu obejmująca wyższe limity finansowe realizacji zadań lub plan zaangażowania środków krajowych (budżet państwa).</w:t>
            </w:r>
          </w:p>
        </w:tc>
      </w:tr>
      <w:tr w:rsidR="002D0D32" w14:paraId="253D2CA8" w14:textId="77777777">
        <w:tblPrEx>
          <w:shd w:val="clear" w:color="auto" w:fill="auto"/>
        </w:tblPrEx>
        <w:trPr>
          <w:trHeight w:hRule="exact" w:val="1169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6A3BA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lastRenderedPageBreak/>
              <w:t>Przekroczenie zakładanego budżetu na infrastrukturę i oprogramowanie WIIP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D570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duża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FEC5F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średnie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BEBAC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Przesunięcie środków w programie POPC lub zapewnienie źródeł finansowania spoza programu.</w:t>
            </w:r>
          </w:p>
        </w:tc>
      </w:tr>
      <w:tr w:rsidR="002D0D32" w14:paraId="596B673D" w14:textId="77777777">
        <w:tblPrEx>
          <w:shd w:val="clear" w:color="auto" w:fill="auto"/>
        </w:tblPrEx>
        <w:trPr>
          <w:trHeight w:hRule="exact" w:val="567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6F695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Przekroczenie zatwierdzonego budżetu projektu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E8BE4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średnia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99AE5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wysokie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820B4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Mitygacja poprzez przesunięcia pomiędzy zadaniami projektu.</w:t>
            </w:r>
          </w:p>
        </w:tc>
      </w:tr>
      <w:tr w:rsidR="002D0D32" w14:paraId="1BA52599" w14:textId="77777777">
        <w:tblPrEx>
          <w:shd w:val="clear" w:color="auto" w:fill="auto"/>
        </w:tblPrEx>
        <w:trPr>
          <w:trHeight w:hRule="exact" w:val="610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84CD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Przekroczenie zatwierdzonego budżetu projektu - termin projektu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766B2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średnia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B7350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średnie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383D4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Wydłużenie terminu realizacji, zmiana zakresu projektu.</w:t>
            </w:r>
          </w:p>
        </w:tc>
      </w:tr>
      <w:tr w:rsidR="002D0D32" w14:paraId="2009CDED" w14:textId="77777777">
        <w:tblPrEx>
          <w:shd w:val="clear" w:color="auto" w:fill="auto"/>
        </w:tblPrEx>
        <w:trPr>
          <w:trHeight w:hRule="exact" w:val="1707"/>
        </w:trPr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0204C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Zmiany organizacyjne w projekcie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3C28C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duża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B64E0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wysokie</w:t>
            </w:r>
          </w:p>
        </w:tc>
        <w:tc>
          <w:tcPr>
            <w:tcW w:w="3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9D47E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Dostosowanie przepisów do możliwości przeniesienia roli beneficjenta na Centralny Ośrodek Informatyki. Zachowanie ciągłości działań projektowych w okresie transformacji.</w:t>
            </w:r>
          </w:p>
        </w:tc>
      </w:tr>
    </w:tbl>
    <w:p w14:paraId="332DC302" w14:textId="77777777" w:rsidR="002D0D32" w:rsidRDefault="002D0D32">
      <w:pPr>
        <w:pStyle w:val="Tre"/>
      </w:pPr>
    </w:p>
    <w:p w14:paraId="7D9EE942" w14:textId="77777777" w:rsidR="002D0D32" w:rsidRDefault="002D0D32">
      <w:pPr>
        <w:pStyle w:val="Tre"/>
      </w:pPr>
    </w:p>
    <w:p w14:paraId="54677865" w14:textId="77777777" w:rsidR="002D0D32" w:rsidRDefault="00984B1F">
      <w:pPr>
        <w:pStyle w:val="Tre"/>
        <w:keepNext/>
        <w:rPr>
          <w:rStyle w:val="Wyrnienie"/>
        </w:rPr>
      </w:pPr>
      <w:r>
        <w:rPr>
          <w:rStyle w:val="Wyrnienie"/>
        </w:rPr>
        <w:t>Ryzyka wpływające na utrzymanie projektu</w:t>
      </w:r>
    </w:p>
    <w:tbl>
      <w:tblPr>
        <w:tblStyle w:val="TableNormal"/>
        <w:tblW w:w="901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2865"/>
        <w:gridCol w:w="1518"/>
        <w:gridCol w:w="1643"/>
        <w:gridCol w:w="2992"/>
      </w:tblGrid>
      <w:tr w:rsidR="002D0D32" w14:paraId="225E08EB" w14:textId="77777777">
        <w:trPr>
          <w:trHeight w:hRule="exact" w:val="1131"/>
          <w:tblHeader/>
        </w:trPr>
        <w:tc>
          <w:tcPr>
            <w:tcW w:w="286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2986E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Nazwa ryzyka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705A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Siła oddziaływania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915F9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Prawdopodobieństwo wystąpienia ryzyka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CACCC" w14:textId="77777777" w:rsidR="002D0D32" w:rsidRDefault="00984B1F">
            <w:pPr>
              <w:pStyle w:val="Styltabeli1"/>
            </w:pPr>
            <w:r>
              <w:rPr>
                <w:rFonts w:eastAsia="Arial Unicode MS" w:cs="Arial Unicode MS"/>
              </w:rPr>
              <w:t>Sposób zarządzania ryzykiem</w:t>
            </w:r>
          </w:p>
        </w:tc>
      </w:tr>
      <w:tr w:rsidR="002D0D32" w14:paraId="7532DB0A" w14:textId="77777777">
        <w:tblPrEx>
          <w:shd w:val="clear" w:color="auto" w:fill="auto"/>
        </w:tblPrEx>
        <w:trPr>
          <w:trHeight w:hRule="exact" w:val="1979"/>
        </w:trPr>
        <w:tc>
          <w:tcPr>
            <w:tcW w:w="28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8EE20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Niski popyt na usługi oferowane w wyniku realizacji projektu – brak wykorzystania pełnego potencjału środowiska obliczeniowego i usług chmurowych przez użytkowników końcowych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3F16D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duża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DE75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niskie</w:t>
            </w:r>
          </w:p>
        </w:tc>
        <w:tc>
          <w:tcPr>
            <w:tcW w:w="2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FEBB9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Mitygacja. Podjęcie działań promocyjnych i regulacyjnych (pobudzanie popytu).</w:t>
            </w:r>
          </w:p>
        </w:tc>
      </w:tr>
      <w:tr w:rsidR="002D0D32" w14:paraId="0818EE0B" w14:textId="77777777">
        <w:tblPrEx>
          <w:shd w:val="clear" w:color="auto" w:fill="auto"/>
        </w:tblPrEx>
        <w:trPr>
          <w:trHeight w:hRule="exact" w:val="2256"/>
        </w:trPr>
        <w:tc>
          <w:tcPr>
            <w:tcW w:w="2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A0FBC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Ograniczenia limitów finansowych budżetu państwa związanych z utrzymaniem i rozwojem RChO i RKB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77F1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duża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80776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średnie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2E21B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Mitygacja. Uwzględnienie planów wydatków związanych z RChO i RKB w wieloletnim planie finansowym budżetu państwa oraz zastosowanie przesunięć z cz. budżetowych klientów RChO do dedykowanej rezerwy celowej WIIP.</w:t>
            </w:r>
          </w:p>
        </w:tc>
      </w:tr>
      <w:tr w:rsidR="002D0D32" w14:paraId="2B331EAC" w14:textId="77777777">
        <w:tblPrEx>
          <w:shd w:val="clear" w:color="auto" w:fill="auto"/>
        </w:tblPrEx>
        <w:trPr>
          <w:trHeight w:hRule="exact" w:val="2251"/>
        </w:trPr>
        <w:tc>
          <w:tcPr>
            <w:tcW w:w="2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0D35E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Trudności związane z adaptacją nowych rozwiązań organizacyjnych oraz zasady współdzielonej odpowiedzialności pomiędzy jednostkami administracji publicznej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99FE7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duża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84A30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średnie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1B83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Mitygacja. Wprowadzenie działań pilotażowych i testujących, w tym wprowadzenie zmian legislacyjnych dot. wprowadzenia zasady współdzielonej odpowiedzialności za realizację zdań publicznych pomiędzy różnymi jednostkami.</w:t>
            </w:r>
          </w:p>
        </w:tc>
      </w:tr>
      <w:tr w:rsidR="002D0D32" w14:paraId="61FC037A" w14:textId="77777777">
        <w:tblPrEx>
          <w:shd w:val="clear" w:color="auto" w:fill="auto"/>
        </w:tblPrEx>
        <w:trPr>
          <w:trHeight w:hRule="exact" w:val="1137"/>
        </w:trPr>
        <w:tc>
          <w:tcPr>
            <w:tcW w:w="2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C7B28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lastRenderedPageBreak/>
              <w:t>Zmiany organizacyjne (KPRM/COI)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DA318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duża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6A955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wysokie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0502" w14:textId="77777777" w:rsidR="002D0D32" w:rsidRDefault="00984B1F">
            <w:pPr>
              <w:pStyle w:val="Styltabeli2"/>
            </w:pPr>
            <w:r>
              <w:rPr>
                <w:rFonts w:eastAsia="Arial Unicode MS" w:cs="Arial Unicode MS"/>
              </w:rPr>
              <w:t>Opracowanie i implementacja modelu zarządzania popytem oraz finansowania utrzymania i rozwoju RChO.</w:t>
            </w:r>
          </w:p>
        </w:tc>
      </w:tr>
    </w:tbl>
    <w:p w14:paraId="1C1E52CA" w14:textId="77777777" w:rsidR="002D0D32" w:rsidRDefault="002D0D32">
      <w:pPr>
        <w:pStyle w:val="Tre"/>
      </w:pPr>
    </w:p>
    <w:p w14:paraId="525ABF56" w14:textId="77777777" w:rsidR="002D0D32" w:rsidRDefault="00984B1F">
      <w:pPr>
        <w:pStyle w:val="Nagwek"/>
        <w:numPr>
          <w:ilvl w:val="0"/>
          <w:numId w:val="6"/>
        </w:numPr>
        <w:rPr>
          <w:rFonts w:hint="eastAsia"/>
        </w:rPr>
      </w:pPr>
      <w:r>
        <w:t>Wymiarowanie systemu informatycznego</w:t>
      </w:r>
    </w:p>
    <w:p w14:paraId="7E6B29AB" w14:textId="77777777" w:rsidR="002D0D32" w:rsidRDefault="00984B1F">
      <w:pPr>
        <w:pStyle w:val="Tre"/>
      </w:pPr>
      <w:r>
        <w:rPr>
          <w:rFonts w:eastAsia="Arial Unicode MS" w:cs="Arial Unicode MS"/>
        </w:rPr>
        <w:t>Nie dotyczy, ze względu na brak wytwarzania oprogramowania w ramach projektu.</w:t>
      </w:r>
    </w:p>
    <w:p w14:paraId="702A86BF" w14:textId="77777777" w:rsidR="002D0D32" w:rsidRDefault="00984B1F">
      <w:pPr>
        <w:pStyle w:val="Nagwek"/>
        <w:numPr>
          <w:ilvl w:val="0"/>
          <w:numId w:val="6"/>
        </w:numPr>
        <w:rPr>
          <w:rFonts w:hint="eastAsia"/>
        </w:rPr>
      </w:pPr>
      <w:r>
        <w:t>Dane kontaktowe</w:t>
      </w:r>
    </w:p>
    <w:p w14:paraId="2A803085" w14:textId="291D8166" w:rsidR="002D0D32" w:rsidRDefault="00984B1F" w:rsidP="00D93198">
      <w:pPr>
        <w:pStyle w:val="Tre"/>
        <w:numPr>
          <w:ilvl w:val="0"/>
          <w:numId w:val="8"/>
        </w:numPr>
      </w:pPr>
      <w:r>
        <w:rPr>
          <w:rFonts w:eastAsia="Arial Unicode MS" w:cs="Arial Unicode MS"/>
        </w:rPr>
        <w:t xml:space="preserve">Joanna Baranowska, z-ca dyr. Departamentu Zarządzania Systemami, e-mail: </w:t>
      </w:r>
      <w:hyperlink r:id="rId8" w:history="1">
        <w:r>
          <w:rPr>
            <w:rStyle w:val="Hyperlink0"/>
            <w:rFonts w:eastAsia="Arial Unicode MS" w:cs="Arial Unicode MS"/>
          </w:rPr>
          <w:t>Joanna.Baranowska@mc.gov.pl</w:t>
        </w:r>
      </w:hyperlink>
      <w:r>
        <w:rPr>
          <w:rFonts w:eastAsia="Arial Unicode MS" w:cs="Arial Unicode MS"/>
        </w:rPr>
        <w:t xml:space="preserve">, tel. </w:t>
      </w:r>
      <w:r w:rsidR="00D93198" w:rsidRPr="00D93198">
        <w:rPr>
          <w:rFonts w:eastAsia="Arial Unicode MS" w:cs="Arial Unicode MS"/>
        </w:rPr>
        <w:t>797851132</w:t>
      </w:r>
    </w:p>
    <w:p w14:paraId="12D21DC9" w14:textId="6B86B012" w:rsidR="002D0D32" w:rsidRDefault="00984B1F" w:rsidP="00D93198">
      <w:pPr>
        <w:pStyle w:val="Tre"/>
        <w:numPr>
          <w:ilvl w:val="0"/>
          <w:numId w:val="8"/>
        </w:numPr>
      </w:pPr>
      <w:r>
        <w:rPr>
          <w:rFonts w:eastAsia="Arial Unicode MS" w:cs="Arial Unicode MS"/>
        </w:rPr>
        <w:t xml:space="preserve">Monika Głębocka, Departament Zarządzania Systemami, e-mail: </w:t>
      </w:r>
      <w:hyperlink r:id="rId9" w:history="1">
        <w:r>
          <w:rPr>
            <w:rStyle w:val="Hyperlink0"/>
            <w:rFonts w:eastAsia="Arial Unicode MS" w:cs="Arial Unicode MS"/>
          </w:rPr>
          <w:t>Monika.Glebocka@mc.gov.pl</w:t>
        </w:r>
      </w:hyperlink>
      <w:r>
        <w:rPr>
          <w:rFonts w:eastAsia="Arial Unicode MS" w:cs="Arial Unicode MS"/>
        </w:rPr>
        <w:t xml:space="preserve">, tel. </w:t>
      </w:r>
      <w:r w:rsidR="00D93198" w:rsidRPr="00D93198">
        <w:rPr>
          <w:rFonts w:eastAsia="Arial Unicode MS" w:cs="Arial Unicode MS"/>
        </w:rPr>
        <w:t>728 410 118</w:t>
      </w:r>
    </w:p>
    <w:sectPr w:rsidR="002D0D32">
      <w:headerReference w:type="default" r:id="rId10"/>
      <w:footerReference w:type="default" r:id="rId11"/>
      <w:pgSz w:w="11906" w:h="16838"/>
      <w:pgMar w:top="1134" w:right="1440" w:bottom="1440" w:left="1440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4F78C" w14:textId="77777777" w:rsidR="00FD26B5" w:rsidRDefault="00FD26B5">
      <w:r>
        <w:separator/>
      </w:r>
    </w:p>
  </w:endnote>
  <w:endnote w:type="continuationSeparator" w:id="0">
    <w:p w14:paraId="38B2E671" w14:textId="77777777" w:rsidR="00FD26B5" w:rsidRDefault="00FD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in Modern Roman 9 Regular">
    <w:altName w:val="Times New Roman"/>
    <w:charset w:val="00"/>
    <w:family w:val="roman"/>
    <w:pitch w:val="default"/>
  </w:font>
  <w:font w:name="Latin Modern Roman Demi 10 Regu">
    <w:altName w:val="Times New Roman"/>
    <w:panose1 w:val="00000000000000000000"/>
    <w:charset w:val="00"/>
    <w:family w:val="roman"/>
    <w:notTrueType/>
    <w:pitch w:val="default"/>
  </w:font>
  <w:font w:name="Latin Modern Roman 10 Regular">
    <w:altName w:val="Times New Roman"/>
    <w:charset w:val="00"/>
    <w:family w:val="roman"/>
    <w:pitch w:val="default"/>
  </w:font>
  <w:font w:name="Latin Modern Roman 12 Bold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in Modern Roman 10 Bold">
    <w:altName w:val="Times New Roman"/>
    <w:charset w:val="00"/>
    <w:family w:val="roman"/>
    <w:pitch w:val="default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90DB2" w14:textId="77777777" w:rsidR="002D0D32" w:rsidRDefault="00984B1F">
    <w:pPr>
      <w:pStyle w:val="Nagwekistopka"/>
      <w:tabs>
        <w:tab w:val="clear" w:pos="9020"/>
        <w:tab w:val="center" w:pos="4513"/>
        <w:tab w:val="right" w:pos="9026"/>
      </w:tabs>
      <w:rPr>
        <w:rFonts w:hint="eastAsia"/>
      </w:rPr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3A439B">
      <w:rPr>
        <w:rFonts w:hint="eastAsia"/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862D5" w14:textId="77777777" w:rsidR="00FD26B5" w:rsidRDefault="00FD26B5">
      <w:r>
        <w:separator/>
      </w:r>
    </w:p>
  </w:footnote>
  <w:footnote w:type="continuationSeparator" w:id="0">
    <w:p w14:paraId="6272A33B" w14:textId="77777777" w:rsidR="00FD26B5" w:rsidRDefault="00FD26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D8F7A" w14:textId="77777777" w:rsidR="002D0D32" w:rsidRDefault="00984B1F">
    <w:r>
      <w:rPr>
        <w:noProof/>
        <w:lang w:val="pl-PL" w:eastAsia="pl-PL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329309D" wp14:editId="1E3ADF1D">
              <wp:simplePos x="0" y="0"/>
              <wp:positionH relativeFrom="page">
                <wp:posOffset>177800</wp:posOffset>
              </wp:positionH>
              <wp:positionV relativeFrom="page">
                <wp:posOffset>174535</wp:posOffset>
              </wp:positionV>
              <wp:extent cx="7204457" cy="10148534"/>
              <wp:effectExtent l="0" t="0" r="0" b="0"/>
              <wp:wrapNone/>
              <wp:docPr id="1073741825" name="officeArt object" descr="Prostoką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4457" cy="10148534"/>
                      </a:xfrm>
                      <a:prstGeom prst="rect">
                        <a:avLst/>
                      </a:prstGeom>
                      <a:noFill/>
                      <a:ln w="6350" cap="flat">
                        <a:solidFill>
                          <a:srgbClr val="000000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14.0pt;margin-top:13.7pt;width:567.3pt;height:799.1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0.5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37BE4"/>
    <w:multiLevelType w:val="hybridMultilevel"/>
    <w:tmpl w:val="6F5EC87C"/>
    <w:styleLink w:val="Kreski"/>
    <w:lvl w:ilvl="0" w:tplc="C6A2D8C4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6F9E87E6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F0C8BB32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1EA04524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C65E9DBC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ABBA7ECE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1C205810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B6DC8818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8DD8354E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1" w15:restartNumberingAfterBreak="0">
    <w:nsid w:val="1F5955EC"/>
    <w:multiLevelType w:val="hybridMultilevel"/>
    <w:tmpl w:val="475E52AE"/>
    <w:numStyleLink w:val="Numery"/>
  </w:abstractNum>
  <w:abstractNum w:abstractNumId="2" w15:restartNumberingAfterBreak="0">
    <w:nsid w:val="23BB74D0"/>
    <w:multiLevelType w:val="hybridMultilevel"/>
    <w:tmpl w:val="32207C7A"/>
    <w:lvl w:ilvl="0" w:tplc="AFBAECA4">
      <w:start w:val="1"/>
      <w:numFmt w:val="bullet"/>
      <w:lvlText w:val="-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D89EC220">
      <w:start w:val="1"/>
      <w:numFmt w:val="bullet"/>
      <w:lvlText w:val="-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2" w:tplc="EFC88DFC">
      <w:start w:val="1"/>
      <w:numFmt w:val="bullet"/>
      <w:lvlText w:val="-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3" w:tplc="6FDCCB8C">
      <w:start w:val="1"/>
      <w:numFmt w:val="bullet"/>
      <w:lvlText w:val="-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4" w:tplc="50DA542C">
      <w:start w:val="1"/>
      <w:numFmt w:val="bullet"/>
      <w:lvlText w:val="-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5" w:tplc="92E25E24">
      <w:start w:val="1"/>
      <w:numFmt w:val="bullet"/>
      <w:lvlText w:val="-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6" w:tplc="FC32A8F2">
      <w:start w:val="1"/>
      <w:numFmt w:val="bullet"/>
      <w:lvlText w:val="-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7" w:tplc="C2688D14">
      <w:start w:val="1"/>
      <w:numFmt w:val="bullet"/>
      <w:lvlText w:val="-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8" w:tplc="B02C1EEA">
      <w:start w:val="1"/>
      <w:numFmt w:val="bullet"/>
      <w:lvlText w:val="-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</w:abstractNum>
  <w:abstractNum w:abstractNumId="3" w15:restartNumberingAfterBreak="0">
    <w:nsid w:val="2E924240"/>
    <w:multiLevelType w:val="hybridMultilevel"/>
    <w:tmpl w:val="C91A818C"/>
    <w:lvl w:ilvl="0" w:tplc="4F084772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1EF9E4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3C1152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D4517A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70942A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E44510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E664FE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F092D6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AC330A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FC26F03"/>
    <w:multiLevelType w:val="hybridMultilevel"/>
    <w:tmpl w:val="475E52AE"/>
    <w:styleLink w:val="Numery"/>
    <w:lvl w:ilvl="0" w:tplc="657E1EA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8043F0">
      <w:start w:val="1"/>
      <w:numFmt w:val="decimal"/>
      <w:lvlText w:val="%2."/>
      <w:lvlJc w:val="left"/>
      <w:pPr>
        <w:ind w:left="75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EA2214">
      <w:start w:val="1"/>
      <w:numFmt w:val="decimal"/>
      <w:lvlText w:val="%3."/>
      <w:lvlJc w:val="left"/>
      <w:pPr>
        <w:ind w:left="111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2C4060">
      <w:start w:val="1"/>
      <w:numFmt w:val="decimal"/>
      <w:lvlText w:val="%4."/>
      <w:lvlJc w:val="left"/>
      <w:pPr>
        <w:ind w:left="147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CC6BFA">
      <w:start w:val="1"/>
      <w:numFmt w:val="decimal"/>
      <w:lvlText w:val="%5."/>
      <w:lvlJc w:val="left"/>
      <w:pPr>
        <w:ind w:left="183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D0B8B0">
      <w:start w:val="1"/>
      <w:numFmt w:val="decimal"/>
      <w:lvlText w:val="%6."/>
      <w:lvlJc w:val="left"/>
      <w:pPr>
        <w:ind w:left="219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64C598">
      <w:start w:val="1"/>
      <w:numFmt w:val="decimal"/>
      <w:lvlText w:val="%7."/>
      <w:lvlJc w:val="left"/>
      <w:pPr>
        <w:ind w:left="255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DEB8BE">
      <w:start w:val="1"/>
      <w:numFmt w:val="decimal"/>
      <w:lvlText w:val="%8."/>
      <w:lvlJc w:val="left"/>
      <w:pPr>
        <w:ind w:left="291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E4C1D0">
      <w:start w:val="1"/>
      <w:numFmt w:val="decimal"/>
      <w:lvlText w:val="%9."/>
      <w:lvlJc w:val="left"/>
      <w:pPr>
        <w:ind w:left="327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C840E11"/>
    <w:multiLevelType w:val="hybridMultilevel"/>
    <w:tmpl w:val="969ED566"/>
    <w:lvl w:ilvl="0" w:tplc="4CE68530">
      <w:start w:val="1"/>
      <w:numFmt w:val="bullet"/>
      <w:lvlText w:val="-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1" w:tplc="2D22C692">
      <w:start w:val="1"/>
      <w:numFmt w:val="bullet"/>
      <w:lvlText w:val="-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2" w:tplc="679E9BD6">
      <w:start w:val="1"/>
      <w:numFmt w:val="bullet"/>
      <w:lvlText w:val="-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3" w:tplc="0FD6CF0C">
      <w:start w:val="1"/>
      <w:numFmt w:val="bullet"/>
      <w:lvlText w:val="-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4" w:tplc="98B8371C">
      <w:start w:val="1"/>
      <w:numFmt w:val="bullet"/>
      <w:lvlText w:val="-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5" w:tplc="AFE6923E">
      <w:start w:val="1"/>
      <w:numFmt w:val="bullet"/>
      <w:lvlText w:val="-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6" w:tplc="F1747076">
      <w:start w:val="1"/>
      <w:numFmt w:val="bullet"/>
      <w:lvlText w:val="-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7" w:tplc="F48081E6">
      <w:start w:val="1"/>
      <w:numFmt w:val="bullet"/>
      <w:lvlText w:val="-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  <w:lvl w:ilvl="8" w:tplc="D0BA0DEA">
      <w:start w:val="1"/>
      <w:numFmt w:val="bullet"/>
      <w:lvlText w:val="-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4"/>
        <w:szCs w:val="24"/>
        <w:highlight w:val="none"/>
        <w:vertAlign w:val="baseline"/>
      </w:rPr>
    </w:lvl>
  </w:abstractNum>
  <w:abstractNum w:abstractNumId="6" w15:restartNumberingAfterBreak="0">
    <w:nsid w:val="70466D3F"/>
    <w:multiLevelType w:val="hybridMultilevel"/>
    <w:tmpl w:val="6F5EC87C"/>
    <w:numStyleLink w:val="Kreski"/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1"/>
    <w:lvlOverride w:ilvl="0">
      <w:lvl w:ilvl="0" w:tplc="4B44D236">
        <w:start w:val="1"/>
        <w:numFmt w:val="decimal"/>
        <w:lvlText w:val="%1."/>
        <w:lvlJc w:val="left"/>
        <w:pPr>
          <w:ind w:left="39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BC0B43A">
        <w:start w:val="1"/>
        <w:numFmt w:val="decimal"/>
        <w:lvlText w:val="%2."/>
        <w:lvlJc w:val="left"/>
        <w:pPr>
          <w:ind w:left="75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83A340A">
        <w:start w:val="1"/>
        <w:numFmt w:val="decimal"/>
        <w:lvlText w:val="%3."/>
        <w:lvlJc w:val="left"/>
        <w:pPr>
          <w:ind w:left="111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B721C7E">
        <w:start w:val="1"/>
        <w:numFmt w:val="decimal"/>
        <w:lvlText w:val="%4."/>
        <w:lvlJc w:val="left"/>
        <w:pPr>
          <w:ind w:left="147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624A564">
        <w:start w:val="1"/>
        <w:numFmt w:val="decimal"/>
        <w:lvlText w:val="%5."/>
        <w:lvlJc w:val="left"/>
        <w:pPr>
          <w:ind w:left="183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B5CEEBC">
        <w:start w:val="1"/>
        <w:numFmt w:val="decimal"/>
        <w:lvlText w:val="%6."/>
        <w:lvlJc w:val="left"/>
        <w:pPr>
          <w:ind w:left="219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F46F3F8">
        <w:start w:val="1"/>
        <w:numFmt w:val="decimal"/>
        <w:lvlText w:val="%7."/>
        <w:lvlJc w:val="left"/>
        <w:pPr>
          <w:ind w:left="255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250AEDC">
        <w:start w:val="1"/>
        <w:numFmt w:val="decimal"/>
        <w:lvlText w:val="%8."/>
        <w:lvlJc w:val="left"/>
        <w:pPr>
          <w:ind w:left="291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24827A6">
        <w:start w:val="1"/>
        <w:numFmt w:val="decimal"/>
        <w:lvlText w:val="%9."/>
        <w:lvlJc w:val="left"/>
        <w:pPr>
          <w:ind w:left="327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D32"/>
    <w:rsid w:val="000B61CC"/>
    <w:rsid w:val="00117772"/>
    <w:rsid w:val="00244E0F"/>
    <w:rsid w:val="002D0D32"/>
    <w:rsid w:val="0036392A"/>
    <w:rsid w:val="003A439B"/>
    <w:rsid w:val="00461675"/>
    <w:rsid w:val="00462E04"/>
    <w:rsid w:val="00480835"/>
    <w:rsid w:val="004D18E1"/>
    <w:rsid w:val="004F5EAA"/>
    <w:rsid w:val="00577CB6"/>
    <w:rsid w:val="00594F8D"/>
    <w:rsid w:val="005A7757"/>
    <w:rsid w:val="006C1E63"/>
    <w:rsid w:val="0080687F"/>
    <w:rsid w:val="00891197"/>
    <w:rsid w:val="00896DB3"/>
    <w:rsid w:val="008B2F1F"/>
    <w:rsid w:val="00984B1F"/>
    <w:rsid w:val="00B07EA9"/>
    <w:rsid w:val="00BA2D74"/>
    <w:rsid w:val="00CA4685"/>
    <w:rsid w:val="00CC21F2"/>
    <w:rsid w:val="00D93198"/>
    <w:rsid w:val="00DC0F83"/>
    <w:rsid w:val="00E801A5"/>
    <w:rsid w:val="00F709F2"/>
    <w:rsid w:val="00F95347"/>
    <w:rsid w:val="00FD26B5"/>
    <w:rsid w:val="00FE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A83FA"/>
  <w15:docId w15:val="{CB56E1F2-6AFF-49BA-BA99-33BE4E195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Latin Modern Roman 9 Regular" w:hAnsi="Latin Modern Roman 9 Regular" w:cs="Arial Unicode MS"/>
      <w:color w:val="000000"/>
      <w:sz w:val="18"/>
      <w:szCs w:val="18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pPr>
      <w:spacing w:after="120"/>
      <w:jc w:val="center"/>
    </w:pPr>
    <w:rPr>
      <w:rFonts w:ascii="Latin Modern Roman Demi 10 Regu" w:hAnsi="Latin Modern Roman Demi 10 Regu" w:cs="Arial Unicode MS"/>
      <w:color w:val="000000"/>
      <w:sz w:val="28"/>
      <w:szCs w:val="28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pPr>
      <w:jc w:val="both"/>
    </w:pPr>
    <w:rPr>
      <w:rFonts w:ascii="Latin Modern Roman 10 Regular" w:eastAsia="Latin Modern Roman 10 Regular" w:hAnsi="Latin Modern Roman 10 Regular" w:cs="Latin Modern Roman 10 Regular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Pr>
      <w:rFonts w:ascii="Latin Modern Roman Demi 10 Regu" w:eastAsia="Latin Modern Roman Demi 10 Regu" w:hAnsi="Latin Modern Roman Demi 10 Regu" w:cs="Latin Modern Roman Demi 10 Regu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Latin Modern Roman 10 Regular" w:eastAsia="Latin Modern Roman 10 Regular" w:hAnsi="Latin Modern Roman 10 Regular" w:cs="Latin Modern Roman 10 Regular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pPr>
      <w:keepNext/>
      <w:spacing w:before="200" w:after="80"/>
      <w:jc w:val="both"/>
    </w:pPr>
    <w:rPr>
      <w:rFonts w:ascii="Latin Modern Roman 12 Bold" w:hAnsi="Latin Modern Roman 12 Bold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2"/>
      </w:numPr>
    </w:pPr>
  </w:style>
  <w:style w:type="numbering" w:customStyle="1" w:styleId="Kreski">
    <w:name w:val="Kreski"/>
    <w:pPr>
      <w:numPr>
        <w:numId w:val="4"/>
      </w:numPr>
    </w:pPr>
  </w:style>
  <w:style w:type="character" w:customStyle="1" w:styleId="Wyrnienie">
    <w:name w:val="Wyróżnienie"/>
    <w:rPr>
      <w:b/>
      <w:bCs/>
    </w:rPr>
  </w:style>
  <w:style w:type="character" w:customStyle="1" w:styleId="Hyperlink0">
    <w:name w:val="Hyperlink.0"/>
    <w:basedOn w:val="Hipercze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E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5E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5EAA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5E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5EAA"/>
    <w:rPr>
      <w:b/>
      <w:bCs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E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EA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Baranowska@mc.gov.pl?subject=Raport%20WIIP%20KRM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hmura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onika.Glebocka@mc.gov.pl?subject=Raport%20WIIP%20KRMC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Latin Modern Roman Demi 10 Regular"/>
        <a:ea typeface="Latin Modern Roman Demi 10 Regular"/>
        <a:cs typeface="Latin Modern Roman Demi 10 Regular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Latin Modern Roman 10 Regular"/>
            <a:ea typeface="Latin Modern Roman 10 Regular"/>
            <a:cs typeface="Latin Modern Roman 10 Regular"/>
            <a:sym typeface="Latin Modern Roman 10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1784</Words>
  <Characters>10705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Przesław Magdalena</dc:creator>
  <cp:lastModifiedBy>Przesław Magdalena</cp:lastModifiedBy>
  <cp:revision>3</cp:revision>
  <dcterms:created xsi:type="dcterms:W3CDTF">2022-06-08T13:35:00Z</dcterms:created>
  <dcterms:modified xsi:type="dcterms:W3CDTF">2022-06-08T13:49:00Z</dcterms:modified>
</cp:coreProperties>
</file>