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30" w:rsidRPr="003773F3" w:rsidRDefault="00B348AF" w:rsidP="002D3D39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ascii="Arial" w:hAnsi="Arial" w:cs="Arial"/>
        </w:rPr>
      </w:pPr>
      <w:r w:rsidRPr="003773F3">
        <w:rPr>
          <w:rFonts w:ascii="Arial" w:hAnsi="Arial" w:cs="Arial"/>
        </w:rPr>
        <w:t xml:space="preserve">Data: </w:t>
      </w:r>
      <w:bookmarkStart w:id="0" w:name="ezdDataPodpisu"/>
      <w:r w:rsidRPr="003773F3">
        <w:rPr>
          <w:rFonts w:ascii="Arial" w:hAnsi="Arial" w:cs="Arial"/>
        </w:rPr>
        <w:t>04 grudnia 2020</w:t>
      </w:r>
      <w:bookmarkEnd w:id="0"/>
    </w:p>
    <w:p w:rsidR="00420AC6" w:rsidRPr="003773F3" w:rsidRDefault="00B348AF" w:rsidP="00EA210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</w:rPr>
      </w:pPr>
      <w:r w:rsidRPr="003773F3">
        <w:rPr>
          <w:rFonts w:ascii="Arial" w:hAnsi="Arial" w:cs="Arial"/>
        </w:rPr>
        <w:t xml:space="preserve">Znak sprawy: </w:t>
      </w:r>
      <w:bookmarkStart w:id="1" w:name="ezdSprawaZnak"/>
      <w:r w:rsidRPr="003773F3">
        <w:rPr>
          <w:rFonts w:ascii="Arial" w:hAnsi="Arial" w:cs="Arial"/>
        </w:rPr>
        <w:t>DAB-II.053.4.2020</w:t>
      </w:r>
      <w:bookmarkEnd w:id="1"/>
    </w:p>
    <w:p w:rsidR="00AC6F29" w:rsidRPr="003773F3" w:rsidRDefault="009670E8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9670E8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9670E8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AC6F29" w:rsidRPr="003773F3" w:rsidRDefault="009670E8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CA395F" w:rsidRPr="003773F3" w:rsidRDefault="009670E8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9653A2" w:rsidRPr="003773F3" w:rsidRDefault="009670E8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D12A92" w:rsidRPr="003773F3" w:rsidRDefault="009670E8" w:rsidP="00880FD8">
      <w:pPr>
        <w:ind w:left="5387"/>
        <w:rPr>
          <w:rFonts w:ascii="Arial" w:hAnsi="Arial" w:cs="Arial"/>
          <w:bCs/>
        </w:rPr>
      </w:pPr>
    </w:p>
    <w:p w:rsidR="001906C9" w:rsidRPr="001906C9" w:rsidRDefault="00B348AF" w:rsidP="00022B1C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  <w:spacing w:val="4"/>
        </w:rPr>
      </w:pPr>
      <w:r w:rsidRPr="001906C9">
        <w:rPr>
          <w:rFonts w:ascii="Arial" w:hAnsi="Arial" w:cs="Arial"/>
          <w:spacing w:val="4"/>
        </w:rPr>
        <w:t>Pani</w:t>
      </w:r>
    </w:p>
    <w:p w:rsidR="00DB5E0A" w:rsidRDefault="009670E8" w:rsidP="00DB5E0A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lang w:eastAsia="en-US"/>
        </w:rPr>
      </w:pPr>
    </w:p>
    <w:p w:rsidR="001C6B09" w:rsidRDefault="001C6B09" w:rsidP="00DB5E0A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lang w:eastAsia="en-US"/>
        </w:rPr>
      </w:pPr>
      <w:bookmarkStart w:id="2" w:name="_GoBack"/>
      <w:bookmarkEnd w:id="2"/>
    </w:p>
    <w:p w:rsidR="00E73E40" w:rsidRDefault="009670E8" w:rsidP="00DB5E0A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lang w:eastAsia="en-US"/>
        </w:rPr>
      </w:pPr>
    </w:p>
    <w:p w:rsidR="00DB5E0A" w:rsidRDefault="00B348AF" w:rsidP="00DB5E0A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ZAWIADOMIENIE O SPOSOBIE ZAŁATWIENIA PETYCJI</w:t>
      </w:r>
    </w:p>
    <w:p w:rsidR="00DB5E0A" w:rsidRPr="00580A29" w:rsidRDefault="00B348AF" w:rsidP="00580A2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lang w:eastAsia="en-US"/>
        </w:rPr>
      </w:pPr>
      <w:r w:rsidRPr="00580A29">
        <w:rPr>
          <w:rFonts w:ascii="Arial" w:hAnsi="Arial" w:cs="Arial"/>
          <w:lang w:eastAsia="en-US"/>
        </w:rPr>
        <w:t xml:space="preserve">Minister Rozwoju, Pracy i Technologii działając na podstawie art. 13 ust. 1 ustawy </w:t>
      </w:r>
      <w:r w:rsidRPr="00580A29">
        <w:rPr>
          <w:rFonts w:ascii="Arial" w:hAnsi="Arial" w:cs="Arial"/>
          <w:lang w:eastAsia="en-US"/>
        </w:rPr>
        <w:br/>
        <w:t xml:space="preserve">z dnia 11 lipca 2014 r. o petycjach (Dz. U. z 2018 r. poz. 870) zawiadamia, </w:t>
      </w:r>
      <w:r>
        <w:rPr>
          <w:rFonts w:ascii="Arial" w:hAnsi="Arial" w:cs="Arial"/>
          <w:lang w:eastAsia="en-US"/>
        </w:rPr>
        <w:br/>
      </w:r>
      <w:r w:rsidRPr="00580A29">
        <w:rPr>
          <w:rFonts w:ascii="Arial" w:hAnsi="Arial" w:cs="Arial"/>
          <w:lang w:eastAsia="en-US"/>
        </w:rPr>
        <w:t>że po rozpatrzeniu Pani petycji</w:t>
      </w:r>
      <w:r>
        <w:rPr>
          <w:rStyle w:val="Odwoanieprzypisudolnego"/>
          <w:rFonts w:ascii="Arial" w:hAnsi="Arial" w:cs="Arial"/>
          <w:lang w:eastAsia="en-US"/>
        </w:rPr>
        <w:footnoteReference w:id="1"/>
      </w:r>
      <w:r w:rsidRPr="00580A29">
        <w:rPr>
          <w:rFonts w:ascii="Arial" w:hAnsi="Arial" w:cs="Arial"/>
          <w:lang w:eastAsia="en-US"/>
        </w:rPr>
        <w:t xml:space="preserve"> z dnia 9 września 2020 r., w sprawie</w:t>
      </w:r>
      <w:r w:rsidRPr="00580A29">
        <w:rPr>
          <w:rFonts w:ascii="Arial" w:hAnsi="Arial" w:cs="Arial"/>
        </w:rPr>
        <w:t xml:space="preserve"> </w:t>
      </w:r>
      <w:r w:rsidRPr="00580A29">
        <w:rPr>
          <w:rFonts w:ascii="Arial" w:hAnsi="Arial" w:cs="Arial"/>
          <w:lang w:eastAsia="en-US"/>
        </w:rPr>
        <w:t xml:space="preserve">wprowadzenia zmian </w:t>
      </w:r>
      <w:r w:rsidRPr="00580A29">
        <w:rPr>
          <w:rFonts w:ascii="Arial" w:hAnsi="Arial" w:cs="Arial"/>
          <w:lang w:eastAsia="en-US"/>
        </w:rPr>
        <w:br/>
        <w:t xml:space="preserve">w przepisach </w:t>
      </w:r>
      <w:r w:rsidRPr="00580A29">
        <w:rPr>
          <w:rFonts w:ascii="Arial" w:hAnsi="Arial" w:cs="Arial"/>
          <w:iCs/>
          <w:lang w:eastAsia="en-US"/>
        </w:rPr>
        <w:t>ustawy z dnia 7 lipca 1994 r. – Prawo budowlane</w:t>
      </w:r>
      <w:r w:rsidRPr="00580A29">
        <w:rPr>
          <w:rFonts w:ascii="Arial" w:hAnsi="Arial" w:cs="Arial"/>
          <w:i/>
          <w:iCs/>
          <w:lang w:eastAsia="en-US"/>
        </w:rPr>
        <w:t xml:space="preserve"> </w:t>
      </w:r>
      <w:r w:rsidRPr="00580A29">
        <w:rPr>
          <w:rFonts w:ascii="Arial" w:hAnsi="Arial" w:cs="Arial"/>
          <w:lang w:eastAsia="en-US"/>
        </w:rPr>
        <w:t xml:space="preserve">(Dz. U. z 2020 r. </w:t>
      </w:r>
      <w:r w:rsidRPr="00580A29">
        <w:rPr>
          <w:rFonts w:ascii="Arial" w:hAnsi="Arial" w:cs="Arial"/>
          <w:lang w:eastAsia="en-US"/>
        </w:rPr>
        <w:br/>
        <w:t>poz. 1333)</w:t>
      </w:r>
      <w:r w:rsidRPr="00580A29">
        <w:rPr>
          <w:rFonts w:ascii="Arial" w:hAnsi="Arial" w:cs="Arial"/>
        </w:rPr>
        <w:t>, dalej jako „Pb”</w:t>
      </w:r>
      <w:r>
        <w:rPr>
          <w:rFonts w:ascii="Arial" w:hAnsi="Arial" w:cs="Arial"/>
        </w:rPr>
        <w:t>,</w:t>
      </w:r>
      <w:r w:rsidRPr="00580A29">
        <w:rPr>
          <w:rFonts w:ascii="Arial" w:hAnsi="Arial" w:cs="Arial"/>
        </w:rPr>
        <w:t xml:space="preserve"> zobowiązujących inwestora do dokonania, przed rozpoczęciem robót budowlanych, badań pirotechnicznych i innych, dotyczących znalezisk </w:t>
      </w:r>
      <w:r w:rsidRPr="00580A29">
        <w:rPr>
          <w:rFonts w:ascii="Arial" w:hAnsi="Arial" w:cs="Arial"/>
          <w:lang w:eastAsia="en-US"/>
        </w:rPr>
        <w:t>o znaczeniu historycznym (np. materiały kultury łużyckiej, zwłoki i materiały wojenne z</w:t>
      </w:r>
      <w:r>
        <w:rPr>
          <w:rFonts w:ascii="Arial" w:hAnsi="Arial" w:cs="Arial"/>
          <w:lang w:eastAsia="en-US"/>
        </w:rPr>
        <w:t>e</w:t>
      </w:r>
      <w:r w:rsidRPr="00580A29">
        <w:rPr>
          <w:rFonts w:ascii="Arial" w:hAnsi="Arial" w:cs="Arial"/>
          <w:lang w:eastAsia="en-US"/>
        </w:rPr>
        <w:t xml:space="preserve"> średniowiecza) informuję, iż petycja nie zasługuje na uwzględnienie.</w:t>
      </w:r>
    </w:p>
    <w:p w:rsidR="00F37CF3" w:rsidRPr="00580A29" w:rsidRDefault="009670E8" w:rsidP="00580A29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lang w:eastAsia="en-US"/>
        </w:rPr>
      </w:pPr>
    </w:p>
    <w:p w:rsidR="00DB5E0A" w:rsidRPr="00580A29" w:rsidRDefault="00B348AF" w:rsidP="00580A29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lang w:eastAsia="en-US"/>
        </w:rPr>
      </w:pPr>
      <w:r w:rsidRPr="00580A29">
        <w:rPr>
          <w:rFonts w:ascii="Arial" w:hAnsi="Arial" w:cs="Arial"/>
          <w:b/>
          <w:bCs/>
          <w:lang w:eastAsia="en-US"/>
        </w:rPr>
        <w:t>UZASADNIENIE</w:t>
      </w:r>
    </w:p>
    <w:p w:rsidR="00692478" w:rsidRPr="00580A29" w:rsidRDefault="009670E8" w:rsidP="00580A29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lang w:eastAsia="en-US"/>
        </w:rPr>
      </w:pPr>
    </w:p>
    <w:p w:rsidR="005D442E" w:rsidRPr="00580A29" w:rsidRDefault="00B348AF" w:rsidP="00580A2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lang w:eastAsia="en-US"/>
        </w:rPr>
      </w:pPr>
      <w:r w:rsidRPr="00580A29">
        <w:rPr>
          <w:rFonts w:ascii="Arial" w:hAnsi="Arial" w:cs="Arial"/>
          <w:lang w:eastAsia="en-US"/>
        </w:rPr>
        <w:t xml:space="preserve">W ww. petycji wnosi Pani o wprowadzenie w ustawie Pb przepisów zobowiązujących inwestora,  przed rozpoczęciem robót budowlanych, do przeprowadzenia, na działce na której będą prowadzone roboty budowlane oraz na działce z nią sąsiadującej, badań pirotechnicznych celem wyeliminowania ewentualnych niewybuchów oraz badań w celu zabezpieczenia cennych znalezisk, takich jak np.: materiały kultury łużyckiej, zwłoki </w:t>
      </w:r>
      <w:r w:rsidRPr="00580A29">
        <w:rPr>
          <w:rFonts w:ascii="Arial" w:hAnsi="Arial" w:cs="Arial"/>
          <w:lang w:eastAsia="en-US"/>
        </w:rPr>
        <w:br/>
        <w:t xml:space="preserve">i materiały wojenne z średniowiecza. </w:t>
      </w:r>
    </w:p>
    <w:p w:rsidR="00E73E40" w:rsidRPr="00813601" w:rsidRDefault="00B348AF" w:rsidP="0069032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lang w:eastAsia="en-US"/>
        </w:rPr>
      </w:pPr>
      <w:r w:rsidRPr="00580A29">
        <w:rPr>
          <w:rFonts w:ascii="Arial" w:hAnsi="Arial" w:cs="Arial"/>
          <w:lang w:eastAsia="en-US"/>
        </w:rPr>
        <w:t xml:space="preserve">W pierwszej kolejności należy zaznaczyć, że zgodnie z art. 1 Pb ustawa ta normuje działalność obejmującą sprawy projektowania, budowy, utrzymania i rozbiórki obiektów budowlanych oraz określa zasady działania organów administracji publicznej w tych </w:t>
      </w:r>
      <w:r w:rsidRPr="00580A29">
        <w:rPr>
          <w:rFonts w:ascii="Arial" w:hAnsi="Arial" w:cs="Arial"/>
          <w:lang w:eastAsia="en-US"/>
        </w:rPr>
        <w:lastRenderedPageBreak/>
        <w:t xml:space="preserve">dziedzinach. Tym samym przedmiotowa ustawa nie odnosi się do kwestii przeprowadzania badań pirotechnicznych, czy archeologicznych, ponieważ stanowią one </w:t>
      </w:r>
      <w:r w:rsidRPr="00813601">
        <w:rPr>
          <w:rFonts w:ascii="Arial" w:hAnsi="Arial" w:cs="Arial"/>
          <w:lang w:eastAsia="en-US"/>
        </w:rPr>
        <w:t xml:space="preserve">przedmiot regulacji innych ustaw. </w:t>
      </w:r>
    </w:p>
    <w:p w:rsidR="00690327" w:rsidRPr="00813601" w:rsidRDefault="00B348AF" w:rsidP="00690327">
      <w:pPr>
        <w:spacing w:before="120" w:after="120" w:line="360" w:lineRule="auto"/>
        <w:jc w:val="both"/>
        <w:rPr>
          <w:rFonts w:ascii="Arial" w:hAnsi="Arial" w:cs="Arial"/>
        </w:rPr>
      </w:pPr>
      <w:r w:rsidRPr="00813601">
        <w:rPr>
          <w:rFonts w:ascii="Arial" w:hAnsi="Arial" w:cs="Arial"/>
        </w:rPr>
        <w:t xml:space="preserve">Kwestie związane z oczyszczaniem terenów z materiałów wybuchowych </w:t>
      </w:r>
      <w:r w:rsidRPr="00813601">
        <w:rPr>
          <w:rFonts w:ascii="Arial" w:hAnsi="Arial" w:cs="Arial"/>
        </w:rPr>
        <w:br/>
        <w:t xml:space="preserve">i niebezpiecznych uregulowane są w ustawie z dnia 13 czerwca 2019 r. o wykonywaniu działalności gospodarczej w zakresie wytwarzania i obrotu materiałami wybuchowymi, bronią, amunicją oraz wyrobami i technologią o przeznaczeniu wojskowym lub policyjnym (Dz. U. z 2020 r. poz. 1545). Zgodnie z art. 130 ust.1 ww. ustawy o znalezieniu wszelkiego rodzaju materiałów wybuchowych i niebezpiecznych zawiadamia się najbliższy urząd administracji rządowej lub samorządowej, jednostkę organizacyjną Policji lub Państwowej Straży Pożarnej. Zgodnie z art. 130 ust. 3 ww. ustawy oczyszczanie terenów z materiałów wybuchowych i niebezpiecznych wykonują przedsiębiorcy prowadzący działalność gospodarczą w tym zakresie. Oczyszczanie terenów z materiałów wybuchowych </w:t>
      </w:r>
      <w:r>
        <w:rPr>
          <w:rFonts w:ascii="Arial" w:hAnsi="Arial" w:cs="Arial"/>
        </w:rPr>
        <w:br/>
      </w:r>
      <w:r w:rsidRPr="00813601">
        <w:rPr>
          <w:rFonts w:ascii="Arial" w:hAnsi="Arial" w:cs="Arial"/>
        </w:rPr>
        <w:t xml:space="preserve">i niebezpiecznych pochodzenia wojskowego mogą wykonywać Siły Zbrojne Rzeczypospolitej Polskiej.  </w:t>
      </w:r>
    </w:p>
    <w:p w:rsidR="006E22D9" w:rsidRPr="0081151C" w:rsidRDefault="00B348AF" w:rsidP="0069032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Z kolei ustawą </w:t>
      </w:r>
      <w:r w:rsidRPr="00813601">
        <w:rPr>
          <w:rFonts w:ascii="Arial" w:hAnsi="Arial" w:cs="Arial"/>
          <w:lang w:eastAsia="en-US"/>
        </w:rPr>
        <w:t>właściwą dla spraw dotyczących znalezisk, co do których istnieje prawdopodobieństwo, że są one zabytkiem jest ustawa z dnia 23 lipca 2003 r. o ochronie zabytków i opiece nad zabytkami (Dz. U. z 2</w:t>
      </w:r>
      <w:r>
        <w:rPr>
          <w:rFonts w:ascii="Arial" w:hAnsi="Arial" w:cs="Arial"/>
          <w:lang w:eastAsia="en-US"/>
        </w:rPr>
        <w:t xml:space="preserve">020 r. poz. 282, z późn. zm.). </w:t>
      </w:r>
      <w:r w:rsidRPr="00580A29">
        <w:rPr>
          <w:rFonts w:ascii="Arial" w:hAnsi="Arial" w:cs="Arial"/>
          <w:lang w:eastAsia="en-US"/>
        </w:rPr>
        <w:t xml:space="preserve">Zabytkiem </w:t>
      </w:r>
      <w:r>
        <w:rPr>
          <w:rFonts w:ascii="Arial" w:hAnsi="Arial" w:cs="Arial"/>
          <w:lang w:eastAsia="en-US"/>
        </w:rPr>
        <w:br/>
      </w:r>
      <w:r w:rsidRPr="00580A29">
        <w:rPr>
          <w:rFonts w:ascii="Arial" w:hAnsi="Arial" w:cs="Arial"/>
          <w:lang w:eastAsia="en-US"/>
        </w:rPr>
        <w:t xml:space="preserve">w rozumieniu art. 3 pkt 1 ww. ustawy jest </w:t>
      </w:r>
      <w:r>
        <w:rPr>
          <w:rFonts w:ascii="Arial" w:hAnsi="Arial" w:cs="Arial"/>
        </w:rPr>
        <w:t>nieruchomość lub rzecz ruchoma</w:t>
      </w:r>
      <w:r w:rsidRPr="00580A29">
        <w:rPr>
          <w:rFonts w:ascii="Arial" w:hAnsi="Arial" w:cs="Arial"/>
        </w:rPr>
        <w:t xml:space="preserve">, </w:t>
      </w:r>
      <w:r w:rsidRPr="00580A29">
        <w:rPr>
          <w:rFonts w:ascii="Arial" w:hAnsi="Arial" w:cs="Arial"/>
        </w:rPr>
        <w:br/>
        <w:t xml:space="preserve">ich części lub zespoły, będące dziełem człowieka lub związane z jego działalnością </w:t>
      </w:r>
      <w:r w:rsidRPr="00580A29">
        <w:rPr>
          <w:rFonts w:ascii="Arial" w:hAnsi="Arial" w:cs="Arial"/>
        </w:rPr>
        <w:br/>
        <w:t xml:space="preserve">i stanowiące świadectwo minionej epoki bądź zdarzenia, których zachowanie leży </w:t>
      </w:r>
      <w:r w:rsidRPr="00580A29">
        <w:rPr>
          <w:rFonts w:ascii="Arial" w:hAnsi="Arial" w:cs="Arial"/>
        </w:rPr>
        <w:br/>
        <w:t xml:space="preserve">w interesie społecznym ze względu na posiadaną wartość historyczną, artystyczną </w:t>
      </w:r>
      <w:r>
        <w:rPr>
          <w:rFonts w:ascii="Arial" w:hAnsi="Arial" w:cs="Arial"/>
        </w:rPr>
        <w:br/>
      </w:r>
      <w:r w:rsidRPr="00580A29">
        <w:rPr>
          <w:rFonts w:ascii="Arial" w:hAnsi="Arial" w:cs="Arial"/>
        </w:rPr>
        <w:t xml:space="preserve">lub naukową. Wykaz obiektów podlegających ochronie i opiece </w:t>
      </w:r>
      <w:r>
        <w:rPr>
          <w:rFonts w:ascii="Arial" w:hAnsi="Arial" w:cs="Arial"/>
        </w:rPr>
        <w:t xml:space="preserve">zawiera art. 6 </w:t>
      </w:r>
      <w:r w:rsidRPr="00580A29">
        <w:rPr>
          <w:rFonts w:ascii="Arial" w:hAnsi="Arial" w:cs="Arial"/>
        </w:rPr>
        <w:t xml:space="preserve">ww. ustawy wymieniając wśród nich m.in. zabytki takie jak: cmentarze, pozostałości </w:t>
      </w:r>
      <w:r w:rsidRPr="0081151C">
        <w:rPr>
          <w:rFonts w:ascii="Arial" w:hAnsi="Arial" w:cs="Arial"/>
        </w:rPr>
        <w:t xml:space="preserve">terenowe pradziejowego i historycznego osadnictwa, czy relikty działalności gospodarczej, religijnej </w:t>
      </w:r>
      <w:r>
        <w:rPr>
          <w:rFonts w:ascii="Arial" w:hAnsi="Arial" w:cs="Arial"/>
        </w:rPr>
        <w:br/>
      </w:r>
      <w:r w:rsidRPr="0081151C">
        <w:rPr>
          <w:rFonts w:ascii="Arial" w:hAnsi="Arial" w:cs="Arial"/>
        </w:rPr>
        <w:t>i artystycznej.</w:t>
      </w:r>
    </w:p>
    <w:p w:rsidR="006E22D9" w:rsidRPr="0081151C" w:rsidRDefault="00B348AF" w:rsidP="0081151C">
      <w:pPr>
        <w:spacing w:before="120" w:after="120" w:line="360" w:lineRule="auto"/>
        <w:jc w:val="both"/>
        <w:rPr>
          <w:rFonts w:ascii="Arial" w:hAnsi="Arial" w:cs="Arial"/>
        </w:rPr>
      </w:pPr>
      <w:r w:rsidRPr="0081151C">
        <w:rPr>
          <w:rFonts w:ascii="Arial" w:hAnsi="Arial" w:cs="Arial"/>
        </w:rPr>
        <w:t>Formami ochrony zabytków, zgodnie z art. 7 ww. ustawy są:</w:t>
      </w:r>
    </w:p>
    <w:p w:rsidR="006E22D9" w:rsidRPr="0081151C" w:rsidRDefault="00B348AF" w:rsidP="00290B14">
      <w:pPr>
        <w:spacing w:before="120" w:after="120" w:line="360" w:lineRule="auto"/>
        <w:ind w:left="567"/>
        <w:jc w:val="both"/>
        <w:rPr>
          <w:rFonts w:ascii="Arial" w:hAnsi="Arial" w:cs="Arial"/>
        </w:rPr>
      </w:pPr>
      <w:bookmarkStart w:id="3" w:name="mip53177491"/>
      <w:bookmarkEnd w:id="3"/>
      <w:r w:rsidRPr="0081151C">
        <w:rPr>
          <w:rFonts w:ascii="Arial" w:hAnsi="Arial" w:cs="Arial"/>
        </w:rPr>
        <w:t>1) wpis do rejestru zabytków,</w:t>
      </w:r>
    </w:p>
    <w:p w:rsidR="006E22D9" w:rsidRPr="0081151C" w:rsidRDefault="00B348AF" w:rsidP="00290B14">
      <w:pPr>
        <w:spacing w:before="120" w:after="120" w:line="360" w:lineRule="auto"/>
        <w:ind w:left="567"/>
        <w:jc w:val="both"/>
        <w:rPr>
          <w:rFonts w:ascii="Arial" w:hAnsi="Arial" w:cs="Arial"/>
        </w:rPr>
      </w:pPr>
      <w:bookmarkStart w:id="4" w:name="mip53177492"/>
      <w:bookmarkEnd w:id="4"/>
      <w:r w:rsidRPr="0081151C">
        <w:rPr>
          <w:rFonts w:ascii="Arial" w:hAnsi="Arial" w:cs="Arial"/>
        </w:rPr>
        <w:t>1a) wpis na Listę Skarbów Dziedzictwa;</w:t>
      </w:r>
    </w:p>
    <w:p w:rsidR="006E22D9" w:rsidRPr="0081151C" w:rsidRDefault="00B348AF" w:rsidP="00290B14">
      <w:pPr>
        <w:spacing w:before="120" w:after="120" w:line="360" w:lineRule="auto"/>
        <w:ind w:left="567"/>
        <w:jc w:val="both"/>
        <w:rPr>
          <w:rFonts w:ascii="Arial" w:hAnsi="Arial" w:cs="Arial"/>
        </w:rPr>
      </w:pPr>
      <w:bookmarkStart w:id="5" w:name="mip53177493"/>
      <w:bookmarkEnd w:id="5"/>
      <w:r w:rsidRPr="0081151C">
        <w:rPr>
          <w:rFonts w:ascii="Arial" w:hAnsi="Arial" w:cs="Arial"/>
        </w:rPr>
        <w:t>2) uznanie za pomnik historii,</w:t>
      </w:r>
    </w:p>
    <w:p w:rsidR="006E22D9" w:rsidRPr="0081151C" w:rsidRDefault="00B348AF" w:rsidP="00290B14">
      <w:pPr>
        <w:spacing w:before="120" w:after="120" w:line="360" w:lineRule="auto"/>
        <w:ind w:left="567"/>
        <w:jc w:val="both"/>
        <w:rPr>
          <w:rFonts w:ascii="Arial" w:hAnsi="Arial" w:cs="Arial"/>
        </w:rPr>
      </w:pPr>
      <w:bookmarkStart w:id="6" w:name="mip53177494"/>
      <w:bookmarkEnd w:id="6"/>
      <w:r w:rsidRPr="0081151C">
        <w:rPr>
          <w:rFonts w:ascii="Arial" w:hAnsi="Arial" w:cs="Arial"/>
        </w:rPr>
        <w:t>3) utworzenie parku kulturowego,</w:t>
      </w:r>
    </w:p>
    <w:p w:rsidR="006E22D9" w:rsidRPr="0081151C" w:rsidRDefault="00B348AF" w:rsidP="00290B14">
      <w:pPr>
        <w:spacing w:before="120" w:after="120" w:line="360" w:lineRule="auto"/>
        <w:ind w:left="567"/>
        <w:jc w:val="both"/>
        <w:rPr>
          <w:rFonts w:ascii="Arial" w:hAnsi="Arial" w:cs="Arial"/>
        </w:rPr>
      </w:pPr>
      <w:bookmarkStart w:id="7" w:name="mip53177495"/>
      <w:bookmarkEnd w:id="7"/>
      <w:r w:rsidRPr="0081151C">
        <w:rPr>
          <w:rFonts w:ascii="Arial" w:hAnsi="Arial" w:cs="Arial"/>
        </w:rPr>
        <w:t xml:space="preserve">4) ustalenia ochrony w miejscowym planie zagospodarowania przestrzennego albo </w:t>
      </w:r>
      <w:r w:rsidRPr="0081151C">
        <w:rPr>
          <w:rFonts w:ascii="Arial" w:hAnsi="Arial" w:cs="Arial"/>
        </w:rPr>
        <w:br/>
        <w:t xml:space="preserve">w decyzji o ustaleniu lokalizacji inwestycji celu publicznego, decyzji o warunkach </w:t>
      </w:r>
      <w:r w:rsidRPr="0081151C">
        <w:rPr>
          <w:rFonts w:ascii="Arial" w:hAnsi="Arial" w:cs="Arial"/>
        </w:rPr>
        <w:lastRenderedPageBreak/>
        <w:t>zabudowy, decyzji o zezwoleniu na realizację inwestycji drogowej, decyzji o ustaleniu lokalizacji linii kolejowej lub decyzji o zezwoleniu na realizację inwestycji w zakresie lotniska użytku publicznego.</w:t>
      </w:r>
    </w:p>
    <w:p w:rsidR="006A7131" w:rsidRPr="0081151C" w:rsidRDefault="00B348AF" w:rsidP="0081151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81151C">
        <w:rPr>
          <w:rFonts w:ascii="Arial" w:hAnsi="Arial" w:cs="Arial"/>
        </w:rPr>
        <w:t xml:space="preserve">Co do zasady ww. formy ochrony zabytków dotyczą raczej zabytków ujawnionych (znanych organom ochrony zabytków). Jednakże ww. ustawa zawiera również przepisy gwarantujące ochronę zabytków odkrytych dopiero w trakcie prowadzenia robót budowlanych. Bowiem zgodnie z art. 32 ust. 1 ww. ustawy </w:t>
      </w:r>
      <w:bookmarkStart w:id="8" w:name="mip53177728"/>
      <w:bookmarkEnd w:id="8"/>
      <w:r w:rsidRPr="0081151C">
        <w:rPr>
          <w:rFonts w:ascii="Arial" w:hAnsi="Arial" w:cs="Arial"/>
        </w:rPr>
        <w:t>kto, w trakcie prowadzenia robót budowlanych lub ziemnych, odkrył przedmiot, co do którego istnieje przypuszczenie, iż jest on zabytkiem, jest obowiązany:</w:t>
      </w:r>
    </w:p>
    <w:p w:rsidR="00290B14" w:rsidRDefault="00B348AF" w:rsidP="00290B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bookmarkStart w:id="9" w:name="mip53177730"/>
      <w:bookmarkEnd w:id="9"/>
      <w:r w:rsidRPr="0081151C">
        <w:rPr>
          <w:rFonts w:ascii="Arial" w:hAnsi="Arial" w:cs="Arial"/>
        </w:rPr>
        <w:t>wstrzymać wszelkie roboty mogące uszkodzić lub zniszczyć odkryty przedmiot,</w:t>
      </w:r>
      <w:bookmarkStart w:id="10" w:name="mip53177731"/>
      <w:bookmarkEnd w:id="10"/>
    </w:p>
    <w:p w:rsidR="00290B14" w:rsidRDefault="00B348AF" w:rsidP="00290B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290B14">
        <w:rPr>
          <w:rFonts w:ascii="Arial" w:hAnsi="Arial" w:cs="Arial"/>
        </w:rPr>
        <w:t>zabezpieczyć, przy użyciu dostępnych środków, ten przedmiot i miejsce jego odkrycia,</w:t>
      </w:r>
      <w:bookmarkStart w:id="11" w:name="mip53177732"/>
      <w:bookmarkEnd w:id="11"/>
    </w:p>
    <w:p w:rsidR="006A7131" w:rsidRPr="00290B14" w:rsidRDefault="00B348AF" w:rsidP="00290B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290B14">
        <w:rPr>
          <w:rFonts w:ascii="Arial" w:hAnsi="Arial" w:cs="Arial"/>
        </w:rPr>
        <w:t>niezwłocznie zawiadomić o tym właściwego wojewódzkiego konserwatora zabytków, a jeśli nie jest to możliwe, właściwego wójta (burmistrza, prezydenta miasta).</w:t>
      </w:r>
    </w:p>
    <w:p w:rsidR="00E73E40" w:rsidRPr="0081151C" w:rsidRDefault="00B348AF" w:rsidP="0081151C">
      <w:pPr>
        <w:spacing w:before="120" w:after="120" w:line="360" w:lineRule="auto"/>
        <w:jc w:val="both"/>
        <w:rPr>
          <w:rFonts w:ascii="Arial" w:hAnsi="Arial" w:cs="Arial"/>
        </w:rPr>
      </w:pPr>
      <w:bookmarkStart w:id="12" w:name="mip53177733"/>
      <w:bookmarkEnd w:id="12"/>
      <w:r w:rsidRPr="0081151C">
        <w:rPr>
          <w:rFonts w:ascii="Arial" w:hAnsi="Arial" w:cs="Arial"/>
        </w:rPr>
        <w:t xml:space="preserve">Wójt (burmistrz, prezydent miasta) jest obowiązany niezwłocznie, nie dłużej niż w terminie 3 dni, przekazać wojewódzkiemu konserwatorowi zabytków przyjęte zawiadomienie, </w:t>
      </w:r>
      <w:r w:rsidRPr="0081151C">
        <w:rPr>
          <w:rFonts w:ascii="Arial" w:hAnsi="Arial" w:cs="Arial"/>
        </w:rPr>
        <w:br/>
        <w:t xml:space="preserve">o którym mowa w ust. 1 pkt 3 (zgodnie z art. 32 ust. 2 ww. ustawy). Z kolei </w:t>
      </w:r>
      <w:bookmarkStart w:id="13" w:name="mip53177734"/>
      <w:bookmarkEnd w:id="13"/>
      <w:r w:rsidRPr="0081151C">
        <w:rPr>
          <w:rFonts w:ascii="Arial" w:hAnsi="Arial" w:cs="Arial"/>
        </w:rPr>
        <w:t xml:space="preserve">wojewódzki konserwator zabytków jest obowiązany dokonać oględzin odkrytego przedmiotu w terminie 5 dni od dnia przyjęcia ww. zawiadomienia (zgodnie z art. 32 ust. 3 ww. ustawy). </w:t>
      </w:r>
    </w:p>
    <w:p w:rsidR="006A7131" w:rsidRPr="0081151C" w:rsidRDefault="00B348AF" w:rsidP="0081151C">
      <w:pPr>
        <w:spacing w:before="120" w:after="120" w:line="360" w:lineRule="auto"/>
        <w:jc w:val="both"/>
        <w:rPr>
          <w:rFonts w:ascii="Arial" w:hAnsi="Arial" w:cs="Arial"/>
        </w:rPr>
      </w:pPr>
      <w:bookmarkStart w:id="14" w:name="mip53177736"/>
      <w:bookmarkEnd w:id="14"/>
      <w:r w:rsidRPr="0081151C">
        <w:rPr>
          <w:rFonts w:ascii="Arial" w:hAnsi="Arial" w:cs="Arial"/>
        </w:rPr>
        <w:t>Po dokonaniu oględzin odkrytego przedmiotu wojewódzki konserwator zabytków wydaje decyzję:</w:t>
      </w:r>
    </w:p>
    <w:p w:rsidR="006A7131" w:rsidRPr="0081151C" w:rsidRDefault="00B348AF" w:rsidP="00290B14">
      <w:pPr>
        <w:pStyle w:val="Akapitzlist"/>
        <w:numPr>
          <w:ilvl w:val="0"/>
          <w:numId w:val="6"/>
        </w:numPr>
        <w:spacing w:before="120" w:after="120" w:line="360" w:lineRule="auto"/>
        <w:ind w:left="567"/>
        <w:jc w:val="both"/>
        <w:rPr>
          <w:rFonts w:ascii="Arial" w:hAnsi="Arial" w:cs="Arial"/>
        </w:rPr>
      </w:pPr>
      <w:bookmarkStart w:id="15" w:name="mip53177738"/>
      <w:bookmarkEnd w:id="15"/>
      <w:r w:rsidRPr="0081151C">
        <w:rPr>
          <w:rFonts w:ascii="Arial" w:hAnsi="Arial" w:cs="Arial"/>
        </w:rPr>
        <w:t>pozwalającą na kontynuację przerwanych robót, jeżeli odkryty przedmiot nie jest zabytkiem,</w:t>
      </w:r>
    </w:p>
    <w:p w:rsidR="006A7131" w:rsidRPr="0081151C" w:rsidRDefault="00B348AF" w:rsidP="00290B14">
      <w:pPr>
        <w:pStyle w:val="Akapitzlist"/>
        <w:numPr>
          <w:ilvl w:val="0"/>
          <w:numId w:val="6"/>
        </w:numPr>
        <w:spacing w:before="120" w:after="120" w:line="360" w:lineRule="auto"/>
        <w:ind w:left="567"/>
        <w:jc w:val="both"/>
        <w:rPr>
          <w:rFonts w:ascii="Arial" w:hAnsi="Arial" w:cs="Arial"/>
        </w:rPr>
      </w:pPr>
      <w:bookmarkStart w:id="16" w:name="mip53177739"/>
      <w:bookmarkEnd w:id="16"/>
      <w:r w:rsidRPr="0081151C">
        <w:rPr>
          <w:rFonts w:ascii="Arial" w:hAnsi="Arial" w:cs="Arial"/>
        </w:rPr>
        <w:t>pozwalającą na kontynuację przerwanych robót, jeżeli odkryty przedmiot jest zabytkiem, a kontynuacja robót nie doprowadzi do jego zniszczenia lub uszkodzenia,</w:t>
      </w:r>
    </w:p>
    <w:p w:rsidR="006A7131" w:rsidRPr="0081151C" w:rsidRDefault="00B348AF" w:rsidP="00290B14">
      <w:pPr>
        <w:pStyle w:val="Akapitzlist"/>
        <w:numPr>
          <w:ilvl w:val="0"/>
          <w:numId w:val="6"/>
        </w:numPr>
        <w:spacing w:before="120" w:after="120" w:line="360" w:lineRule="auto"/>
        <w:ind w:left="567"/>
        <w:jc w:val="both"/>
        <w:rPr>
          <w:rFonts w:ascii="Arial" w:hAnsi="Arial" w:cs="Arial"/>
        </w:rPr>
      </w:pPr>
      <w:bookmarkStart w:id="17" w:name="mip53177740"/>
      <w:bookmarkEnd w:id="17"/>
      <w:r w:rsidRPr="0081151C">
        <w:rPr>
          <w:rFonts w:ascii="Arial" w:hAnsi="Arial" w:cs="Arial"/>
        </w:rPr>
        <w:t>nakazującą dalsze wstrzymanie robót i przeprowadzenie, na koszt osoby fizycznej lub jednostki organizacyjnej finansującej te roboty, badań archeologicznych w niezbędnym zakresie.</w:t>
      </w:r>
    </w:p>
    <w:p w:rsidR="00885409" w:rsidRPr="00BB0D42" w:rsidRDefault="00B348AF" w:rsidP="00BB0D42">
      <w:pPr>
        <w:spacing w:before="120" w:after="120" w:line="360" w:lineRule="auto"/>
        <w:jc w:val="both"/>
        <w:rPr>
          <w:rFonts w:ascii="Arial" w:hAnsi="Arial" w:cs="Arial"/>
          <w:lang w:eastAsia="en-US"/>
        </w:rPr>
      </w:pPr>
      <w:bookmarkStart w:id="18" w:name="mip53177741"/>
      <w:bookmarkStart w:id="19" w:name="mip53177742"/>
      <w:bookmarkEnd w:id="18"/>
      <w:bookmarkEnd w:id="19"/>
      <w:r w:rsidRPr="0081151C">
        <w:rPr>
          <w:rFonts w:ascii="Arial" w:hAnsi="Arial" w:cs="Arial"/>
        </w:rPr>
        <w:t>Jeżeli w trakcie badań archeologicznych zostanie odkryty zabytek posiadający wyjątkową wartość, wojewódzki konserwator zabytków może wydać decyzję o przedłużeniu okresu wstrzymania robót (zgodnie z art. 32 ust. 7 ww. ustawy).</w:t>
      </w:r>
      <w:r>
        <w:rPr>
          <w:rFonts w:ascii="Arial" w:hAnsi="Arial" w:cs="Arial"/>
        </w:rPr>
        <w:t xml:space="preserve"> </w:t>
      </w:r>
      <w:r w:rsidRPr="00F33C70">
        <w:rPr>
          <w:rFonts w:ascii="Arial" w:hAnsi="Arial" w:cs="Arial"/>
        </w:rPr>
        <w:t xml:space="preserve">Dodatkowo ww. ustawa przewiduje odpowiedzialność karną za niedopełnienie ww. obowiązku. Zgodnie z art. 115 </w:t>
      </w:r>
      <w:r w:rsidRPr="00F33C70">
        <w:rPr>
          <w:rFonts w:ascii="Arial" w:hAnsi="Arial" w:cs="Arial"/>
        </w:rPr>
        <w:lastRenderedPageBreak/>
        <w:t xml:space="preserve">ust. 1 ww. ustawy kto niezwłocznie nie powiadomił wojewódzkiego konserwatora zabytków lub wójta (burmistrza, prezydenta miasta) albo dyrektora urzędu morskiego o odkryciu </w:t>
      </w:r>
      <w:r>
        <w:rPr>
          <w:rFonts w:ascii="Arial" w:hAnsi="Arial" w:cs="Arial"/>
        </w:rPr>
        <w:br/>
      </w:r>
      <w:r w:rsidRPr="00F33C70">
        <w:rPr>
          <w:rFonts w:ascii="Arial" w:hAnsi="Arial" w:cs="Arial"/>
        </w:rPr>
        <w:t>w trakcie prowadzenia robót budowlanych lub ziemnych przedmiotu, co do którego istnieje przypuszczenie, iż jest on zabytkiem, a także nie wstrzymał wszelkich robót mogących uszkodzić lub zniszczyć znaleziony przedmiot i nie zabezpieczył, przy użyciu dostępnych środków, tego przedmiotu i miejsca jego znalezienia, podlega karze grzywny.</w:t>
      </w:r>
      <w:bookmarkStart w:id="20" w:name="mip53178449"/>
      <w:bookmarkEnd w:id="20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81151C">
        <w:rPr>
          <w:rFonts w:ascii="Arial" w:hAnsi="Arial" w:cs="Arial"/>
        </w:rPr>
        <w:t xml:space="preserve">Tak więc, ustawą właściwą do uregulowania sposobu postępowania ze znaleziskami historycznymi mającymi cechy zabytku jest ww. ustawa </w:t>
      </w:r>
      <w:r w:rsidRPr="0081151C">
        <w:rPr>
          <w:rFonts w:ascii="Arial" w:hAnsi="Arial" w:cs="Arial"/>
          <w:lang w:eastAsia="en-US"/>
        </w:rPr>
        <w:t xml:space="preserve">o ochronie zabytków i opiece nad </w:t>
      </w:r>
      <w:r w:rsidRPr="004F5535">
        <w:rPr>
          <w:rFonts w:ascii="Arial" w:hAnsi="Arial" w:cs="Arial"/>
          <w:lang w:eastAsia="en-US"/>
        </w:rPr>
        <w:t xml:space="preserve">zabytkami, która normuje również kwestie dotyczące odkrycia zabytku podczas </w:t>
      </w:r>
      <w:r w:rsidRPr="00BB0D42">
        <w:rPr>
          <w:rFonts w:ascii="Arial" w:hAnsi="Arial" w:cs="Arial"/>
          <w:lang w:eastAsia="en-US"/>
        </w:rPr>
        <w:t xml:space="preserve">wykonywanych robót budowlanych. </w:t>
      </w:r>
    </w:p>
    <w:p w:rsidR="007C20EB" w:rsidRDefault="00B348AF" w:rsidP="00DB5E0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lang w:eastAsia="en-US"/>
        </w:rPr>
      </w:pPr>
      <w:bookmarkStart w:id="21" w:name="mip53177745"/>
      <w:bookmarkStart w:id="22" w:name="mip53177746"/>
      <w:bookmarkEnd w:id="21"/>
      <w:bookmarkEnd w:id="22"/>
      <w:r>
        <w:rPr>
          <w:rFonts w:ascii="Arial" w:hAnsi="Arial" w:cs="Arial"/>
          <w:lang w:eastAsia="en-US"/>
        </w:rPr>
        <w:t xml:space="preserve">Reasumując, w porządku prawnym istnieją przepisy prawa regulujące sposób postępowania ze znaleziskami pirotechnicznymi i zabytkowymi, również takimi  ujawnionymi dopiero w wyniku wykonywania robót budowlanych. W ocenie Ministra Rozwoju, Pracy i Technologii są one wystarczające. Natomiast  wprowadzenie ogólnego obowiązku inwestora do każdorazowego (niezależnie od istnienia bądź nie potencjalnie uzasadnionych przesłanek) przeprowadzenia, przed rozpoczęciem robót budowlanych, badań pirotechnicznych i archeologicznych jest nieuzasadnione, bowiem stanowi nadmierne obciążenie dla inwestora (wykonywanie takich badań wymaga bowiem posiadania odpowiedniego sprzętu specjalistycznego oraz zatrudnienia osób posiadających stosowne uprawnienia do wykonywania takich czynności). </w:t>
      </w:r>
    </w:p>
    <w:p w:rsidR="00DB5E0A" w:rsidRDefault="00B348AF" w:rsidP="00DB5E0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Wobec przedstawionych powyżej argumentów wprowadzenie do Pb zaproponowanych </w:t>
      </w:r>
      <w:r>
        <w:rPr>
          <w:rFonts w:ascii="Arial" w:hAnsi="Arial" w:cs="Arial"/>
          <w:lang w:eastAsia="en-US"/>
        </w:rPr>
        <w:br/>
        <w:t>w przedmiotowej petycji uregulowań nie znajduje uzasadnienia.</w:t>
      </w:r>
    </w:p>
    <w:p w:rsidR="00ED5008" w:rsidRDefault="009670E8" w:rsidP="00DB5E0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eastAsia="en-US"/>
        </w:rPr>
      </w:pPr>
    </w:p>
    <w:p w:rsidR="00DB5E0A" w:rsidRDefault="00B348AF" w:rsidP="00DB5E0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POUCZENIE</w:t>
      </w:r>
    </w:p>
    <w:p w:rsidR="00DB5E0A" w:rsidRDefault="00B348AF" w:rsidP="00DB5E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Zgodnie z art. 13 ust. 2 ustawy o petycjach sposób załatwienia petycji nie może być przedmiotem skargi. </w:t>
      </w:r>
    </w:p>
    <w:p w:rsidR="00DB5E0A" w:rsidRDefault="009670E8" w:rsidP="00DB5E0A">
      <w:pPr>
        <w:spacing w:line="260" w:lineRule="exact"/>
        <w:ind w:left="5387"/>
        <w:rPr>
          <w:rFonts w:ascii="Arial" w:hAnsi="Arial" w:cs="Arial"/>
          <w:b/>
        </w:rPr>
      </w:pPr>
    </w:p>
    <w:p w:rsidR="00ED5008" w:rsidRDefault="009670E8" w:rsidP="00DB5E0A">
      <w:pPr>
        <w:spacing w:line="260" w:lineRule="exact"/>
        <w:ind w:left="5387"/>
        <w:rPr>
          <w:rFonts w:ascii="Arial" w:hAnsi="Arial" w:cs="Arial"/>
          <w:b/>
        </w:rPr>
      </w:pPr>
    </w:p>
    <w:p w:rsidR="00DB5E0A" w:rsidRDefault="009670E8" w:rsidP="00022B1C">
      <w:pPr>
        <w:spacing w:line="260" w:lineRule="exact"/>
        <w:ind w:left="5387"/>
        <w:rPr>
          <w:rFonts w:ascii="Arial" w:hAnsi="Arial" w:cs="Arial"/>
          <w:b/>
        </w:rPr>
      </w:pPr>
    </w:p>
    <w:p w:rsidR="00C23FC8" w:rsidRDefault="00B348AF" w:rsidP="00022B1C">
      <w:pPr>
        <w:spacing w:line="260" w:lineRule="exact"/>
        <w:ind w:left="5387"/>
        <w:rPr>
          <w:rFonts w:ascii="Arial" w:hAnsi="Arial" w:cs="Arial"/>
          <w:b/>
        </w:rPr>
      </w:pPr>
      <w:r w:rsidRPr="003773F3">
        <w:rPr>
          <w:rFonts w:ascii="Arial" w:hAnsi="Arial" w:cs="Arial"/>
          <w:b/>
        </w:rPr>
        <w:t xml:space="preserve">Z poważaniem </w:t>
      </w:r>
    </w:p>
    <w:p w:rsidR="00DD4D55" w:rsidRDefault="009670E8" w:rsidP="00022B1C">
      <w:pPr>
        <w:spacing w:line="260" w:lineRule="exact"/>
        <w:ind w:left="5387"/>
        <w:rPr>
          <w:rFonts w:ascii="Arial" w:hAnsi="Arial" w:cs="Arial"/>
          <w:b/>
        </w:rPr>
      </w:pPr>
    </w:p>
    <w:p w:rsidR="00DD4D55" w:rsidRPr="003773F3" w:rsidRDefault="00B348AF" w:rsidP="00022B1C">
      <w:pPr>
        <w:spacing w:line="260" w:lineRule="exact"/>
        <w:ind w:left="5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upoważnienia</w:t>
      </w:r>
    </w:p>
    <w:p w:rsidR="00C23FC8" w:rsidRPr="003773F3" w:rsidRDefault="00B348AF" w:rsidP="00022B1C">
      <w:pPr>
        <w:spacing w:line="260" w:lineRule="exact"/>
        <w:ind w:left="5387"/>
        <w:rPr>
          <w:rFonts w:ascii="Arial" w:hAnsi="Arial" w:cs="Arial"/>
        </w:rPr>
      </w:pPr>
      <w:bookmarkStart w:id="23" w:name="ezdPracownikNazwa"/>
      <w:r w:rsidRPr="003773F3">
        <w:rPr>
          <w:rFonts w:ascii="Arial" w:hAnsi="Arial" w:cs="Arial"/>
        </w:rPr>
        <w:t>Anna Kornecka</w:t>
      </w:r>
      <w:bookmarkEnd w:id="23"/>
    </w:p>
    <w:p w:rsidR="00E34B19" w:rsidRPr="003773F3" w:rsidRDefault="00B348AF" w:rsidP="00022B1C">
      <w:pPr>
        <w:spacing w:line="260" w:lineRule="exact"/>
        <w:ind w:left="5387"/>
        <w:rPr>
          <w:rFonts w:ascii="Arial" w:hAnsi="Arial" w:cs="Arial"/>
        </w:rPr>
      </w:pPr>
      <w:bookmarkStart w:id="24" w:name="ezdPracownikStanowisko"/>
      <w:r w:rsidRPr="003773F3">
        <w:rPr>
          <w:rFonts w:ascii="Arial" w:hAnsi="Arial" w:cs="Arial"/>
        </w:rPr>
        <w:t>Podsekretarz Stanu</w:t>
      </w:r>
      <w:bookmarkEnd w:id="24"/>
    </w:p>
    <w:p w:rsidR="004A0B59" w:rsidRPr="003773F3" w:rsidRDefault="009670E8" w:rsidP="00C23FC8">
      <w:pPr>
        <w:rPr>
          <w:rFonts w:ascii="Arial" w:hAnsi="Arial" w:cs="Arial"/>
          <w:b/>
        </w:rPr>
      </w:pPr>
    </w:p>
    <w:p w:rsidR="002C7FC9" w:rsidRPr="003773F3" w:rsidRDefault="009670E8" w:rsidP="00C23FC8">
      <w:pPr>
        <w:rPr>
          <w:rFonts w:ascii="Arial" w:hAnsi="Arial" w:cs="Arial"/>
          <w:b/>
        </w:rPr>
      </w:pPr>
    </w:p>
    <w:p w:rsidR="00A47044" w:rsidRPr="003773F3" w:rsidRDefault="00B348AF" w:rsidP="002D3D39">
      <w:pPr>
        <w:ind w:left="5387"/>
        <w:rPr>
          <w:rFonts w:ascii="Arial" w:hAnsi="Arial" w:cs="Arial"/>
        </w:rPr>
      </w:pPr>
      <w:r w:rsidRPr="003773F3">
        <w:rPr>
          <w:rFonts w:ascii="Arial" w:hAnsi="Arial" w:cs="Arial"/>
        </w:rPr>
        <w:t>[podpisano elektronicznie]</w:t>
      </w:r>
    </w:p>
    <w:p w:rsidR="00A47044" w:rsidRPr="003773F3" w:rsidRDefault="009670E8" w:rsidP="00C23FC8">
      <w:pPr>
        <w:rPr>
          <w:rFonts w:ascii="Arial" w:hAnsi="Arial" w:cs="Arial"/>
        </w:rPr>
      </w:pPr>
    </w:p>
    <w:sectPr w:rsidR="00A47044" w:rsidRPr="003773F3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0E8" w:rsidRDefault="009670E8">
      <w:r>
        <w:separator/>
      </w:r>
    </w:p>
  </w:endnote>
  <w:endnote w:type="continuationSeparator" w:id="0">
    <w:p w:rsidR="009670E8" w:rsidRDefault="0096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B348AF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9670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6F" w:rsidRDefault="00B348AF" w:rsidP="000D4B6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-1906378759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Pracy i Technologii, Plac Trzech Krzyży 3/5, 00-507 Warszawa</w:t>
    </w:r>
  </w:p>
  <w:p w:rsidR="00AD2F91" w:rsidRPr="000D4B6F" w:rsidRDefault="00B348AF" w:rsidP="000D4B6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e-mail: kancelaria@mrpit.gov.pl, www.gov.pl/rozwoj-praca-technologia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CB" w:rsidRPr="00AF6E52" w:rsidRDefault="00B348AF" w:rsidP="001B0ACB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Pracy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0D4B6F" w:rsidRPr="006F34BD" w:rsidRDefault="00B348AF" w:rsidP="000D4B6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0E8" w:rsidRDefault="009670E8">
      <w:r>
        <w:separator/>
      </w:r>
    </w:p>
  </w:footnote>
  <w:footnote w:type="continuationSeparator" w:id="0">
    <w:p w:rsidR="009670E8" w:rsidRDefault="009670E8">
      <w:r>
        <w:continuationSeparator/>
      </w:r>
    </w:p>
  </w:footnote>
  <w:footnote w:id="1">
    <w:p w:rsidR="00DB5E0A" w:rsidRPr="00DB5E0A" w:rsidRDefault="00B348AF" w:rsidP="00885409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DB5E0A">
        <w:rPr>
          <w:rStyle w:val="Odwoanieprzypisudolnego"/>
          <w:rFonts w:ascii="Arial" w:hAnsi="Arial" w:cs="Arial"/>
          <w:sz w:val="24"/>
          <w:szCs w:val="24"/>
        </w:rPr>
        <w:footnoteRef/>
      </w:r>
      <w:r>
        <w:rPr>
          <w:rFonts w:ascii="Arial" w:hAnsi="Arial" w:cs="Arial"/>
          <w:sz w:val="24"/>
          <w:szCs w:val="24"/>
        </w:rPr>
        <w:t xml:space="preserve"> s</w:t>
      </w:r>
      <w:r w:rsidRPr="00DB5E0A">
        <w:rPr>
          <w:rFonts w:ascii="Arial" w:hAnsi="Arial" w:cs="Arial"/>
          <w:sz w:val="24"/>
          <w:szCs w:val="24"/>
        </w:rPr>
        <w:t>kierowanej do m.in. do Ministra Rozwoju</w:t>
      </w:r>
      <w:r>
        <w:rPr>
          <w:rFonts w:ascii="Arial" w:hAnsi="Arial" w:cs="Arial"/>
          <w:sz w:val="24"/>
          <w:szCs w:val="24"/>
        </w:rPr>
        <w:t xml:space="preserve"> (aktualnie:</w:t>
      </w:r>
      <w:r w:rsidRPr="00DB5E0A">
        <w:rPr>
          <w:rFonts w:ascii="Arial" w:hAnsi="Arial" w:cs="Arial"/>
          <w:sz w:val="24"/>
          <w:szCs w:val="24"/>
        </w:rPr>
        <w:t xml:space="preserve"> Minister Rozwoju, Pracy </w:t>
      </w:r>
      <w:r>
        <w:rPr>
          <w:rFonts w:ascii="Arial" w:hAnsi="Arial" w:cs="Arial"/>
          <w:sz w:val="24"/>
          <w:szCs w:val="24"/>
        </w:rPr>
        <w:br/>
      </w:r>
      <w:r w:rsidRPr="00DB5E0A">
        <w:rPr>
          <w:rFonts w:ascii="Arial" w:hAnsi="Arial" w:cs="Arial"/>
          <w:sz w:val="24"/>
          <w:szCs w:val="24"/>
        </w:rPr>
        <w:t xml:space="preserve">i Technologii).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B348AF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-564164</wp:posOffset>
          </wp:positionH>
          <wp:positionV relativeFrom="paragraph">
            <wp:posOffset>428625</wp:posOffset>
          </wp:positionV>
          <wp:extent cx="3280805" cy="2269224"/>
          <wp:effectExtent l="0" t="0" r="0" b="0"/>
          <wp:wrapNone/>
          <wp:docPr id="5" name="Obraz 5" descr="Orzeł plus napis Minister Rozwoju, Pracy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805" cy="226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27AE8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5046B0" w:tentative="1">
      <w:start w:val="1"/>
      <w:numFmt w:val="lowerLetter"/>
      <w:lvlText w:val="%2."/>
      <w:lvlJc w:val="left"/>
      <w:pPr>
        <w:ind w:left="1440" w:hanging="360"/>
      </w:pPr>
    </w:lvl>
    <w:lvl w:ilvl="2" w:tplc="62549D12" w:tentative="1">
      <w:start w:val="1"/>
      <w:numFmt w:val="lowerRoman"/>
      <w:lvlText w:val="%3."/>
      <w:lvlJc w:val="right"/>
      <w:pPr>
        <w:ind w:left="2160" w:hanging="180"/>
      </w:pPr>
    </w:lvl>
    <w:lvl w:ilvl="3" w:tplc="32E0448E" w:tentative="1">
      <w:start w:val="1"/>
      <w:numFmt w:val="decimal"/>
      <w:lvlText w:val="%4."/>
      <w:lvlJc w:val="left"/>
      <w:pPr>
        <w:ind w:left="2880" w:hanging="360"/>
      </w:pPr>
    </w:lvl>
    <w:lvl w:ilvl="4" w:tplc="79448D2A" w:tentative="1">
      <w:start w:val="1"/>
      <w:numFmt w:val="lowerLetter"/>
      <w:lvlText w:val="%5."/>
      <w:lvlJc w:val="left"/>
      <w:pPr>
        <w:ind w:left="3600" w:hanging="360"/>
      </w:pPr>
    </w:lvl>
    <w:lvl w:ilvl="5" w:tplc="01F6ACF8" w:tentative="1">
      <w:start w:val="1"/>
      <w:numFmt w:val="lowerRoman"/>
      <w:lvlText w:val="%6."/>
      <w:lvlJc w:val="right"/>
      <w:pPr>
        <w:ind w:left="4320" w:hanging="180"/>
      </w:pPr>
    </w:lvl>
    <w:lvl w:ilvl="6" w:tplc="3C749B12" w:tentative="1">
      <w:start w:val="1"/>
      <w:numFmt w:val="decimal"/>
      <w:lvlText w:val="%7."/>
      <w:lvlJc w:val="left"/>
      <w:pPr>
        <w:ind w:left="5040" w:hanging="360"/>
      </w:pPr>
    </w:lvl>
    <w:lvl w:ilvl="7" w:tplc="7F706BA2" w:tentative="1">
      <w:start w:val="1"/>
      <w:numFmt w:val="lowerLetter"/>
      <w:lvlText w:val="%8."/>
      <w:lvlJc w:val="left"/>
      <w:pPr>
        <w:ind w:left="5760" w:hanging="360"/>
      </w:pPr>
    </w:lvl>
    <w:lvl w:ilvl="8" w:tplc="90187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182E0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84C1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ECE6D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30A8B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50E1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646B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86C3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3408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1C3E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4E1AC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93094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FED7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72AE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501A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4EDF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FA8E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11E82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F41B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DD7BFF"/>
    <w:multiLevelType w:val="hybridMultilevel"/>
    <w:tmpl w:val="83F81F78"/>
    <w:lvl w:ilvl="0" w:tplc="8E5614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2C40364" w:tentative="1">
      <w:start w:val="1"/>
      <w:numFmt w:val="lowerLetter"/>
      <w:lvlText w:val="%2."/>
      <w:lvlJc w:val="left"/>
      <w:pPr>
        <w:ind w:left="1440" w:hanging="360"/>
      </w:pPr>
    </w:lvl>
    <w:lvl w:ilvl="2" w:tplc="81CE2708" w:tentative="1">
      <w:start w:val="1"/>
      <w:numFmt w:val="lowerRoman"/>
      <w:lvlText w:val="%3."/>
      <w:lvlJc w:val="right"/>
      <w:pPr>
        <w:ind w:left="2160" w:hanging="180"/>
      </w:pPr>
    </w:lvl>
    <w:lvl w:ilvl="3" w:tplc="D7FEBC36" w:tentative="1">
      <w:start w:val="1"/>
      <w:numFmt w:val="decimal"/>
      <w:lvlText w:val="%4."/>
      <w:lvlJc w:val="left"/>
      <w:pPr>
        <w:ind w:left="2880" w:hanging="360"/>
      </w:pPr>
    </w:lvl>
    <w:lvl w:ilvl="4" w:tplc="132CDA2A" w:tentative="1">
      <w:start w:val="1"/>
      <w:numFmt w:val="lowerLetter"/>
      <w:lvlText w:val="%5."/>
      <w:lvlJc w:val="left"/>
      <w:pPr>
        <w:ind w:left="3600" w:hanging="360"/>
      </w:pPr>
    </w:lvl>
    <w:lvl w:ilvl="5" w:tplc="36329CBE" w:tentative="1">
      <w:start w:val="1"/>
      <w:numFmt w:val="lowerRoman"/>
      <w:lvlText w:val="%6."/>
      <w:lvlJc w:val="right"/>
      <w:pPr>
        <w:ind w:left="4320" w:hanging="180"/>
      </w:pPr>
    </w:lvl>
    <w:lvl w:ilvl="6" w:tplc="906035D0" w:tentative="1">
      <w:start w:val="1"/>
      <w:numFmt w:val="decimal"/>
      <w:lvlText w:val="%7."/>
      <w:lvlJc w:val="left"/>
      <w:pPr>
        <w:ind w:left="5040" w:hanging="360"/>
      </w:pPr>
    </w:lvl>
    <w:lvl w:ilvl="7" w:tplc="D2A0F67E" w:tentative="1">
      <w:start w:val="1"/>
      <w:numFmt w:val="lowerLetter"/>
      <w:lvlText w:val="%8."/>
      <w:lvlJc w:val="left"/>
      <w:pPr>
        <w:ind w:left="5760" w:hanging="360"/>
      </w:pPr>
    </w:lvl>
    <w:lvl w:ilvl="8" w:tplc="0082EF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33FD2"/>
    <w:multiLevelType w:val="hybridMultilevel"/>
    <w:tmpl w:val="AA58735A"/>
    <w:lvl w:ilvl="0" w:tplc="70560A6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C0645FDE" w:tentative="1">
      <w:start w:val="1"/>
      <w:numFmt w:val="lowerLetter"/>
      <w:lvlText w:val="%2."/>
      <w:lvlJc w:val="left"/>
      <w:pPr>
        <w:ind w:left="1440" w:hanging="360"/>
      </w:pPr>
    </w:lvl>
    <w:lvl w:ilvl="2" w:tplc="46EE994C" w:tentative="1">
      <w:start w:val="1"/>
      <w:numFmt w:val="lowerRoman"/>
      <w:lvlText w:val="%3."/>
      <w:lvlJc w:val="right"/>
      <w:pPr>
        <w:ind w:left="2160" w:hanging="180"/>
      </w:pPr>
    </w:lvl>
    <w:lvl w:ilvl="3" w:tplc="74682392" w:tentative="1">
      <w:start w:val="1"/>
      <w:numFmt w:val="decimal"/>
      <w:lvlText w:val="%4."/>
      <w:lvlJc w:val="left"/>
      <w:pPr>
        <w:ind w:left="2880" w:hanging="360"/>
      </w:pPr>
    </w:lvl>
    <w:lvl w:ilvl="4" w:tplc="189EE864" w:tentative="1">
      <w:start w:val="1"/>
      <w:numFmt w:val="lowerLetter"/>
      <w:lvlText w:val="%5."/>
      <w:lvlJc w:val="left"/>
      <w:pPr>
        <w:ind w:left="3600" w:hanging="360"/>
      </w:pPr>
    </w:lvl>
    <w:lvl w:ilvl="5" w:tplc="07F45FCE" w:tentative="1">
      <w:start w:val="1"/>
      <w:numFmt w:val="lowerRoman"/>
      <w:lvlText w:val="%6."/>
      <w:lvlJc w:val="right"/>
      <w:pPr>
        <w:ind w:left="4320" w:hanging="180"/>
      </w:pPr>
    </w:lvl>
    <w:lvl w:ilvl="6" w:tplc="BF96813E" w:tentative="1">
      <w:start w:val="1"/>
      <w:numFmt w:val="decimal"/>
      <w:lvlText w:val="%7."/>
      <w:lvlJc w:val="left"/>
      <w:pPr>
        <w:ind w:left="5040" w:hanging="360"/>
      </w:pPr>
    </w:lvl>
    <w:lvl w:ilvl="7" w:tplc="9E7202DE" w:tentative="1">
      <w:start w:val="1"/>
      <w:numFmt w:val="lowerLetter"/>
      <w:lvlText w:val="%8."/>
      <w:lvlJc w:val="left"/>
      <w:pPr>
        <w:ind w:left="5760" w:hanging="360"/>
      </w:pPr>
    </w:lvl>
    <w:lvl w:ilvl="8" w:tplc="3A7AC5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63"/>
    <w:rsid w:val="00063E63"/>
    <w:rsid w:val="001C6B09"/>
    <w:rsid w:val="009670E8"/>
    <w:rsid w:val="00B3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link w:val="Nagwek1Znak"/>
    <w:uiPriority w:val="9"/>
    <w:qFormat/>
    <w:rsid w:val="007C20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0D4B6F"/>
    <w:rPr>
      <w:color w:val="0563C1" w:themeColor="hyperlink"/>
      <w:u w:val="single"/>
    </w:rPr>
  </w:style>
  <w:style w:type="character" w:customStyle="1" w:styleId="highlight">
    <w:name w:val="highlight"/>
    <w:basedOn w:val="Domylnaczcionkaakapitu"/>
    <w:rsid w:val="00DB5E0A"/>
  </w:style>
  <w:style w:type="character" w:customStyle="1" w:styleId="highlight-disabled">
    <w:name w:val="highlight-disabled"/>
    <w:basedOn w:val="Domylnaczcionkaakapitu"/>
    <w:rsid w:val="00DB5E0A"/>
  </w:style>
  <w:style w:type="paragraph" w:styleId="Tekstprzypisudolnego">
    <w:name w:val="footnote text"/>
    <w:basedOn w:val="Normalny"/>
    <w:link w:val="TekstprzypisudolnegoZnak"/>
    <w:semiHidden/>
    <w:unhideWhenUsed/>
    <w:rsid w:val="00DB5E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B5E0A"/>
    <w:rPr>
      <w:lang w:val="pl-PL" w:eastAsia="pl-PL"/>
    </w:rPr>
  </w:style>
  <w:style w:type="character" w:styleId="Odwoanieprzypisudolnego">
    <w:name w:val="footnote reference"/>
    <w:basedOn w:val="Domylnaczcionkaakapitu"/>
    <w:semiHidden/>
    <w:unhideWhenUsed/>
    <w:rsid w:val="00DB5E0A"/>
    <w:rPr>
      <w:vertAlign w:val="superscript"/>
    </w:rPr>
  </w:style>
  <w:style w:type="paragraph" w:customStyle="1" w:styleId="Default">
    <w:name w:val="Default"/>
    <w:rsid w:val="0081294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articletitle">
    <w:name w:val="articletitle"/>
    <w:basedOn w:val="Domylnaczcionkaakapitu"/>
    <w:rsid w:val="006A7131"/>
  </w:style>
  <w:style w:type="character" w:customStyle="1" w:styleId="Nagwek1Znak">
    <w:name w:val="Nagłówek 1 Znak"/>
    <w:basedOn w:val="Domylnaczcionkaakapitu"/>
    <w:link w:val="Nagwek1"/>
    <w:uiPriority w:val="9"/>
    <w:rsid w:val="007C20EB"/>
    <w:rPr>
      <w:b/>
      <w:bCs/>
      <w:kern w:val="36"/>
      <w:sz w:val="48"/>
      <w:szCs w:val="48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link w:val="Nagwek1Znak"/>
    <w:uiPriority w:val="9"/>
    <w:qFormat/>
    <w:rsid w:val="007C20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0D4B6F"/>
    <w:rPr>
      <w:color w:val="0563C1" w:themeColor="hyperlink"/>
      <w:u w:val="single"/>
    </w:rPr>
  </w:style>
  <w:style w:type="character" w:customStyle="1" w:styleId="highlight">
    <w:name w:val="highlight"/>
    <w:basedOn w:val="Domylnaczcionkaakapitu"/>
    <w:rsid w:val="00DB5E0A"/>
  </w:style>
  <w:style w:type="character" w:customStyle="1" w:styleId="highlight-disabled">
    <w:name w:val="highlight-disabled"/>
    <w:basedOn w:val="Domylnaczcionkaakapitu"/>
    <w:rsid w:val="00DB5E0A"/>
  </w:style>
  <w:style w:type="paragraph" w:styleId="Tekstprzypisudolnego">
    <w:name w:val="footnote text"/>
    <w:basedOn w:val="Normalny"/>
    <w:link w:val="TekstprzypisudolnegoZnak"/>
    <w:semiHidden/>
    <w:unhideWhenUsed/>
    <w:rsid w:val="00DB5E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B5E0A"/>
    <w:rPr>
      <w:lang w:val="pl-PL" w:eastAsia="pl-PL"/>
    </w:rPr>
  </w:style>
  <w:style w:type="character" w:styleId="Odwoanieprzypisudolnego">
    <w:name w:val="footnote reference"/>
    <w:basedOn w:val="Domylnaczcionkaakapitu"/>
    <w:semiHidden/>
    <w:unhideWhenUsed/>
    <w:rsid w:val="00DB5E0A"/>
    <w:rPr>
      <w:vertAlign w:val="superscript"/>
    </w:rPr>
  </w:style>
  <w:style w:type="paragraph" w:customStyle="1" w:styleId="Default">
    <w:name w:val="Default"/>
    <w:rsid w:val="0081294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articletitle">
    <w:name w:val="articletitle"/>
    <w:basedOn w:val="Domylnaczcionkaakapitu"/>
    <w:rsid w:val="006A7131"/>
  </w:style>
  <w:style w:type="character" w:customStyle="1" w:styleId="Nagwek1Znak">
    <w:name w:val="Nagłówek 1 Znak"/>
    <w:basedOn w:val="Domylnaczcionkaakapitu"/>
    <w:link w:val="Nagwek1"/>
    <w:uiPriority w:val="9"/>
    <w:rsid w:val="007C20EB"/>
    <w:rPr>
      <w:b/>
      <w:bCs/>
      <w:kern w:val="36"/>
      <w:sz w:val="48"/>
      <w:szCs w:val="4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9C1FB-E193-4754-9767-2E668BC4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Judyta Jurzyńska</cp:lastModifiedBy>
  <cp:revision>3</cp:revision>
  <cp:lastPrinted>2015-11-16T13:16:00Z</cp:lastPrinted>
  <dcterms:created xsi:type="dcterms:W3CDTF">2020-12-10T07:32:00Z</dcterms:created>
  <dcterms:modified xsi:type="dcterms:W3CDTF">2020-12-10T07:33:00Z</dcterms:modified>
</cp:coreProperties>
</file>