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1E7" w:rsidRDefault="00B645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i/>
          <w:color w:val="000000"/>
        </w:rPr>
      </w:pPr>
      <w:r>
        <w:rPr>
          <w:color w:val="000000"/>
        </w:rPr>
        <w:t xml:space="preserve"> </w:t>
      </w:r>
      <w:r>
        <w:rPr>
          <w:i/>
        </w:rPr>
        <w:t>Warszawa</w:t>
      </w:r>
      <w:r>
        <w:rPr>
          <w:i/>
          <w:color w:val="000000"/>
        </w:rPr>
        <w:t>,</w:t>
      </w:r>
      <w:r>
        <w:rPr>
          <w:i/>
          <w:color w:val="000000"/>
          <w:highlight w:val="white"/>
        </w:rPr>
        <w:t xml:space="preserve"> 2 </w:t>
      </w:r>
      <w:r>
        <w:rPr>
          <w:i/>
          <w:highlight w:val="white"/>
        </w:rPr>
        <w:t xml:space="preserve">stycznia </w:t>
      </w:r>
      <w:r>
        <w:rPr>
          <w:i/>
          <w:color w:val="000000"/>
        </w:rPr>
        <w:t>2023 r.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-250186</wp:posOffset>
            </wp:positionV>
            <wp:extent cx="1457325" cy="576152"/>
            <wp:effectExtent l="0" t="0" r="0" b="0"/>
            <wp:wrapNone/>
            <wp:docPr id="4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41596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5761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801E7" w:rsidRDefault="004801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4801E7" w:rsidRDefault="004801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b/>
          <w:color w:val="000000"/>
        </w:rPr>
      </w:pPr>
    </w:p>
    <w:p w:rsidR="004801E7" w:rsidRDefault="00B645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60" w:line="288" w:lineRule="auto"/>
        <w:ind w:left="3" w:hanging="5"/>
        <w:rPr>
          <w:rFonts w:ascii="Arial" w:eastAsia="Arial" w:hAnsi="Arial" w:cs="Arial"/>
          <w:b/>
          <w:color w:val="1B1B1B"/>
          <w:sz w:val="46"/>
          <w:szCs w:val="46"/>
        </w:rPr>
      </w:pPr>
      <w:bookmarkStart w:id="0" w:name="_heading=h.qv8tbxt2cql9" w:colFirst="0" w:colLast="0"/>
      <w:bookmarkEnd w:id="0"/>
      <w:r>
        <w:rPr>
          <w:rFonts w:ascii="Arial" w:eastAsia="Arial" w:hAnsi="Arial" w:cs="Arial"/>
          <w:b/>
          <w:color w:val="1B1B1B"/>
          <w:sz w:val="46"/>
          <w:szCs w:val="46"/>
        </w:rPr>
        <w:t xml:space="preserve">Prawie 40 tys. uczniów wzięło już udział w warsztatach Mobilnych Laboratoriów Przyszłości </w:t>
      </w:r>
    </w:p>
    <w:p w:rsidR="004801E7" w:rsidRDefault="00B64569">
      <w:pPr>
        <w:shd w:val="clear" w:color="auto" w:fill="FFFFFF"/>
        <w:spacing w:after="220" w:line="276" w:lineRule="auto"/>
        <w:ind w:left="0" w:hanging="2"/>
        <w:jc w:val="both"/>
        <w:rPr>
          <w:rFonts w:ascii="Arial" w:eastAsia="Arial" w:hAnsi="Arial" w:cs="Arial"/>
          <w:b/>
          <w:color w:val="1B1B1B"/>
          <w:sz w:val="20"/>
          <w:szCs w:val="20"/>
        </w:rPr>
      </w:pPr>
      <w:r>
        <w:rPr>
          <w:rFonts w:ascii="Arial" w:eastAsia="Arial" w:hAnsi="Arial" w:cs="Arial"/>
          <w:b/>
          <w:color w:val="1B1B1B"/>
          <w:sz w:val="20"/>
          <w:szCs w:val="20"/>
        </w:rPr>
        <w:t>Edukatorzy Mobilnych Laboratoriów Przyszłości od września 2022 r. odwiedzają szkoły podstawowe w całej Polsce i prowadzą bezpłatne warsztaty dla uczniów z wykorzystywania najnowszych technologii. W ciągu niespełna 4 miesięcy zajęcia przeprowadzono dla niemal 40 tys. uczniów w 650 szkołach. Program będzie kontynuowany także w 2023 roku.</w:t>
      </w:r>
    </w:p>
    <w:p w:rsidR="004801E7" w:rsidRDefault="00B64569">
      <w:pPr>
        <w:shd w:val="clear" w:color="auto" w:fill="FFFFFF"/>
        <w:spacing w:after="240" w:line="276" w:lineRule="auto"/>
        <w:ind w:left="0" w:hanging="2"/>
        <w:jc w:val="both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noProof/>
          <w:color w:val="1B1B1B"/>
          <w:sz w:val="20"/>
          <w:szCs w:val="20"/>
        </w:rPr>
        <w:drawing>
          <wp:inline distT="114300" distB="114300" distL="114300" distR="114300">
            <wp:extent cx="5615630" cy="2374900"/>
            <wp:effectExtent l="0" t="0" r="0" b="0"/>
            <wp:docPr id="4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l="122" r="122"/>
                    <a:stretch>
                      <a:fillRect/>
                    </a:stretch>
                  </pic:blipFill>
                  <pic:spPr>
                    <a:xfrm>
                      <a:off x="0" y="0"/>
                      <a:ext cx="5615630" cy="237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01E7" w:rsidRDefault="007F3788">
      <w:pPr>
        <w:shd w:val="clear" w:color="auto" w:fill="FFFFFF"/>
        <w:spacing w:after="240" w:line="276" w:lineRule="auto"/>
        <w:ind w:left="0" w:hanging="2"/>
        <w:jc w:val="both"/>
        <w:rPr>
          <w:rFonts w:ascii="Arial" w:eastAsia="Arial" w:hAnsi="Arial" w:cs="Arial"/>
          <w:color w:val="1B1B1B"/>
          <w:sz w:val="20"/>
          <w:szCs w:val="20"/>
        </w:rPr>
      </w:pPr>
      <w:hyperlink r:id="rId10">
        <w:r w:rsidR="00B64569">
          <w:rPr>
            <w:rFonts w:ascii="Arial" w:eastAsia="Arial" w:hAnsi="Arial" w:cs="Arial"/>
            <w:color w:val="1155CC"/>
            <w:sz w:val="20"/>
            <w:szCs w:val="20"/>
            <w:u w:val="single"/>
          </w:rPr>
          <w:t>Laboratoria Przyszłości to największy w Polsce projekt edukacyjno-technologiczny</w:t>
        </w:r>
      </w:hyperlink>
      <w:r w:rsidR="00B64569">
        <w:rPr>
          <w:rFonts w:ascii="Arial" w:eastAsia="Arial" w:hAnsi="Arial" w:cs="Arial"/>
          <w:color w:val="1B1B1B"/>
          <w:sz w:val="20"/>
          <w:szCs w:val="20"/>
        </w:rPr>
        <w:t>. Dzięki tej wyjątkowej – nie tylko w skali krajowej, ale i międzynarodowej – inwestycji w edukację, szkoły podstawowe oraz ogólnokształcące szkoły artystyczne zostały wyposażone w nowoczesny sprzęt. Drukarki 3D, gogle VR oraz mikrokontrolery już teraz pozwalają uczniom rozwijać kompetencje przyszłości, realizować własne projekty i doskonalić umiejętności przydatne na nowoczesnym rynku pracy.</w:t>
      </w:r>
    </w:p>
    <w:p w:rsidR="004801E7" w:rsidRDefault="00B64569">
      <w:pPr>
        <w:shd w:val="clear" w:color="auto" w:fill="FFFFFF"/>
        <w:spacing w:after="240" w:line="276" w:lineRule="auto"/>
        <w:ind w:left="0" w:hanging="2"/>
        <w:jc w:val="both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t>Projekt opiera się na tzw. kierunkach STEAM (</w:t>
      </w:r>
      <w:r>
        <w:rPr>
          <w:rFonts w:ascii="Arial" w:eastAsia="Arial" w:hAnsi="Arial" w:cs="Arial"/>
          <w:i/>
          <w:color w:val="1B1B1B"/>
          <w:sz w:val="20"/>
          <w:szCs w:val="20"/>
        </w:rPr>
        <w:t xml:space="preserve">ang. science, </w:t>
      </w:r>
      <w:proofErr w:type="spellStart"/>
      <w:r>
        <w:rPr>
          <w:rFonts w:ascii="Arial" w:eastAsia="Arial" w:hAnsi="Arial" w:cs="Arial"/>
          <w:i/>
          <w:color w:val="1B1B1B"/>
          <w:sz w:val="20"/>
          <w:szCs w:val="20"/>
        </w:rPr>
        <w:t>technology</w:t>
      </w:r>
      <w:proofErr w:type="spellEnd"/>
      <w:r>
        <w:rPr>
          <w:rFonts w:ascii="Arial" w:eastAsia="Arial" w:hAnsi="Arial" w:cs="Arial"/>
          <w:i/>
          <w:color w:val="1B1B1B"/>
          <w:sz w:val="20"/>
          <w:szCs w:val="20"/>
        </w:rPr>
        <w:t xml:space="preserve">, engineering, art, </w:t>
      </w:r>
      <w:proofErr w:type="spellStart"/>
      <w:r>
        <w:rPr>
          <w:rFonts w:ascii="Arial" w:eastAsia="Arial" w:hAnsi="Arial" w:cs="Arial"/>
          <w:i/>
          <w:color w:val="1B1B1B"/>
          <w:sz w:val="20"/>
          <w:szCs w:val="20"/>
        </w:rPr>
        <w:t>mathematics</w:t>
      </w:r>
      <w:proofErr w:type="spellEnd"/>
      <w:r>
        <w:rPr>
          <w:rFonts w:ascii="Arial" w:eastAsia="Arial" w:hAnsi="Arial" w:cs="Arial"/>
          <w:color w:val="1B1B1B"/>
          <w:sz w:val="20"/>
          <w:szCs w:val="20"/>
        </w:rPr>
        <w:t xml:space="preserve">, czyli nauka, technologia, inżynieria, sztuka oraz matematyka). Jego celem jest wyrównanie szans edukacyjnych uczniów w całej Polsce </w:t>
      </w:r>
      <w:r>
        <w:rPr>
          <w:rFonts w:ascii="Arial" w:eastAsia="Arial" w:hAnsi="Arial" w:cs="Arial"/>
          <w:sz w:val="20"/>
          <w:szCs w:val="20"/>
          <w:highlight w:val="white"/>
        </w:rPr>
        <w:t>i zapewnienie im warunków do rozwoju kompetencji przyszłości</w:t>
      </w:r>
      <w:r>
        <w:rPr>
          <w:rFonts w:ascii="Arial" w:eastAsia="Arial" w:hAnsi="Arial" w:cs="Arial"/>
          <w:color w:val="1B1B1B"/>
          <w:sz w:val="20"/>
          <w:szCs w:val="20"/>
        </w:rPr>
        <w:t>. Realizację tego celu umożliwi zapewnienie powszechnego dostępu do nowoczesnych technologii oraz wsparcie nauczycieli w ich nauce poprzez m.in. poprowadzenie lekcji pokazowych w szkołach.</w:t>
      </w:r>
    </w:p>
    <w:p w:rsidR="004801E7" w:rsidRDefault="00B64569">
      <w:pPr>
        <w:shd w:val="clear" w:color="auto" w:fill="FFFFFF"/>
        <w:spacing w:after="240" w:line="276" w:lineRule="auto"/>
        <w:ind w:left="0" w:hanging="2"/>
        <w:jc w:val="both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lastRenderedPageBreak/>
        <w:t xml:space="preserve">Kontynuacją programu Laboratoria Przyszłości są </w:t>
      </w:r>
      <w:hyperlink r:id="rId11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Mobilne Laboratoria Przyszłości</w:t>
        </w:r>
      </w:hyperlink>
      <w:r>
        <w:rPr>
          <w:rFonts w:ascii="Arial" w:eastAsia="Arial" w:hAnsi="Arial" w:cs="Arial"/>
          <w:color w:val="1B1B1B"/>
          <w:sz w:val="20"/>
          <w:szCs w:val="20"/>
        </w:rPr>
        <w:t xml:space="preserve"> (MLP), które od września </w:t>
      </w:r>
      <w:r w:rsidR="00D86166">
        <w:rPr>
          <w:rFonts w:ascii="Arial" w:eastAsia="Arial" w:hAnsi="Arial" w:cs="Arial"/>
          <w:color w:val="1B1B1B"/>
          <w:sz w:val="20"/>
          <w:szCs w:val="20"/>
        </w:rPr>
        <w:t>2022 r</w:t>
      </w:r>
      <w:bookmarkStart w:id="1" w:name="_GoBack"/>
      <w:bookmarkEnd w:id="1"/>
      <w:r>
        <w:rPr>
          <w:rFonts w:ascii="Arial" w:eastAsia="Arial" w:hAnsi="Arial" w:cs="Arial"/>
          <w:color w:val="1B1B1B"/>
          <w:sz w:val="20"/>
          <w:szCs w:val="20"/>
        </w:rPr>
        <w:t>. w sposób praktyczny wspierają uczniów i nauczycieli w wykorzystywaniu możliwości sprzętu zakupionego w ramach programu Laboratoria Przyszłości. MLP to 16 ekip edukatorów, którzy poruszają się po kraju specjalnie oznaczonymi busami i prowadzą bezpłatne zajęcia dla uczniów tych szkół podstawowych, które zgłosiły chęć udziału w warsztatach pokazowych.</w:t>
      </w:r>
    </w:p>
    <w:p w:rsidR="004801E7" w:rsidRDefault="00B64569">
      <w:pPr>
        <w:shd w:val="clear" w:color="auto" w:fill="FFFFFF"/>
        <w:spacing w:after="240" w:line="276" w:lineRule="auto"/>
        <w:ind w:left="0" w:hanging="2"/>
        <w:jc w:val="both"/>
        <w:rPr>
          <w:rFonts w:ascii="Arial" w:eastAsia="Arial" w:hAnsi="Arial" w:cs="Arial"/>
          <w:color w:val="1B1B1B"/>
          <w:sz w:val="20"/>
          <w:szCs w:val="20"/>
          <w:highlight w:val="white"/>
        </w:rPr>
      </w:pPr>
      <w:r>
        <w:rPr>
          <w:rFonts w:ascii="Arial" w:eastAsia="Arial" w:hAnsi="Arial" w:cs="Arial"/>
          <w:i/>
          <w:color w:val="767676"/>
          <w:sz w:val="20"/>
          <w:szCs w:val="20"/>
          <w:highlight w:val="white"/>
        </w:rPr>
        <w:t xml:space="preserve">“Od startu programu Mobilne Laboratoria Przyszłości minęły niespełna cztery miesiące, a zespoły edukatorów </w:t>
      </w:r>
      <w:r>
        <w:rPr>
          <w:rFonts w:ascii="Arial" w:eastAsia="Arial" w:hAnsi="Arial" w:cs="Arial"/>
          <w:b/>
          <w:i/>
          <w:color w:val="767676"/>
          <w:sz w:val="20"/>
          <w:szCs w:val="20"/>
          <w:highlight w:val="white"/>
        </w:rPr>
        <w:t>odwiedziły 650 szkół i przeprowadziły zajęcia dla 39 tys. uczniów szkół podstawowych</w:t>
      </w:r>
      <w:r>
        <w:rPr>
          <w:rFonts w:ascii="Arial" w:eastAsia="Arial" w:hAnsi="Arial" w:cs="Arial"/>
          <w:i/>
          <w:color w:val="767676"/>
          <w:sz w:val="20"/>
          <w:szCs w:val="20"/>
          <w:highlight w:val="white"/>
        </w:rPr>
        <w:t xml:space="preserve">. Zainteresowanie szkół oraz pasja i zaangażowanie edukatorów przekładają się na entuzjazm uczniów. Doświadczają oni nauki przez zabawę, uzyskując kompetencje tak potrzebne w przesyconym nowymi technologiami świecie. Drukarki 3D, gogle VR, mikrokontrolery, sprzęty audio-video są już w kilkunastu tysiącach polskich szkół dzięki rządowemu programowi Laboratoria Przyszłości, aby wspierać realizację podstawy programowej. Program Mobilne Laboratoria Przyszłości będzie kontynuowany w kolejnych miesiącach, ponieważ zainteresowanie szkół jest olbrzymie i chcemy wyjść temu naprzeciw” </w:t>
      </w:r>
    </w:p>
    <w:p w:rsidR="004801E7" w:rsidRDefault="00B64569">
      <w:pPr>
        <w:shd w:val="clear" w:color="auto" w:fill="FFFFFF"/>
        <w:spacing w:after="240" w:line="276" w:lineRule="auto"/>
        <w:ind w:left="0" w:hanging="2"/>
        <w:jc w:val="both"/>
        <w:rPr>
          <w:rFonts w:ascii="Arial" w:eastAsia="Arial" w:hAnsi="Arial" w:cs="Arial"/>
          <w:color w:val="1B1B1B"/>
          <w:sz w:val="20"/>
          <w:szCs w:val="20"/>
          <w:highlight w:val="yellow"/>
        </w:rPr>
      </w:pPr>
      <w:r>
        <w:rPr>
          <w:rFonts w:ascii="Arial" w:eastAsia="Arial" w:hAnsi="Arial" w:cs="Arial"/>
          <w:color w:val="1B1B1B"/>
          <w:sz w:val="20"/>
          <w:szCs w:val="20"/>
        </w:rPr>
        <w:t>– podkreśla Michał Przymusiński, zastępca dyrektora IBE ds. Cyfryzacji Nauki i Edukacji</w:t>
      </w:r>
    </w:p>
    <w:p w:rsidR="004801E7" w:rsidRDefault="00B64569">
      <w:pPr>
        <w:shd w:val="clear" w:color="auto" w:fill="FFFFFF"/>
        <w:spacing w:after="240" w:line="276" w:lineRule="auto"/>
        <w:ind w:left="1" w:hanging="3"/>
        <w:jc w:val="both"/>
        <w:rPr>
          <w:rFonts w:ascii="Arial" w:eastAsia="Arial" w:hAnsi="Arial" w:cs="Arial"/>
          <w:b/>
          <w:color w:val="1B1B1B"/>
          <w:sz w:val="28"/>
          <w:szCs w:val="28"/>
        </w:rPr>
      </w:pPr>
      <w:r>
        <w:rPr>
          <w:rFonts w:ascii="Arial" w:eastAsia="Arial" w:hAnsi="Arial" w:cs="Arial"/>
          <w:b/>
          <w:color w:val="1B1B1B"/>
          <w:sz w:val="28"/>
          <w:szCs w:val="28"/>
        </w:rPr>
        <w:t>Podsumowanie grudnia 2022 i zapowiedź stycznia 2023</w:t>
      </w:r>
    </w:p>
    <w:p w:rsidR="004801E7" w:rsidRDefault="00B64569">
      <w:pPr>
        <w:shd w:val="clear" w:color="auto" w:fill="FFFFFF"/>
        <w:spacing w:after="240" w:line="276" w:lineRule="auto"/>
        <w:ind w:left="0" w:hanging="2"/>
        <w:jc w:val="both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t xml:space="preserve">Aktualna lista miejscowości zgłoszonych do programu znajduje się na oficjalnej stronie internetowej programu: </w:t>
      </w:r>
      <w:hyperlink r:id="rId12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https://www.gov.pl/web/laboratoria/gdzie-bedziemy</w:t>
        </w:r>
      </w:hyperlink>
      <w:r>
        <w:rPr>
          <w:rFonts w:ascii="Arial" w:eastAsia="Arial" w:hAnsi="Arial" w:cs="Arial"/>
          <w:color w:val="1B1B1B"/>
          <w:sz w:val="20"/>
          <w:szCs w:val="20"/>
        </w:rPr>
        <w:t xml:space="preserve"> </w:t>
      </w:r>
    </w:p>
    <w:p w:rsidR="004801E7" w:rsidRDefault="00B64569">
      <w:pPr>
        <w:shd w:val="clear" w:color="auto" w:fill="FFFFFF"/>
        <w:spacing w:after="240" w:line="276" w:lineRule="auto"/>
        <w:ind w:left="0" w:hanging="2"/>
        <w:jc w:val="both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t>W grudniu edukatorzy Mobilnych Laboratoriów Przyszłości odwiedzili 183 szkoły i przeprowadzili zajęcia dla 11 tys. uczniów w następujących miejscowościach:</w:t>
      </w:r>
    </w:p>
    <w:p w:rsidR="004801E7" w:rsidRDefault="00B64569">
      <w:pPr>
        <w:numPr>
          <w:ilvl w:val="0"/>
          <w:numId w:val="1"/>
        </w:numPr>
        <w:shd w:val="clear" w:color="auto" w:fill="FFFFFF"/>
        <w:spacing w:line="276" w:lineRule="auto"/>
        <w:ind w:left="0" w:hanging="2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t>województwo dolnośląskie: Złotoryja, Rzeszotary, Jaroszów,  Żerniki Wrocławskie, Strzegom, Głogów, Oława, Olszany, Wojcieszyce, Bielawa, Bolesławiec</w:t>
      </w:r>
    </w:p>
    <w:p w:rsidR="004801E7" w:rsidRDefault="00B64569">
      <w:pPr>
        <w:numPr>
          <w:ilvl w:val="0"/>
          <w:numId w:val="1"/>
        </w:numPr>
        <w:shd w:val="clear" w:color="auto" w:fill="FFFFFF"/>
        <w:spacing w:line="276" w:lineRule="auto"/>
        <w:ind w:left="0" w:hanging="2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t>województwo kujawsko-pomorskie: Lubień Kujawski, Kanibród, Radomin, Czarne, Dobrzyń nad Wisłą, Stolno, Jabłonowo Pomorskie, Lisnowo, Świecie nad Osą</w:t>
      </w:r>
    </w:p>
    <w:p w:rsidR="004801E7" w:rsidRDefault="00B64569">
      <w:pPr>
        <w:numPr>
          <w:ilvl w:val="0"/>
          <w:numId w:val="1"/>
        </w:numPr>
        <w:shd w:val="clear" w:color="auto" w:fill="FFFFFF"/>
        <w:spacing w:line="276" w:lineRule="auto"/>
        <w:ind w:left="0" w:hanging="2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t>województwo lubelskie: Horodło, Moniatycze, Czernięcin Główny, Hrubieszów, Uchanie, Momoty Górne, Biała Druga, Szarowola, Majdan Górny, Sabaudia, Typin, Wielącza Poduchowna, Łaszczów, Biała Podlaska</w:t>
      </w:r>
    </w:p>
    <w:p w:rsidR="004801E7" w:rsidRDefault="00B64569">
      <w:pPr>
        <w:numPr>
          <w:ilvl w:val="0"/>
          <w:numId w:val="1"/>
        </w:numPr>
        <w:shd w:val="clear" w:color="auto" w:fill="FFFFFF"/>
        <w:spacing w:line="276" w:lineRule="auto"/>
        <w:ind w:left="0" w:hanging="2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t>województwo lubuskie: Różanki, Gorzów Wielkopolski, Dobiegniew, Gorzów Wielkopolski, Górzyca, Zielona Góra, Niwiska, Podmokle Małe, Lipinki Łużyckie, Brójce</w:t>
      </w:r>
    </w:p>
    <w:p w:rsidR="004801E7" w:rsidRDefault="00B64569">
      <w:pPr>
        <w:numPr>
          <w:ilvl w:val="0"/>
          <w:numId w:val="1"/>
        </w:numPr>
        <w:shd w:val="clear" w:color="auto" w:fill="FFFFFF"/>
        <w:spacing w:line="276" w:lineRule="auto"/>
        <w:ind w:left="0" w:hanging="2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t>województwo łódzkie: Baby, Łódź, Mokrsko, Dalików, Kazimierz, Szydłów, Kobiele Wielkie, Oporów, Inowłódz, Kwiatkowice, Rzeczyca, Komorniki</w:t>
      </w:r>
    </w:p>
    <w:p w:rsidR="004801E7" w:rsidRDefault="00B64569">
      <w:pPr>
        <w:numPr>
          <w:ilvl w:val="0"/>
          <w:numId w:val="1"/>
        </w:numPr>
        <w:shd w:val="clear" w:color="auto" w:fill="FFFFFF"/>
        <w:spacing w:line="276" w:lineRule="auto"/>
        <w:ind w:left="0" w:hanging="2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t>województwo małopolskie: Skała, Kraków-Nowa Huta, Kraków-Podgórze, Łyczanka, Więcławice Stare, Regulice, Lanckorona, Łętkowice</w:t>
      </w:r>
    </w:p>
    <w:p w:rsidR="004801E7" w:rsidRDefault="00B64569">
      <w:pPr>
        <w:numPr>
          <w:ilvl w:val="0"/>
          <w:numId w:val="1"/>
        </w:numPr>
        <w:shd w:val="clear" w:color="auto" w:fill="FFFFFF"/>
        <w:spacing w:line="276" w:lineRule="auto"/>
        <w:ind w:left="0" w:hanging="2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t>województwo mazowieckie: Piaseczno, Czernice Borowe, Rostków, Liszyno, Jabłonna Lacka, Ostrówek, Stojadła, Radom, Przeradz Mały, Swojęcin</w:t>
      </w:r>
    </w:p>
    <w:p w:rsidR="004801E7" w:rsidRDefault="00B64569">
      <w:pPr>
        <w:numPr>
          <w:ilvl w:val="0"/>
          <w:numId w:val="1"/>
        </w:numPr>
        <w:shd w:val="clear" w:color="auto" w:fill="FFFFFF"/>
        <w:spacing w:line="276" w:lineRule="auto"/>
        <w:ind w:left="0" w:hanging="2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t>województwo opolskie: Jełowa, Łącznik, Malnia, Stare Siołkowice, Krapkowice, Prószków, Żywocice, Jarnołtówek, Dobrodzień</w:t>
      </w:r>
    </w:p>
    <w:p w:rsidR="004801E7" w:rsidRDefault="00B64569">
      <w:pPr>
        <w:numPr>
          <w:ilvl w:val="0"/>
          <w:numId w:val="1"/>
        </w:numPr>
        <w:shd w:val="clear" w:color="auto" w:fill="FFFFFF"/>
        <w:spacing w:line="276" w:lineRule="auto"/>
        <w:ind w:left="0" w:hanging="2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t>województwo podkarpackie: Jelna, Niziny, Zadąbrowie, Baranów Sandomierski, Mielec, Brzeziny, Wyszatyce, Bolestraszyce, Jadachy, Barycz, Jasionka, Sokołów Małopolski, Jarosław</w:t>
      </w:r>
    </w:p>
    <w:p w:rsidR="004801E7" w:rsidRDefault="00B64569">
      <w:pPr>
        <w:numPr>
          <w:ilvl w:val="0"/>
          <w:numId w:val="1"/>
        </w:numPr>
        <w:shd w:val="clear" w:color="auto" w:fill="FFFFFF"/>
        <w:spacing w:line="276" w:lineRule="auto"/>
        <w:ind w:left="0" w:hanging="2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lastRenderedPageBreak/>
        <w:t>województwo podlaskie: Słobódka, Mielnik, Jabłoń Kościelna, Nowe Piekuty, Janów, Suwałki, Kroszewo, Łabętnik, Uhowo</w:t>
      </w:r>
    </w:p>
    <w:p w:rsidR="004801E7" w:rsidRDefault="00B64569">
      <w:pPr>
        <w:numPr>
          <w:ilvl w:val="0"/>
          <w:numId w:val="1"/>
        </w:numPr>
        <w:shd w:val="clear" w:color="auto" w:fill="FFFFFF"/>
        <w:spacing w:line="276" w:lineRule="auto"/>
        <w:ind w:left="0" w:hanging="2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t>województwo pomorskie: Sadlinki, Sierakowice, Lębork, Studzienice, Wielkie Chełmy, Męcikał, Dębnica Kaszubska, Stężyca, Malbork, Marzęcino, Nowy Dwór Gdański</w:t>
      </w:r>
    </w:p>
    <w:p w:rsidR="004801E7" w:rsidRDefault="00B64569">
      <w:pPr>
        <w:numPr>
          <w:ilvl w:val="0"/>
          <w:numId w:val="1"/>
        </w:numPr>
        <w:shd w:val="clear" w:color="auto" w:fill="FFFFFF"/>
        <w:spacing w:line="276" w:lineRule="auto"/>
        <w:ind w:left="0" w:hanging="2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t>województwo śląskie: Ślemień, Zawiercie, Wilcza, Brenna, Radzionków, Jaworzno, Studzienice, Zebrzydowice, Dzięgielów, Dankowice, Stara Wieś, Pawłowice</w:t>
      </w:r>
    </w:p>
    <w:p w:rsidR="004801E7" w:rsidRDefault="00B64569">
      <w:pPr>
        <w:numPr>
          <w:ilvl w:val="0"/>
          <w:numId w:val="1"/>
        </w:numPr>
        <w:shd w:val="clear" w:color="auto" w:fill="FFFFFF"/>
        <w:spacing w:line="276" w:lineRule="auto"/>
        <w:ind w:left="0" w:hanging="2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t>województwo świętokrzyskie: Złota, Kapałów, Starachowice, Obrazów, Węgleszyn, Zaborowice, Wola Jachowa, Skorzeszyce, Kielce, Strawczyn</w:t>
      </w:r>
    </w:p>
    <w:p w:rsidR="004801E7" w:rsidRDefault="00B64569">
      <w:pPr>
        <w:numPr>
          <w:ilvl w:val="0"/>
          <w:numId w:val="1"/>
        </w:numPr>
        <w:shd w:val="clear" w:color="auto" w:fill="FFFFFF"/>
        <w:spacing w:line="276" w:lineRule="auto"/>
        <w:ind w:left="0" w:hanging="2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t>województwo warmińsko-mazurskie: Kolno, Brzydowo, Spychowo, Jeruty, Stawiguda, Ukta, Kętrzyn, Staświny, Biesal, Lubomino, Olsztyn</w:t>
      </w:r>
    </w:p>
    <w:p w:rsidR="004801E7" w:rsidRDefault="00B64569">
      <w:pPr>
        <w:numPr>
          <w:ilvl w:val="0"/>
          <w:numId w:val="1"/>
        </w:numPr>
        <w:shd w:val="clear" w:color="auto" w:fill="FFFFFF"/>
        <w:spacing w:line="276" w:lineRule="auto"/>
        <w:ind w:left="0" w:hanging="2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t>województwo wielkopolskie: Zbąszyń, Chrośnica, Nądnia, Sieraków, Taczanów Drugi, Stara Obra, Luboń, Lisewo, Czempiń, Kowalewo-Opactwo, Drążna</w:t>
      </w:r>
    </w:p>
    <w:p w:rsidR="004801E7" w:rsidRDefault="00B64569">
      <w:pPr>
        <w:numPr>
          <w:ilvl w:val="0"/>
          <w:numId w:val="1"/>
        </w:numPr>
        <w:shd w:val="clear" w:color="auto" w:fill="FFFFFF"/>
        <w:spacing w:line="276" w:lineRule="auto"/>
        <w:ind w:left="0" w:hanging="2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t>województwo zachodniopomorskie: Nowogard, Wierzchowo, Grzmiąca, Iwin, Stary Chwalim, Barwice, Koszalin, Bonin, Drzewiany.</w:t>
      </w:r>
    </w:p>
    <w:p w:rsidR="004801E7" w:rsidRDefault="004801E7">
      <w:pP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  <w:color w:val="1B1B1B"/>
          <w:sz w:val="20"/>
          <w:szCs w:val="20"/>
          <w:shd w:val="clear" w:color="auto" w:fill="F4CCCC"/>
        </w:rPr>
      </w:pPr>
    </w:p>
    <w:p w:rsidR="004801E7" w:rsidRDefault="00B64569">
      <w:pPr>
        <w:shd w:val="clear" w:color="auto" w:fill="FFFFFF"/>
        <w:spacing w:after="240" w:line="276" w:lineRule="auto"/>
        <w:ind w:left="0" w:hanging="2"/>
        <w:jc w:val="both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t xml:space="preserve">Aby zgłosić szkołę do udziału w programie, należy wypełnić </w:t>
      </w:r>
      <w:hyperlink r:id="rId13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formularz na stronie laboratoria.gov.pl</w:t>
        </w:r>
      </w:hyperlink>
      <w:r>
        <w:rPr>
          <w:rFonts w:ascii="Arial" w:eastAsia="Arial" w:hAnsi="Arial" w:cs="Arial"/>
          <w:color w:val="1B1B1B"/>
          <w:sz w:val="20"/>
          <w:szCs w:val="20"/>
        </w:rPr>
        <w:t>. Każda szkoła może zgłosić się do udziału w warsztatach i zaprosić edukatorów na pokazowe warsztaty, dzięki którym uczniowie będą mogli jeszcze lepiej korzystać ze sprzętu zakupionego w ramach Laboratoriów Przyszłości, a nauczyciele rozbudują swoją bazę dydaktyczną, co wpłynie na podniesienie poziomu kształcenia.</w:t>
      </w:r>
    </w:p>
    <w:p w:rsidR="004801E7" w:rsidRDefault="00B64569">
      <w:pPr>
        <w:shd w:val="clear" w:color="auto" w:fill="FFFFFF"/>
        <w:spacing w:after="240" w:line="276" w:lineRule="auto"/>
        <w:ind w:left="1" w:hanging="3"/>
        <w:jc w:val="both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b/>
          <w:color w:val="1B1B1B"/>
          <w:sz w:val="28"/>
          <w:szCs w:val="28"/>
        </w:rPr>
        <w:t>Więcej informacji</w:t>
      </w:r>
    </w:p>
    <w:p w:rsidR="004801E7" w:rsidRDefault="00B64569">
      <w:pPr>
        <w:shd w:val="clear" w:color="auto" w:fill="FFFFFF"/>
        <w:spacing w:after="240" w:line="240" w:lineRule="auto"/>
        <w:ind w:left="0" w:hanging="2"/>
        <w:jc w:val="both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t>Najbardziej aktualne informacje nt. Mobilnych Laboratoriów Przyszłości można znaleźć:</w:t>
      </w:r>
    </w:p>
    <w:p w:rsidR="004801E7" w:rsidRDefault="00B64569">
      <w:pPr>
        <w:shd w:val="clear" w:color="auto" w:fill="FFFFFF"/>
        <w:spacing w:after="240" w:line="240" w:lineRule="auto"/>
        <w:ind w:left="0" w:hanging="2"/>
        <w:jc w:val="both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t xml:space="preserve">na stronie internetowej: </w:t>
      </w:r>
      <w:hyperlink r:id="rId14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https://www.gov.pl/web/laboratoria/mobilne-laboratoria</w:t>
        </w:r>
      </w:hyperlink>
    </w:p>
    <w:p w:rsidR="004801E7" w:rsidRDefault="00B64569">
      <w:pPr>
        <w:shd w:val="clear" w:color="auto" w:fill="FFFFFF"/>
        <w:spacing w:after="240" w:line="240" w:lineRule="auto"/>
        <w:ind w:left="0" w:hanging="2"/>
        <w:jc w:val="both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t xml:space="preserve">na Facebooku: </w:t>
      </w:r>
      <w:hyperlink r:id="rId15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https://www.facebook.com/LaboratoriaPrzyszlosci</w:t>
        </w:r>
      </w:hyperlink>
      <w:r>
        <w:rPr>
          <w:rFonts w:ascii="Arial" w:eastAsia="Arial" w:hAnsi="Arial" w:cs="Arial"/>
          <w:color w:val="1B1B1B"/>
          <w:sz w:val="20"/>
          <w:szCs w:val="20"/>
        </w:rPr>
        <w:t xml:space="preserve"> </w:t>
      </w:r>
    </w:p>
    <w:p w:rsidR="004801E7" w:rsidRDefault="00B64569">
      <w:pPr>
        <w:shd w:val="clear" w:color="auto" w:fill="FFFFFF"/>
        <w:spacing w:after="240" w:line="240" w:lineRule="auto"/>
        <w:ind w:left="0" w:hanging="2"/>
        <w:jc w:val="both"/>
        <w:rPr>
          <w:rFonts w:ascii="Arial" w:eastAsia="Arial" w:hAnsi="Arial" w:cs="Arial"/>
          <w:color w:val="1B1B1B"/>
          <w:sz w:val="20"/>
          <w:szCs w:val="20"/>
        </w:rPr>
      </w:pPr>
      <w:r>
        <w:rPr>
          <w:rFonts w:ascii="Arial" w:eastAsia="Arial" w:hAnsi="Arial" w:cs="Arial"/>
          <w:color w:val="1B1B1B"/>
          <w:sz w:val="20"/>
          <w:szCs w:val="20"/>
        </w:rPr>
        <w:t xml:space="preserve">na Instagramie: </w:t>
      </w:r>
      <w:hyperlink r:id="rId16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https://www.instagram.com/laboratoriaprzyszlosci/</w:t>
        </w:r>
      </w:hyperlink>
      <w:r>
        <w:rPr>
          <w:rFonts w:ascii="Arial" w:eastAsia="Arial" w:hAnsi="Arial" w:cs="Arial"/>
          <w:color w:val="1B1B1B"/>
          <w:sz w:val="20"/>
          <w:szCs w:val="20"/>
        </w:rPr>
        <w:t xml:space="preserve"> </w:t>
      </w:r>
    </w:p>
    <w:p w:rsidR="004801E7" w:rsidRDefault="004801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:rsidR="004801E7" w:rsidRDefault="004801E7">
      <w:pPr>
        <w:spacing w:line="276" w:lineRule="auto"/>
        <w:ind w:left="0" w:hanging="2"/>
      </w:pPr>
    </w:p>
    <w:sectPr w:rsidR="004801E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843" w:right="1531" w:bottom="1701" w:left="1531" w:header="454" w:footer="19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788" w:rsidRDefault="007F3788">
      <w:pPr>
        <w:spacing w:line="240" w:lineRule="auto"/>
        <w:ind w:left="0" w:hanging="2"/>
      </w:pPr>
      <w:r>
        <w:separator/>
      </w:r>
    </w:p>
  </w:endnote>
  <w:endnote w:type="continuationSeparator" w:id="0">
    <w:p w:rsidR="007F3788" w:rsidRDefault="007F378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1E7" w:rsidRDefault="004801E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1E7" w:rsidRDefault="004801E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b/>
        <w:color w:val="666666"/>
        <w:sz w:val="16"/>
        <w:szCs w:val="16"/>
      </w:rPr>
    </w:pPr>
  </w:p>
  <w:p w:rsidR="004801E7" w:rsidRDefault="00B6456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>Instytut Badań Edukacyjnych</w:t>
    </w:r>
  </w:p>
  <w:p w:rsidR="004801E7" w:rsidRDefault="00B64569">
    <w:pPr>
      <w:pBdr>
        <w:top w:val="nil"/>
        <w:left w:val="nil"/>
        <w:bottom w:val="nil"/>
        <w:right w:val="nil"/>
        <w:between w:val="nil"/>
      </w:pBdr>
      <w:spacing w:line="288" w:lineRule="auto"/>
      <w:ind w:left="0" w:hanging="2"/>
      <w:rPr>
        <w:rFonts w:ascii="Open Sans" w:eastAsia="Open Sans" w:hAnsi="Open Sans" w:cs="Open Sans"/>
        <w:color w:val="404040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 xml:space="preserve">ul. Górczewska 8, 01-180 Warszawa | +48 22 241 71 00 </w:t>
    </w:r>
    <w:r>
      <w:rPr>
        <w:rFonts w:ascii="Arial" w:eastAsia="Arial" w:hAnsi="Arial" w:cs="Arial"/>
        <w:color w:val="000000"/>
        <w:sz w:val="16"/>
        <w:szCs w:val="16"/>
      </w:rPr>
      <w:t xml:space="preserve">| </w:t>
    </w:r>
    <w:r>
      <w:rPr>
        <w:rFonts w:ascii="Arial" w:eastAsia="Arial" w:hAnsi="Arial" w:cs="Arial"/>
        <w:color w:val="0070C0"/>
        <w:sz w:val="16"/>
        <w:szCs w:val="16"/>
      </w:rPr>
      <w:t>ibe@ibe.edu.pl</w:t>
    </w:r>
    <w:r>
      <w:rPr>
        <w:rFonts w:ascii="Arial" w:eastAsia="Arial" w:hAnsi="Arial" w:cs="Arial"/>
        <w:color w:val="000000"/>
        <w:sz w:val="16"/>
        <w:szCs w:val="16"/>
      </w:rPr>
      <w:t xml:space="preserve"> | </w:t>
    </w:r>
    <w:hyperlink r:id="rId1">
      <w:r>
        <w:rPr>
          <w:rFonts w:ascii="Arial" w:eastAsia="Arial" w:hAnsi="Arial" w:cs="Arial"/>
          <w:color w:val="0000FF"/>
          <w:sz w:val="16"/>
          <w:szCs w:val="16"/>
          <w:u w:val="single"/>
        </w:rPr>
        <w:t>www.ibe.edu.pl</w:t>
      </w:r>
    </w:hyperlink>
    <w:r>
      <w:rPr>
        <w:rFonts w:ascii="Arial" w:eastAsia="Arial" w:hAnsi="Arial" w:cs="Arial"/>
        <w:color w:val="0070C0"/>
        <w:sz w:val="16"/>
        <w:szCs w:val="16"/>
      </w:rPr>
      <w:t xml:space="preserve"> </w:t>
    </w:r>
  </w:p>
  <w:p w:rsidR="004801E7" w:rsidRDefault="00B6456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rFonts w:ascii="Arial" w:eastAsia="Arial" w:hAnsi="Arial" w:cs="Arial"/>
        <w:color w:val="666666"/>
        <w:sz w:val="16"/>
        <w:szCs w:val="16"/>
      </w:rPr>
      <w:t xml:space="preserve">NIP 525-000-86-95  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-48256</wp:posOffset>
          </wp:positionH>
          <wp:positionV relativeFrom="paragraph">
            <wp:posOffset>306070</wp:posOffset>
          </wp:positionV>
          <wp:extent cx="5614670" cy="882015"/>
          <wp:effectExtent l="0" t="0" r="0" b="0"/>
          <wp:wrapSquare wrapText="bothSides" distT="0" distB="0" distL="114300" distR="114300"/>
          <wp:docPr id="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3694" r="3690"/>
                  <a:stretch>
                    <a:fillRect/>
                  </a:stretch>
                </pic:blipFill>
                <pic:spPr>
                  <a:xfrm>
                    <a:off x="0" y="0"/>
                    <a:ext cx="5614670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1E7" w:rsidRDefault="004801E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788" w:rsidRDefault="007F3788">
      <w:pPr>
        <w:spacing w:line="240" w:lineRule="auto"/>
        <w:ind w:left="0" w:hanging="2"/>
      </w:pPr>
      <w:r>
        <w:separator/>
      </w:r>
    </w:p>
  </w:footnote>
  <w:footnote w:type="continuationSeparator" w:id="0">
    <w:p w:rsidR="007F3788" w:rsidRDefault="007F378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1E7" w:rsidRDefault="004801E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1E7" w:rsidRDefault="00B6456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5084445</wp:posOffset>
          </wp:positionH>
          <wp:positionV relativeFrom="paragraph">
            <wp:posOffset>-295924</wp:posOffset>
          </wp:positionV>
          <wp:extent cx="3524265" cy="3437940"/>
          <wp:effectExtent l="0" t="0" r="0" b="0"/>
          <wp:wrapNone/>
          <wp:docPr id="4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61792" r="44641"/>
                  <a:stretch>
                    <a:fillRect/>
                  </a:stretch>
                </pic:blipFill>
                <pic:spPr>
                  <a:xfrm rot="5400000">
                    <a:off x="0" y="0"/>
                    <a:ext cx="3524265" cy="3437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1E7" w:rsidRDefault="004801E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46AC6"/>
    <w:multiLevelType w:val="multilevel"/>
    <w:tmpl w:val="ED86D5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1E7"/>
    <w:rsid w:val="001620F5"/>
    <w:rsid w:val="004801E7"/>
    <w:rsid w:val="007F3788"/>
    <w:rsid w:val="00B64569"/>
    <w:rsid w:val="00D8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9932"/>
  <w15:docId w15:val="{CFF66B0F-6D7A-41F8-9482-141128BA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t-PT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rPr>
      <w:rFonts w:ascii="Lucida Grande CE" w:hAnsi="Lucida Grande CE"/>
      <w:w w:val="100"/>
      <w:position w:val="-1"/>
      <w:sz w:val="18"/>
      <w:szCs w:val="18"/>
      <w:effect w:val="none"/>
      <w:vertAlign w:val="baseline"/>
      <w:cs w:val="0"/>
      <w:em w:val="none"/>
      <w:lang w:val="pt-PT" w:eastAsia="pt-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2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.govtech.gov.pl/ankieta/801363/zgloszenie-szkol-do-udzialu-w-mobilnych-laboratoriach-przyszlosci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gov.pl/web/laboratoria/gdzie-bedziem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laboratoriaprzyszlosci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laboratoria/mobilne-laboratori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LaboratoriaPrzyszlosc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pl/web/laboratori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v.pl/web/laboratoria/mobilne-laboratoria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www.ibe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9h3KjlbZPcHPjy32xyS/j65sPw==">AMUW2mU4GpMsU+Gba/g2SEbrzU3kFGjflIKmUuW8g9FJ/UZ5TYaLqOL76FhdBCUUy/KbgmKWkbqCzj3ClkGvrV9MWY+kgGqqC2MDIMxM5ZHwLJ2BDG+TnlY6/zoKL5+YRET090kYLE1D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Pawlus Julia</dc:creator>
  <cp:lastModifiedBy>IBE-ES</cp:lastModifiedBy>
  <cp:revision>3</cp:revision>
  <dcterms:created xsi:type="dcterms:W3CDTF">2022-08-31T13:28:00Z</dcterms:created>
  <dcterms:modified xsi:type="dcterms:W3CDTF">2023-01-03T10:49:00Z</dcterms:modified>
</cp:coreProperties>
</file>