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4F" w:rsidRPr="008F3CD3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left"/>
        <w:rPr>
          <w:rFonts w:cs="Tahoma"/>
          <w:sz w:val="24"/>
          <w:szCs w:val="24"/>
          <w:cs/>
          <w:lang w:bidi="th-TH"/>
        </w:rPr>
      </w:pPr>
      <w:bookmarkStart w:id="0" w:name="bookmark5"/>
      <w:r>
        <w:rPr>
          <w:rFonts w:cs="Tahoma"/>
          <w:sz w:val="24"/>
          <w:szCs w:val="24"/>
          <w:cs/>
          <w:lang w:bidi="th-TH"/>
        </w:rPr>
        <w:t xml:space="preserve">3. </w:t>
      </w:r>
      <w:r>
        <w:rPr>
          <w:rFonts w:cs="Angsana New"/>
          <w:sz w:val="24"/>
          <w:szCs w:val="24"/>
          <w:cs/>
          <w:lang w:bidi="th-TH"/>
        </w:rPr>
        <w:t>คำแนะนำเกี่ยวกับสิทธิและหน้าที่ของผู้ต้องสงสัยในกระบวนพิจารณาทางอาญา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0"/>
    </w:p>
    <w:p w:rsidR="00EF4954" w:rsidRPr="008F3CD3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  <w:lang w:val="en-GB"/>
        </w:rPr>
      </w:pPr>
    </w:p>
    <w:p w:rsidR="00EF4954" w:rsidRPr="008F3CD3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rFonts w:cs="Tahoma"/>
          <w:b w:val="0"/>
          <w:bCs w:val="0"/>
          <w:i/>
          <w:iCs/>
          <w:sz w:val="24"/>
          <w:szCs w:val="24"/>
          <w:cs/>
          <w:lang w:bidi="th-TH"/>
        </w:rPr>
      </w:pPr>
      <w:r>
        <w:rPr>
          <w:rFonts w:cs="Angsana New"/>
          <w:b w:val="0"/>
          <w:bCs w:val="0"/>
          <w:i/>
          <w:iCs/>
          <w:sz w:val="24"/>
          <w:szCs w:val="24"/>
          <w:cs/>
          <w:lang w:bidi="th-TH"/>
        </w:rPr>
        <w:t>ที่มา</w:t>
      </w:r>
      <w:r>
        <w:rPr>
          <w:rFonts w:cs="Tahoma"/>
          <w:b w:val="0"/>
          <w:bCs w:val="0"/>
          <w:i/>
          <w:iCs/>
          <w:sz w:val="24"/>
          <w:szCs w:val="24"/>
          <w:cs/>
          <w:lang w:bidi="th-TH"/>
        </w:rPr>
        <w:t xml:space="preserve">: </w:t>
      </w:r>
      <w:r>
        <w:rPr>
          <w:rFonts w:cs="Angsana New"/>
          <w:b w:val="0"/>
          <w:bCs w:val="0"/>
          <w:i/>
          <w:iCs/>
          <w:sz w:val="24"/>
          <w:szCs w:val="24"/>
          <w:cs/>
          <w:lang w:bidi="th-TH"/>
        </w:rPr>
        <w:t>ระเบียบรัฐมนตรีว่าการกระทรวงยุติธรรม</w:t>
      </w:r>
      <w:r>
        <w:rPr>
          <w:rFonts w:cs="Tahoma"/>
          <w:b w:val="0"/>
          <w:bCs w:val="0"/>
          <w:i/>
          <w:iCs/>
          <w:sz w:val="24"/>
          <w:szCs w:val="24"/>
          <w:cs/>
          <w:lang w:bidi="th-TH"/>
        </w:rPr>
        <w:t xml:space="preserve"> 14 </w:t>
      </w:r>
      <w:r>
        <w:rPr>
          <w:rFonts w:cs="Angsana New"/>
          <w:b w:val="0"/>
          <w:bCs w:val="0"/>
          <w:i/>
          <w:iCs/>
          <w:sz w:val="24"/>
          <w:szCs w:val="24"/>
          <w:cs/>
          <w:lang w:bidi="th-TH"/>
        </w:rPr>
        <w:t>กันยายน</w:t>
      </w:r>
      <w:r>
        <w:rPr>
          <w:rFonts w:cs="Tahoma"/>
          <w:b w:val="0"/>
          <w:bCs w:val="0"/>
          <w:i/>
          <w:iCs/>
          <w:sz w:val="24"/>
          <w:szCs w:val="24"/>
          <w:cs/>
          <w:lang w:bidi="th-TH"/>
        </w:rPr>
        <w:t xml:space="preserve"> 2020 (</w:t>
      </w:r>
      <w:r>
        <w:rPr>
          <w:rFonts w:cs="Angsana New"/>
          <w:b w:val="0"/>
          <w:bCs w:val="0"/>
          <w:i/>
          <w:iCs/>
          <w:sz w:val="24"/>
          <w:szCs w:val="24"/>
          <w:cs/>
          <w:lang w:bidi="th-TH"/>
        </w:rPr>
        <w:t>ข้อ</w:t>
      </w:r>
      <w:r>
        <w:rPr>
          <w:rFonts w:cs="Tahoma"/>
          <w:b w:val="0"/>
          <w:bCs w:val="0"/>
          <w:i/>
          <w:iCs/>
          <w:sz w:val="24"/>
          <w:szCs w:val="24"/>
          <w:cs/>
          <w:lang w:bidi="th-TH"/>
        </w:rPr>
        <w:t xml:space="preserve"> 1618)</w:t>
      </w:r>
    </w:p>
    <w:p w:rsidR="00EF4954" w:rsidRPr="008F3CD3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  <w:lang w:val="en-GB"/>
        </w:rPr>
      </w:pP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ในฐานะผู้ต้องสงสัยในกระบวนพิจารณาทางอาญาคุณมีสิทธิดังต่อไปนี้</w:t>
      </w:r>
      <w:r>
        <w:rPr>
          <w:rFonts w:cs="Tahoma"/>
          <w:sz w:val="24"/>
          <w:szCs w:val="24"/>
          <w:cs/>
          <w:lang w:bidi="th-TH"/>
        </w:rPr>
        <w:t>: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1" w:name="bookmark6"/>
      <w:r>
        <w:rPr>
          <w:rFonts w:cs="Angsana New"/>
          <w:sz w:val="24"/>
          <w:szCs w:val="24"/>
          <w:cs/>
          <w:lang w:bidi="th-TH"/>
        </w:rPr>
        <w:t>คำอธิบาย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1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ระหว่างการสืบพยานคุณสามารถอธิบายหรือปฏิเสธที่จะอธิบายหรือตอบคำถามแต่ละข้อโดยไม่ต้องให้เหตุผลในการปฏิเสธของคุณ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175 </w:t>
      </w:r>
      <w:r>
        <w:rPr>
          <w:sz w:val="24"/>
          <w:szCs w:val="24"/>
          <w:cs/>
          <w:lang w:bidi="th-TH"/>
        </w:rPr>
        <w:t>§</w:t>
      </w:r>
      <w:r w:rsidR="00CF7572">
        <w:rPr>
          <w:rFonts w:cs="Tahoma"/>
          <w:sz w:val="24"/>
          <w:szCs w:val="24"/>
          <w:cs/>
          <w:lang w:bidi="th-TH"/>
        </w:rPr>
        <w:t xml:space="preserve"> 1)</w:t>
      </w:r>
      <w:r w:rsidR="00EF4954" w:rsidRPr="008F3CD3">
        <w:rPr>
          <w:rStyle w:val="FootnoteReference"/>
          <w:sz w:val="24"/>
          <w:szCs w:val="24"/>
          <w:lang w:val="en-GB"/>
        </w:rPr>
        <w:footnoteReference w:id="1"/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ระหว่างการสืบพยานคุณสามารถส่งคำอธิบายเป็นลายลักษณ์อักษรได้เช่นกันตามคำร้องของคุณหรือของทนายความของคุณ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แต่คุณไม่สามารถติดต่อบุคคลอื่นได้ในช่วงเวลานี้ได้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เจ้าหน้าที่สืบพยานอาจปฏิเสธที่จะให้มีคำอธิบายในรูปแบบนี้ได้หากมีเหตุผลที่สำคัญ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176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F20C3A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หากคุณอยู่ในกิจกรรมที่เป็นหลักฐานคุณสามารถอธิบายหลักฐานใด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ก็ได้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175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2" w:name="bookmark7"/>
      <w:r>
        <w:rPr>
          <w:rFonts w:cs="Angsana New"/>
          <w:sz w:val="24"/>
          <w:szCs w:val="24"/>
          <w:cs/>
          <w:lang w:bidi="th-TH"/>
        </w:rPr>
        <w:t>ความช่วยเหลือทางกฎหมาย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2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คุณมีสิทธิ์ที่จะได้รับความช่วยเหลือจากทนายความที่คุณแต่งตั้ง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คุณไม่สามารถมีทนายที่คุณเลือกได้มากกว่าสามคนในเวลาเดียวกัน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77)</w:t>
      </w:r>
    </w:p>
    <w:p w:rsidR="007F544F" w:rsidRPr="008F3CD3" w:rsidRDefault="00F20C3A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หากคุณถูกจับกุมคุณสามารถสื่อสารกับทนายความของคุณในขณะที่คนอื่นไม่อยู่หรือทางไปรษณีย์ได้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โดยเฉพาะอย่างยิ่งในกรณีที่มีความชอบธรรมพนักงานอัยการสามารถกำหนดว่าตนเองหรือบุคคลที่ได้รับอนุญาตจะเข้าร่วมหากจำเป็นสำหรับกระบวนพิจารณาก่อนการพิจารณา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นอกจากนี้พนักงานอัยการสามารถสงวนการควบคุมการติดต่อของคุณกับทนายความฝ่ายจำเลยของคุณด้วยเหตุผลเดียวกัน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การสงวนเหล่านี้จะไม่สามารถรักษาหรือทำได้หลังจาก</w:t>
      </w:r>
      <w:r>
        <w:rPr>
          <w:rFonts w:cs="Tahoma"/>
          <w:sz w:val="24"/>
          <w:szCs w:val="24"/>
          <w:cs/>
          <w:lang w:bidi="th-TH"/>
        </w:rPr>
        <w:t xml:space="preserve"> 14 </w:t>
      </w:r>
      <w:r>
        <w:rPr>
          <w:rFonts w:cs="Angsana New"/>
          <w:sz w:val="24"/>
          <w:szCs w:val="24"/>
          <w:cs/>
          <w:lang w:bidi="th-TH"/>
        </w:rPr>
        <w:t>วันนับจากวันที่ถูกคุมขังก่อนการพิจารณาคดี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73)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หากคุณสามารถแสดงให้เห็นว่าคุณไม่สามารถจ่ายค่าทนายความได้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คุณไม่สามารถรับภาระค่าใช้จ่ายในต่อสู้คดีตามที่คุณเลือกโดยปราศจากความเสียหายต่อการดำรงชีวิตที่จำเป็นของตัวคุณเองและครอบครัวของคุณ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ศาลอาจแต่งตั้งทนายของรัฐตามญัตติของศาลเพื่อจุดประสงค์ในการดำเนินการตามขั้นตอนเฉพาะเมื่อคุณร้องขอ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78)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คุณสามารถขอแต่งตั้งทนายความฝ่ายจำเลยโดยตำแหน่งในกระบวนพิจารณาคดีของศาลได้ภายใน</w:t>
      </w:r>
      <w:r>
        <w:rPr>
          <w:rFonts w:cs="Tahoma"/>
          <w:sz w:val="24"/>
          <w:szCs w:val="24"/>
          <w:cs/>
          <w:lang w:bidi="th-TH"/>
        </w:rPr>
        <w:t xml:space="preserve"> 7 </w:t>
      </w:r>
      <w:r>
        <w:rPr>
          <w:rFonts w:cs="Angsana New"/>
          <w:sz w:val="24"/>
          <w:szCs w:val="24"/>
          <w:cs/>
          <w:lang w:bidi="th-TH"/>
        </w:rPr>
        <w:t>วันหลังจากได้รับสำเนาคำฟ้อง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คุณส่งคำขอของคุณหลังจากเวลาที่กำหนดหรือไม่แนบหลักฐานเพื่อพิสูจน์ว่าคุณไม่สามารถแบกรับค่าใช้จ่ายในการสู้คดี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อาจส่งผลให้คำขอของคุณได้รับการพิจารณาหลังจากวันที่กำหนดของการสืบพยานหรือช่วงการประชุม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338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ควรยื่นคำร้องขอแต่งตั้งทนายความฝ่ายจำเลยโดยตำแหน่งหลังจากวันแรกของการพิจารณาคดีเพื่อไม่ให้มีการเปลี่ยนแปลงวันถัดไปของการพิจารณาคดีหรือช่วงการประชุม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338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คุณสามารถเรียกร้องให้ทนายความฝ่ายจำเลยที่ได้รับการแต่งตั้งเข้าร่วมการสืบพยานของคุณได้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อย่างไรก็ตามการที่ทนายความของคุณไม่ได้ไปร่วมการสืบพยานจะไม่เป็นการขัดขวางการสืบพยาน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301)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กรณีที่มีการตัดสินลงโทษหรือยุติกระบวนพิจารณาคดีอาญาโดยมีเงื่อนไขคุณอาจถูกเรียกเก็บเงินค่าทนายของรัฐ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627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629)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3" w:name="bookmark8"/>
      <w:r>
        <w:rPr>
          <w:rFonts w:cs="Angsana New"/>
          <w:sz w:val="24"/>
          <w:szCs w:val="24"/>
          <w:cs/>
          <w:lang w:bidi="th-TH"/>
        </w:rPr>
        <w:t>ข้อแก้ตัวสำหรับการไม่มาขึ้นศาล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3"/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right="20" w:firstLine="0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หากคุณถูกเรียกตัวให้มาปรากฏตัว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ข้ออ้างในการไม่มาศาล</w:t>
      </w: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right="20" w:firstLine="0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เนื่องจากการเจ็บป่วยสามารถทำได้โดยการแสดงใบรับรองที่ออกโดยแพทย์ประจำศาลเท่านั้น</w:t>
      </w: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ใบรับรองหรือเอกสารยกเว้นอื่นถือว่าไม่เพียงพอ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117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4" w:name="bookmark9"/>
      <w:r>
        <w:rPr>
          <w:rFonts w:cs="Angsana New"/>
          <w:sz w:val="24"/>
          <w:szCs w:val="24"/>
          <w:cs/>
          <w:lang w:bidi="th-TH"/>
        </w:rPr>
        <w:t>การใช้ล่าม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4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หากคุณพูดภาษาโปแลนด์ไม่เก่งพอ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คุณมีสิทธิ์ได้รับความช่วยเหลือจากล่ามฟรี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ล่ามจะถูกเรียกให้ติดต่อทนายความฝ่ายจำเลยของคุณเกี่ยวกับกิจกรรมที่คุณมีสิทธิ์เข้าร่วมตามคำร้องขอของคุณหรือตามคำร้องขอของทนายความฝ่ายจำเลยของคุณ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72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หากคุณพูดภาษาโปแลนด์ไม่เก่งพอ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คุณจะได้รับคำสั่งให้นำเสนอ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การเพิ่มเติมและการเปลี่ยนแปลงค่าใช้จ่าย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คำฟ้องและคำตัดสินที่อาจมีการอุทธรณ์หรือยุติกระบวนพิจารณาพร้อมกับคำแปล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คุณเห็นด้วยบุคคลที่ดำเนินกระบวนพิจารณาสามารถหยุดได้โดยประกาศให้คุณทราบคำตัดสินที่ถูกแปลแล้วเพื่อยุติกระบวนพิจารณาหากไม่ต้องมีการอุทธรณ์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72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5" w:name="bookmark10"/>
      <w:r>
        <w:rPr>
          <w:rFonts w:cs="Angsana New"/>
          <w:sz w:val="24"/>
          <w:szCs w:val="24"/>
          <w:cs/>
          <w:lang w:bidi="th-TH"/>
        </w:rPr>
        <w:lastRenderedPageBreak/>
        <w:t>ข้อมูลเกี่ยวกับเนื้อหาของข้อกล่าวหา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5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คุณมีสิทธิ์ที่จะรู้ว่าคุณถูกสงสัยเรื่องอะไร</w:t>
      </w:r>
      <w:r>
        <w:rPr>
          <w:rFonts w:cs="Tahoma"/>
          <w:sz w:val="24"/>
          <w:szCs w:val="24"/>
          <w:cs/>
          <w:lang w:bidi="th-TH"/>
        </w:rPr>
        <w:t xml:space="preserve">: </w:t>
      </w:r>
      <w:r>
        <w:rPr>
          <w:rFonts w:cs="Angsana New"/>
          <w:sz w:val="24"/>
          <w:szCs w:val="24"/>
          <w:cs/>
          <w:lang w:bidi="th-TH"/>
        </w:rPr>
        <w:t>เนื้อหาของข้อหา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การเพิ่มเติมและการแก้ไขข้อกล่าวหา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ตลอดจนการจำแนกประเภทตามกฎหมายของความผิดที่คุณถูกตั้งข้อหา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314 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325</w:t>
      </w:r>
      <w:r>
        <w:rPr>
          <w:rFonts w:cs="Angsana New"/>
          <w:sz w:val="24"/>
          <w:szCs w:val="24"/>
          <w:cs/>
          <w:lang w:bidi="th-TH"/>
        </w:rPr>
        <w:t>ช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308)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คุณมีสิทธิ์ที่จะเรียกร้องให้มีการแจ้งมูลข้อหาให้คุณทราบด้วยวาจา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ตลอดจนคำชี้แจงเหตุผลเป็นลายลักษณ์อักษรภายใน</w:t>
      </w:r>
      <w:r>
        <w:rPr>
          <w:rFonts w:cs="Tahoma"/>
          <w:sz w:val="24"/>
          <w:szCs w:val="24"/>
          <w:cs/>
          <w:lang w:bidi="th-TH"/>
        </w:rPr>
        <w:t xml:space="preserve"> 14 </w:t>
      </w:r>
      <w:r>
        <w:rPr>
          <w:rFonts w:cs="Angsana New"/>
          <w:sz w:val="24"/>
          <w:szCs w:val="24"/>
          <w:cs/>
          <w:lang w:bidi="th-TH"/>
        </w:rPr>
        <w:t>วัน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จนกว่าจะถึงเวลาที่ได้รับแจ้งการจำกัดเวลาสำหรับการทำความคุ้นเคยกับเนื้อหาของกระบวนพิจารณา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6" w:name="bookmark11"/>
      <w:r>
        <w:rPr>
          <w:rFonts w:cs="Angsana New"/>
          <w:sz w:val="24"/>
          <w:szCs w:val="24"/>
          <w:cs/>
          <w:lang w:bidi="th-TH"/>
        </w:rPr>
        <w:t>การร้องขอหลักฐานและการมีส่วนร่วม</w:t>
      </w:r>
      <w:bookmarkEnd w:id="6"/>
      <w:r>
        <w:rPr>
          <w:rFonts w:cs="Angsana New"/>
          <w:cs/>
          <w:lang w:bidi="th-TH"/>
        </w:rPr>
        <w:t>ในกระบวนพิจารณา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คุณสามารถส่งคำร้องเพื่อดำเนินการตามขั้นตอนได้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เช่น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เพื่อสืบพยาน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รับเอกสารหรืออนุญาตให้มีความเห็นจากผู้เชี่ยวชาญ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315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คำขอของคุณจะไม่ได้รับการพิจารณาหาก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170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1):</w:t>
      </w:r>
    </w:p>
    <w:p w:rsidR="007F544F" w:rsidRPr="008F3CD3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hanging="2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ไม่สามารถรับการสืบพยานได้</w:t>
      </w:r>
    </w:p>
    <w:p w:rsidR="007F544F" w:rsidRPr="008F3CD3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right="20" w:hanging="2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พฤติการณ์ที่ต้องพิสูจน์ไม่เกี่ยวข้องกับการคลี่คลายคดีหรือได้รับการพิสูจน์แล้วตามข้อเรียกร้องของคุณ</w:t>
      </w:r>
    </w:p>
    <w:p w:rsidR="007F544F" w:rsidRPr="008F3CD3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หลักฐานไม่มีประโยชน์ในพิสูจน์สถานการณ์</w:t>
      </w:r>
    </w:p>
    <w:p w:rsidR="007F544F" w:rsidRPr="008F3CD3" w:rsidRDefault="005F7B28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ไม่สามารถแสดงหลักฐานได้</w:t>
      </w:r>
    </w:p>
    <w:p w:rsidR="007F544F" w:rsidRPr="008F3CD3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right="20" w:hanging="28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ารยื่นคำร้องขอดำเนินคดีมีวัตถุประสงค์อย่างชัดเจนเพื่อยืดระยะเวลาการดำเนินคดีหรือถูกส่งหลังจากครบกำหนดเวลาที่ผู้สอบสวนตามที่คุณได้รับแจ้ง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บุคคลที่ดำเนินกระบวนพิจารณาไม่สามารถปฏิเสธที่จะให้คุณและทนายความฝ่ายจำเลยของคุณมีส่วนร่วมในการดำเนินคดีหากคุณได้ส่งคำร้องขอให้ดำเนินการดังกล่าวแล้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315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คุณสามารถขออนุญาตเพื่อเข้าร่วมในกระบวนพิจารณาอื่น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พนักงานอัยการอาจปฏิเสธไม่ให้คุณเข้าร่วมกิจกรรมเหล่านี้ในกรณีที่มีความชอบธรรมโดยเฉพาะเพื่อผลประโยชน์ที่สำคัญในกระบวนพิจารณาและหากคุณถูกลิดรอนเสรีภาพหากเข้าร่วมจะทำให้เกิดปัญหาร้ายแรง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317)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ไม่สามารถดำเนินกระบวนพิจารณาซ้ำได้คุณและทนายความฝ่ายจำเลยของคุณสามารถเข้าร่วมได้เว้นแต่จะมีอันตรายที่หลักฐานอาจสูญหายหรือถูกบิดเบือนได้ในกรณีที่เกิดความล่าช้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316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หากมีข้อกังวลว่าจะไม่สามารถสืบพยานได้ในการพิจารณาคดี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คุณสามารถขอให้ศาลสืบพยานหรือขอให้อัยการสืบพยานในลักษณะนี้ได้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316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หากมีการยอมรับหลักฐานที่เป็นความคิดเห็นของผู้เชี่ยวชาญในกระบวนพิจารณา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และทนายความฝ่ายจำเลยของคุณสามารถมีส่วนร่วมในการสืบพยานของผู้เชี่ยวชาญและปรึกษาผู้เชี่ยวชาญเพื่อขอความคิดเห็นได้หากมีการยื่นความคิดเห็นเป็นลายลักษณ์อักษร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318)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7" w:name="bookmark12"/>
      <w:r>
        <w:rPr>
          <w:rFonts w:cs="Angsana New"/>
          <w:sz w:val="24"/>
          <w:szCs w:val="24"/>
          <w:cs/>
          <w:lang w:bidi="th-TH"/>
        </w:rPr>
        <w:t>การเข้าถึงแฟ้มเอกสาร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7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คุณสามารถร้องขอการเข้าถึงแฟ้มเอกสารคดี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ทำสำเนาและบทคัดย่อจากแฟ้มเอกสารได้แม้หลังจากการสอบสวนเบื้องต้น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การสอบสวนหรือการฟ้องร้อง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เสร็จแล้ว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ขั้นตอนก่อนการพิจารณาคดีคุณอาจถูกปฏิเสธไม่ให้เข้าถึงแฟ้มเอกสารเพื่อประโยชน์ที่สำคัญของรัฐหรือเพื่อประโยชน์ในการดำเนิน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สามารถเข้าถึงแฟ้มเอกสารได้ในรูปแบบอิเล็กทรอนิกส์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156)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หากมีการร้องขอให้ยื่นคำร้องหรือขยายการคุมขังก่อนการพิจารณาคดีของคุณต่อศาล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ทั้งคุณและทนายความฝ่ายจำเลยของคุณจะมีสิทธิ์เข้าถึงแฟ้มคดีในส่วนที่มีหลักฐานที่แนบมากับคำขอ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หากมีเหตุผลให้กลัวว่าจะเป็นอันตรายต่อชีวิต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สุขภาพหรือเสรีภาพของพยานหรือบุคคลที่ใกล้ชิดที่สุดของพยาน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คุณจะไม่สามารถเข้าถึงคำให้การของพยานคนดังกล่าวได้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156 (5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8" w:name="bookmark13"/>
      <w:r>
        <w:rPr>
          <w:rFonts w:cs="Angsana New"/>
          <w:sz w:val="24"/>
          <w:szCs w:val="24"/>
          <w:cs/>
          <w:lang w:bidi="th-TH"/>
        </w:rPr>
        <w:t>การทำความคุ้นเคยกับเนื้อหาของกระบวนพิจารณาครั้งสุดท้าย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8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คุณสามารถขอทำความคุ้นเคยกับเนื้อหาของกระบวนพิจารณาครั้งสุดท้ายก่อนที่กระบวนพิจารณาจะปิด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ทนายความฝ่ายจำเลยของคุณสามารถมีส่วนร่วมในการดำเนินการนี้ได้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321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ภายใน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วันนับจากวันที่ทำความคุ้นเคย</w:t>
      </w:r>
      <w:r w:rsidR="00CF7572">
        <w:rPr>
          <w:rFonts w:cs="Angsana New" w:hint="cs"/>
          <w:sz w:val="24"/>
          <w:szCs w:val="24"/>
          <w:cs/>
          <w:lang w:bidi="th-TH"/>
        </w:rPr>
        <w:t>กั</w:t>
      </w:r>
      <w:r>
        <w:rPr>
          <w:rFonts w:cs="Angsana New"/>
          <w:sz w:val="24"/>
          <w:szCs w:val="24"/>
          <w:cs/>
          <w:lang w:bidi="th-TH"/>
        </w:rPr>
        <w:t>บเนื้อหาของกระบวนพิจารณาคุณสามารถยื่นขอข้อมูลเพิ่มเติมในกระบวนพิจารณาได้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321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5)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่อนที่คุณจะคุ้นเคยกับเนื้อหาของกระบวนพิจารณาครั้งสุดท้ายคุณมีสิทธิ์ตรวจสอบแฟ้มซึ่งสามารถจัดทำในรูปแบบอิเล็กทรอนิกส์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321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9" w:name="bookmark14"/>
      <w:r>
        <w:rPr>
          <w:rFonts w:cs="Angsana New"/>
          <w:sz w:val="24"/>
          <w:szCs w:val="24"/>
          <w:cs/>
          <w:lang w:bidi="th-TH"/>
        </w:rPr>
        <w:t>ขั้นตอนการไกล่เกลี่ย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9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คุณสามารถขอให้ส่งคดีไปสู่การไกล่เกลี่ยเพื่อตกลงกับผู้เสียหาย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และสามารถตกลงกับผู้ต้องหาในวิธีการเยียวยาความเสียหายได้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23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 </w:t>
      </w:r>
      <w:r>
        <w:rPr>
          <w:rFonts w:cs="Angsana New"/>
          <w:sz w:val="24"/>
          <w:szCs w:val="24"/>
          <w:cs/>
          <w:lang w:bidi="th-TH"/>
        </w:rPr>
        <w:t>การเข้าร่วมในกระบวนการไกล่เกลี่ยเป็นไปโดยสมัครใจ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ผลสำเร็จของการไกล่เกลี่ยจะถูกนำมาพิจารณาการลงโทษโดยศาล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53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ของพระราชบัญญัติ</w:t>
      </w:r>
      <w:r>
        <w:rPr>
          <w:rFonts w:cs="Tahoma"/>
          <w:sz w:val="24"/>
          <w:szCs w:val="24"/>
          <w:cs/>
          <w:lang w:bidi="th-TH"/>
        </w:rPr>
        <w:t xml:space="preserve"> 6 </w:t>
      </w:r>
      <w:r>
        <w:rPr>
          <w:rFonts w:cs="Angsana New"/>
          <w:sz w:val="24"/>
          <w:szCs w:val="24"/>
          <w:cs/>
          <w:lang w:bidi="th-TH"/>
        </w:rPr>
        <w:t>มิถุนายน</w:t>
      </w:r>
      <w:r>
        <w:rPr>
          <w:rFonts w:cs="Tahoma"/>
          <w:sz w:val="24"/>
          <w:szCs w:val="24"/>
          <w:cs/>
          <w:lang w:bidi="th-TH"/>
        </w:rPr>
        <w:t xml:space="preserve"> 1997 - </w:t>
      </w:r>
      <w:r>
        <w:rPr>
          <w:rFonts w:cs="Angsana New"/>
          <w:sz w:val="24"/>
          <w:szCs w:val="24"/>
          <w:cs/>
          <w:lang w:bidi="th-TH"/>
        </w:rPr>
        <w:t>ประมวลกฎหมายอาญา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วารสารกฎหมายปี</w:t>
      </w:r>
      <w:r>
        <w:rPr>
          <w:rFonts w:cs="Tahoma"/>
          <w:sz w:val="24"/>
          <w:szCs w:val="24"/>
          <w:cs/>
          <w:lang w:bidi="th-TH"/>
        </w:rPr>
        <w:t xml:space="preserve"> 2020 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1444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1517)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lastRenderedPageBreak/>
        <w:t>ขั้นตอนการไกล่เกลี่ยจะต้องดำเนินการโดยผู้ไกล่เกลี่ยที่ได้รับการแต่งตั้งซึ่งมีหน้าที่ต้องรักษาความลับของกระบวนการไกล่เกลี่ย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178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10" w:name="bookmark15"/>
      <w:r>
        <w:rPr>
          <w:rFonts w:cs="Angsana New"/>
          <w:sz w:val="24"/>
          <w:szCs w:val="24"/>
          <w:cs/>
          <w:lang w:bidi="th-TH"/>
        </w:rPr>
        <w:t>การไกล่เกลี่ยโทษ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10"/>
    </w:p>
    <w:p w:rsidR="007F544F" w:rsidRPr="008F3CD3" w:rsidRDefault="005333CA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หากโทษขั้นต่ำสำหรับความผิดที่คุณถูกตั้งข้อหาน้อยกว่า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ปี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คุณสามารถตกลงกับอัยการก่อนที่จะมีการยื่นคำฟ้องตามเนื้อหาของการยื่นข้อคำพิพากษาลงโทษ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และศาลจะกำหนดบทลงโทษที่ตกลงกันไว้หรือมาตรการอื่น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โดยไม่ต้องสืบพยาน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ในกรณีนี้คุณมีสิทธิ์ตรวจสอบแฟ้มคดี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335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3) </w:t>
      </w:r>
      <w:r>
        <w:rPr>
          <w:rFonts w:cs="Angsana New"/>
          <w:sz w:val="24"/>
          <w:szCs w:val="24"/>
          <w:cs/>
          <w:lang w:bidi="th-TH"/>
        </w:rPr>
        <w:t>พนักงานอัยการสามารถแนบคำขอดังกล่าวมาในคำฟ้องด้วยได้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335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 </w:t>
      </w:r>
      <w:r w:rsidR="00757DB8">
        <w:rPr>
          <w:rFonts w:cs="Angsana New"/>
          <w:sz w:val="24"/>
          <w:szCs w:val="24"/>
          <w:cs/>
          <w:lang w:bidi="th-TH"/>
        </w:rPr>
        <w:t>ศาลอาจพิพากษายื</w:t>
      </w:r>
      <w:r>
        <w:rPr>
          <w:rFonts w:cs="Angsana New"/>
          <w:sz w:val="24"/>
          <w:szCs w:val="24"/>
          <w:cs/>
          <w:lang w:bidi="th-TH"/>
        </w:rPr>
        <w:t>นคำขอดังกล่าวหากฝ่ายผู้เสียหายไม่คัดค้านคำขอ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343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หากคุณถูกตั้งข้อหาความผิดซึ่งมีโทษจำคุกไม่เกิน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คุณสามารถยื่นคำขอนี้ได้ด้วยตัวเองก่อนที่จะได้รับแจ้งให้ทราบวันนัดสืบพยาน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338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ศาลจะอนุญาตก็ต่อเมื่ออัยการและผู้เสียหายไม่คัดค้านเท่านั้น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343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หากคุณถูกตั้งข้อหาว่ามีความผิดทางอาญาซึ่งมีโทษจำคุกไม่เกิน</w:t>
      </w:r>
      <w:r>
        <w:rPr>
          <w:rFonts w:cs="Tahoma"/>
          <w:sz w:val="24"/>
          <w:szCs w:val="24"/>
          <w:cs/>
          <w:lang w:bidi="th-TH"/>
        </w:rPr>
        <w:t xml:space="preserve"> 15 </w:t>
      </w:r>
      <w:r>
        <w:rPr>
          <w:rFonts w:cs="Angsana New"/>
          <w:sz w:val="24"/>
          <w:szCs w:val="24"/>
          <w:cs/>
          <w:lang w:bidi="th-TH"/>
        </w:rPr>
        <w:t>ปีคุณสามารถยื่นคำขอดังกล่าวในการพิจารณาคดีได้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แต่จะต้องรอจนกว่าการสืบพยานของจำเลยทั้งหมดจะเสร็จสิ้นแล้วเท่านั้น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คุณไม่มีที่ปรึกษาด้านกฎหมายที่คุณต้องการศาลอาจแต่งตั้งที่ปรึกษาด้านกฎหมายให้คุณตามคำร้องขอของคุณ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387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 </w:t>
      </w:r>
      <w:r>
        <w:rPr>
          <w:rFonts w:cs="Angsana New"/>
          <w:sz w:val="24"/>
          <w:szCs w:val="24"/>
          <w:cs/>
          <w:lang w:bidi="th-TH"/>
        </w:rPr>
        <w:t>ศาลจะนำที่ปรึกษาด้านกฎหมายไปพิจารณาก็ต่อเมื่ออัยการและผู้เสียหายไม่คัดค้านเท่านั้น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387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หากคุณได้ส่งคำขอดังกล่าวแล้ว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หตุผลของการอุทธรณ์จะไม่สามารถขึ้นอยู่กับข้อกล่าวหาเกี่ยวกับความผิดพลาดในข้อเท็จจริงและความไม่ได้สัดส่วนของการลงโทษ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มาตรการ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การเชื่อมโยง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หรือการประยุกต์ใช้ที่ไม่ถูกต้องหรือการไม่ใช้มาตรการรักษาความปลอดภัย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การริบ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หรือมาตรการอื่น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ที่เกี่ยวข้องกับเนื้อหาของข้อตกลงที่สรุปแล้ว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447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5)</w:t>
      </w:r>
    </w:p>
    <w:p w:rsidR="007F544F" w:rsidRPr="008F3CD3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rFonts w:cs="Tahoma"/>
          <w:sz w:val="24"/>
          <w:szCs w:val="24"/>
          <w:cs/>
          <w:lang w:bidi="th-TH"/>
        </w:rPr>
      </w:pPr>
      <w:bookmarkStart w:id="11" w:name="bookmark16"/>
      <w:r>
        <w:rPr>
          <w:rFonts w:cs="Angsana New"/>
          <w:sz w:val="24"/>
          <w:szCs w:val="24"/>
          <w:cs/>
          <w:lang w:bidi="th-TH"/>
        </w:rPr>
        <w:t>การมีส่วนร่วมในวิธีดำเนินการแบบเร่งรัด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11"/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หากคุณมีส่วนร่วมในกระบวนพิจารณาแบบเร่งรัดโดยการประชุมทางวิดีโอ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ตำรวจจะมอบสำเนาคำขอสำหรับคดีให้คุณตรวจสอบ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และมอบสำเนาเอกสารหลักฐานที่ได้ยื่นไว้ต่อศาล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517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และมาตรา</w:t>
      </w:r>
      <w:r>
        <w:rPr>
          <w:rFonts w:cs="Tahoma"/>
          <w:sz w:val="24"/>
          <w:szCs w:val="24"/>
          <w:cs/>
          <w:lang w:bidi="th-TH"/>
        </w:rPr>
        <w:t xml:space="preserve"> 517</w:t>
      </w:r>
      <w:r>
        <w:rPr>
          <w:rFonts w:cs="Angsana New"/>
          <w:sz w:val="24"/>
          <w:szCs w:val="24"/>
          <w:cs/>
          <w:lang w:bidi="th-TH"/>
        </w:rPr>
        <w:t>จ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หากคุณมีส่วนร่วมในกระบวนพิจารณาโดยการประชุมทางวิดีโอ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ทนายความฝ่ายจำเลยและล่ามของคุณสามารถอยู่ด้วยได้หากได้รับการแต่งตั้งและถ้าคุณไม่พูดภาษาโปแลนด์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หรือถ้าคุณเป็นคนหูหนวกหรือเป็นใบ้และการสื่อสารด้วยจดหมายนั้นไม่เพียงพอ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และจำเป็นต้องแปลจดหมายที่เขียนเป็นภาษาต่างประเทศหรือแปลจากภาษาต่างประเทศเป็นภาษาโปแลนด์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หรืออ่านเนื้อหาของหลักฐานที่พิสูจน์แล้ว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517</w:t>
      </w:r>
      <w:r>
        <w:rPr>
          <w:rFonts w:cs="Angsana New"/>
          <w:sz w:val="24"/>
          <w:szCs w:val="24"/>
          <w:cs/>
          <w:lang w:bidi="th-TH"/>
        </w:rPr>
        <w:t>ข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</w:t>
      </w:r>
      <w:r>
        <w:rPr>
          <w:rFonts w:cs="Angsana New"/>
          <w:sz w:val="24"/>
          <w:szCs w:val="24"/>
          <w:cs/>
          <w:lang w:bidi="th-TH"/>
        </w:rPr>
        <w:t>ค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</w:t>
      </w:r>
      <w:r>
        <w:rPr>
          <w:rFonts w:cs="Angsana New"/>
          <w:sz w:val="24"/>
          <w:szCs w:val="24"/>
          <w:cs/>
          <w:lang w:bidi="th-TH"/>
        </w:rPr>
        <w:t>ง</w:t>
      </w:r>
      <w:r>
        <w:rPr>
          <w:rFonts w:cs="Tahoma"/>
          <w:sz w:val="24"/>
          <w:szCs w:val="24"/>
          <w:cs/>
          <w:lang w:bidi="th-TH"/>
        </w:rPr>
        <w:t>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หากคุณมีส่วนร่วมในกระบวนพิจารณาโดยการประชุมทางวิดีโอ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คุณสามารถยื่นคำขอและคำแถลงการณ์และดำเนินกิจกรรมตามขั้นตอนต่อระเบียบการทางวาจาเท่านั้นได้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ุณจะได้รับแจ้งจากศาลถึงเนื้อหาของคำคู่ความทั้งหมดที่อยู่ในแฟ้มคดีตั้งแต่มีการส่งต่อคำขอสืบพยานในคดีไปยังศา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หากคุณร้องขอศาลจะอ่านเนื้อหาของคำคู่ความนั้น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สามารถอ่านคำคู่ความที่ไม่สามารถส่งต่อไปยังศาลได้ในการสืบพยาน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517</w:t>
      </w:r>
      <w:r>
        <w:rPr>
          <w:rFonts w:cs="Angsana New"/>
          <w:sz w:val="24"/>
          <w:szCs w:val="24"/>
          <w:cs/>
          <w:lang w:bidi="th-TH"/>
        </w:rPr>
        <w:t>จ</w:t>
      </w:r>
      <w:r>
        <w:rPr>
          <w:rFonts w:cs="Tahoma"/>
          <w:sz w:val="24"/>
          <w:szCs w:val="24"/>
          <w:cs/>
          <w:lang w:bidi="th-TH"/>
        </w:rPr>
        <w:t xml:space="preserve"> (1)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(2))</w:t>
      </w:r>
    </w:p>
    <w:p w:rsidR="007F544F" w:rsidRPr="008F3CD3" w:rsidRDefault="00385898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ในกระบวนพิจารณา</w:t>
      </w:r>
      <w:bookmarkStart w:id="12" w:name="_GoBack"/>
      <w:bookmarkEnd w:id="12"/>
      <w:r w:rsidR="00152655">
        <w:rPr>
          <w:rFonts w:cs="Angsana New"/>
          <w:sz w:val="24"/>
          <w:szCs w:val="24"/>
          <w:cs/>
          <w:lang w:bidi="th-TH"/>
        </w:rPr>
        <w:t>แบบเร่งรัดคุณสามารถส่งคำขอให้เขียนและส่งเหตุผลที่เป็นลายลักษณ์อักษรสำหรับการตัดสินเป็นลายลักษณ์อักษรภายใน</w:t>
      </w:r>
      <w:r w:rsidR="00152655">
        <w:rPr>
          <w:rFonts w:cs="Tahoma"/>
          <w:sz w:val="24"/>
          <w:szCs w:val="24"/>
          <w:cs/>
          <w:lang w:bidi="th-TH"/>
        </w:rPr>
        <w:t xml:space="preserve"> 3 </w:t>
      </w:r>
      <w:r w:rsidR="00152655">
        <w:rPr>
          <w:rFonts w:cs="Angsana New"/>
          <w:sz w:val="24"/>
          <w:szCs w:val="24"/>
          <w:cs/>
          <w:lang w:bidi="th-TH"/>
        </w:rPr>
        <w:t>วันนับจากวันที่พิพากษาหรือวันที่ส่งคำพิพากษา</w:t>
      </w:r>
      <w:r w:rsidR="00152655">
        <w:rPr>
          <w:rFonts w:cs="Tahoma"/>
          <w:sz w:val="24"/>
          <w:szCs w:val="24"/>
          <w:cs/>
          <w:lang w:bidi="th-TH"/>
        </w:rPr>
        <w:t xml:space="preserve"> (</w:t>
      </w:r>
      <w:r w:rsidR="00152655">
        <w:rPr>
          <w:rFonts w:cs="Angsana New"/>
          <w:sz w:val="24"/>
          <w:szCs w:val="24"/>
          <w:cs/>
          <w:lang w:bidi="th-TH"/>
        </w:rPr>
        <w:t>หากกฎหมายกำหนดให้มีการส่งคำพิพากษา</w:t>
      </w:r>
      <w:r w:rsidR="00152655">
        <w:rPr>
          <w:rFonts w:cs="Tahoma"/>
          <w:sz w:val="24"/>
          <w:szCs w:val="24"/>
          <w:cs/>
          <w:lang w:bidi="th-TH"/>
        </w:rPr>
        <w:t xml:space="preserve">) </w:t>
      </w:r>
      <w:r w:rsidR="00152655">
        <w:rPr>
          <w:rFonts w:cs="Angsana New"/>
          <w:sz w:val="24"/>
          <w:szCs w:val="24"/>
          <w:cs/>
          <w:lang w:bidi="th-TH"/>
        </w:rPr>
        <w:t>นอกจากนี้คุณยังสามารถส่งคำขอของคุณด้วยวาจาไปยังระเบียบการของการสิบพยานหรือการประชุมได้</w:t>
      </w:r>
      <w:r w:rsidR="00152655">
        <w:rPr>
          <w:rFonts w:cs="Tahoma"/>
          <w:sz w:val="24"/>
          <w:szCs w:val="24"/>
          <w:cs/>
          <w:lang w:bidi="th-TH"/>
        </w:rPr>
        <w:t xml:space="preserve"> (</w:t>
      </w:r>
      <w:r w:rsidR="00152655">
        <w:rPr>
          <w:rFonts w:cs="Angsana New"/>
          <w:sz w:val="24"/>
          <w:szCs w:val="24"/>
          <w:cs/>
          <w:lang w:bidi="th-TH"/>
        </w:rPr>
        <w:t>มาตรา</w:t>
      </w:r>
      <w:r w:rsidR="00152655">
        <w:rPr>
          <w:rFonts w:cs="Tahoma"/>
          <w:sz w:val="24"/>
          <w:szCs w:val="24"/>
          <w:cs/>
          <w:lang w:bidi="th-TH"/>
        </w:rPr>
        <w:t xml:space="preserve"> 517</w:t>
      </w:r>
      <w:r w:rsidR="00152655">
        <w:rPr>
          <w:rFonts w:cs="Angsana New"/>
          <w:sz w:val="24"/>
          <w:szCs w:val="24"/>
          <w:cs/>
          <w:lang w:bidi="th-TH"/>
        </w:rPr>
        <w:t>ซ</w:t>
      </w:r>
      <w:r w:rsidR="00152655">
        <w:rPr>
          <w:rFonts w:cs="Tahoma"/>
          <w:sz w:val="24"/>
          <w:szCs w:val="24"/>
          <w:cs/>
          <w:lang w:bidi="th-TH"/>
        </w:rPr>
        <w:t xml:space="preserve"> </w:t>
      </w:r>
      <w:r w:rsidR="00152655">
        <w:rPr>
          <w:sz w:val="24"/>
          <w:szCs w:val="24"/>
          <w:cs/>
          <w:lang w:bidi="th-TH"/>
        </w:rPr>
        <w:t>§</w:t>
      </w:r>
      <w:r w:rsidR="00152655">
        <w:rPr>
          <w:rFonts w:cs="Tahoma"/>
          <w:sz w:val="24"/>
          <w:szCs w:val="24"/>
          <w:cs/>
          <w:lang w:bidi="th-TH"/>
        </w:rPr>
        <w:t xml:space="preserve"> 1)</w:t>
      </w:r>
    </w:p>
    <w:p w:rsidR="007F544F" w:rsidRPr="008F3CD3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คุณมีเวลา</w:t>
      </w:r>
      <w:r>
        <w:rPr>
          <w:rFonts w:cs="Tahoma"/>
          <w:sz w:val="24"/>
          <w:szCs w:val="24"/>
          <w:cs/>
          <w:lang w:bidi="th-TH"/>
        </w:rPr>
        <w:t xml:space="preserve"> 7 </w:t>
      </w:r>
      <w:r>
        <w:rPr>
          <w:rFonts w:cs="Angsana New"/>
          <w:sz w:val="24"/>
          <w:szCs w:val="24"/>
          <w:cs/>
          <w:lang w:bidi="th-TH"/>
        </w:rPr>
        <w:t>วันนับจากวันที่รับฟังคำพิพากษาพร้อมเหตุผลในการยื่นอุทธรณ์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517</w:t>
      </w:r>
      <w:r>
        <w:rPr>
          <w:rFonts w:cs="Angsana New"/>
          <w:sz w:val="24"/>
          <w:szCs w:val="24"/>
          <w:cs/>
          <w:lang w:bidi="th-TH"/>
        </w:rPr>
        <w:t>ซ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หากคุณเป็นผู้ต้องสงสัยในกระบวนพิจารณาทางอาญาคุณมีหน้าที่ดังต่อไปนี้</w:t>
      </w:r>
      <w:r>
        <w:rPr>
          <w:rFonts w:cs="Tahoma"/>
          <w:sz w:val="24"/>
          <w:szCs w:val="24"/>
          <w:cs/>
          <w:lang w:bidi="th-TH"/>
        </w:rPr>
        <w:t>:</w:t>
      </w: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คุณไม่มีหน้าที่ต้องพิสูจน์ความบริสุทธิ์ของคุณหรือแสดงหลักฐานที่เป็นผลเสียกับตัวคุณเอง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74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1) </w:t>
      </w:r>
      <w:r>
        <w:rPr>
          <w:rFonts w:cs="Angsana New"/>
          <w:sz w:val="24"/>
          <w:szCs w:val="24"/>
          <w:cs/>
          <w:lang w:bidi="th-TH"/>
        </w:rPr>
        <w:t>อย่างไรก็ตามคุณมีหน้าที่ต้องยอมจำนน</w:t>
      </w:r>
      <w:r>
        <w:rPr>
          <w:rFonts w:cs="Tahoma"/>
          <w:sz w:val="24"/>
          <w:szCs w:val="24"/>
          <w:cs/>
          <w:lang w:bidi="th-TH"/>
        </w:rPr>
        <w:t>:</w:t>
      </w:r>
    </w:p>
    <w:p w:rsidR="007F544F" w:rsidRPr="008F3CD3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after="0" w:line="240" w:lineRule="auto"/>
        <w:ind w:left="44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การตรวจร่างกายด้วยสายตาและการตรวจความสมบูรณ์ของร่างกาย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การพิมพ์ลายนิ้วมือ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การถ่ายภาพและการนำเสนอต่อบุคคลอื่นที่ไม่เกี่ยวข้องกับการละเมิด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74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หัวข้อ</w:t>
      </w:r>
      <w:r>
        <w:rPr>
          <w:rFonts w:cs="Tahoma"/>
          <w:sz w:val="24"/>
          <w:szCs w:val="24"/>
          <w:cs/>
          <w:lang w:bidi="th-TH"/>
        </w:rPr>
        <w:t xml:space="preserve"> 1)</w:t>
      </w:r>
    </w:p>
    <w:p w:rsidR="007F544F" w:rsidRPr="008F3CD3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การตรวจทางจิตวิทยาและจิตเวชและการตรวจที่รวมกับประสิทธิภาพของการรักษาร่างกาย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ยกเว้นการผ่าตัด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ตราบใดที่ไม่เป็นอันตรายต่อสุขภาพหากจำเป็นต้องทำการตรวจเหล่านี้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โดยเฉพาะการเก็บตัวอย่างเลือด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เส้นผมหรือสารคัดหลั่งจากร่างกาย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เช่น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น้ำลาย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การตรวจควรดำเนินการโดยแพทย์ผู้เชี่ยวชาญที่ได้รับอนุญาต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74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หัวข้อ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การเก็บตัวอย่างเซลล์กระพุ้งแก้มโดยเจ้าหน้าที่ตำรวจหรือผู้มีอำนาจอื่น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ถ้าจำเป็นและไม่เป็นอันตรายต่อสุขภาพ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74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 </w:t>
      </w:r>
      <w:r>
        <w:rPr>
          <w:rFonts w:cs="Angsana New"/>
          <w:sz w:val="24"/>
          <w:szCs w:val="24"/>
          <w:cs/>
          <w:lang w:bidi="th-TH"/>
        </w:rPr>
        <w:t>หัวข้อ</w:t>
      </w:r>
      <w:r>
        <w:rPr>
          <w:rFonts w:cs="Tahoma"/>
          <w:sz w:val="24"/>
          <w:szCs w:val="24"/>
          <w:cs/>
          <w:lang w:bidi="th-TH"/>
        </w:rPr>
        <w:t xml:space="preserve"> 3)</w:t>
      </w: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การไม่ปฏิบัติตามหน้าที่เหล่านี้อาจนำไปสู่การจับกุมคุณและการใช้กำลังบุกรุกสถานที่ของคุณ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รวมทั้งการใช้กำลังทางกายภาพหรือวิธีการทางเทคนิคในการทำให้ไร้ความสามารถในขอบเขตที่จำเป็น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74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3 </w:t>
      </w:r>
      <w:r>
        <w:rPr>
          <w:rFonts w:cs="Angsana New"/>
          <w:sz w:val="24"/>
          <w:szCs w:val="24"/>
          <w:cs/>
          <w:lang w:bidi="th-TH"/>
        </w:rPr>
        <w:t>ก</w:t>
      </w:r>
      <w:r>
        <w:rPr>
          <w:rFonts w:cs="Tahoma"/>
          <w:sz w:val="24"/>
          <w:szCs w:val="24"/>
          <w:cs/>
          <w:lang w:bidi="th-TH"/>
        </w:rPr>
        <w:t>)</w:t>
      </w:r>
    </w:p>
    <w:p w:rsidR="007F544F" w:rsidRPr="008F3CD3" w:rsidRDefault="003C3B38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นอกจากนี้คุณยังมีหน้าที่ต้อง</w:t>
      </w:r>
      <w:r>
        <w:rPr>
          <w:rFonts w:cs="Tahoma"/>
          <w:sz w:val="24"/>
          <w:szCs w:val="24"/>
          <w:cs/>
          <w:lang w:bidi="th-TH"/>
        </w:rPr>
        <w:t>:</w:t>
      </w:r>
    </w:p>
    <w:p w:rsidR="007F544F" w:rsidRPr="008F3CD3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3"/>
        </w:tabs>
        <w:spacing w:after="0" w:line="240" w:lineRule="auto"/>
        <w:ind w:left="44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lastRenderedPageBreak/>
        <w:t>ปรากฏตัวตามหมายเรียกใด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ละแจ้งให้หน่วยงานที่คุณกำลังถูกดำเนินคดีทราบเกี่ยวกับการเปลี่ยนแปลงที่อยู่อาศัยของคุณหรือการอยู่อาศัยเกิน</w:t>
      </w:r>
      <w:r>
        <w:rPr>
          <w:rFonts w:cs="Tahoma"/>
          <w:sz w:val="24"/>
          <w:szCs w:val="24"/>
          <w:cs/>
          <w:lang w:bidi="th-TH"/>
        </w:rPr>
        <w:t xml:space="preserve"> 7 </w:t>
      </w:r>
      <w:r>
        <w:rPr>
          <w:rFonts w:cs="Angsana New"/>
          <w:sz w:val="24"/>
          <w:szCs w:val="24"/>
          <w:cs/>
          <w:lang w:bidi="th-TH"/>
        </w:rPr>
        <w:t>วัน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รวมถึงการควบคุมตัวอื่น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ในคดีอื่น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การคุมขังก่อนการพิจารณาคดี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การกักขังเพื่อรับโทษ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ตลอดจนการเปลี่ยนแปลงใด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ในรายละเอียดข้อมูลสำหรับติดต่อของคุณ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หมายเลขโทรศัพท์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ที่อยู่อี</w:t>
      </w:r>
      <w:proofErr w:type="spellStart"/>
      <w:r>
        <w:rPr>
          <w:rFonts w:cs="Angsana New"/>
          <w:sz w:val="24"/>
          <w:szCs w:val="24"/>
          <w:cs/>
          <w:lang w:bidi="th-TH"/>
        </w:rPr>
        <w:t>เมล</w:t>
      </w:r>
      <w:proofErr w:type="spellEnd"/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แฟกซ์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หากคุณไม่ปรากฏตัวคุณอาจถูกจับและถูกบังคับพาตัวมาได้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75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1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left="44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ระบุผู้รับ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เช่น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บุคคลหรือสถาบันพร้อมรายละเอียดที่อยู่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สำหรับการส่งเอกสารในประเทศหรือในประเทศสมาชิกของสหภาพยุโรปอื่นเมื่อคุณไม่ได้พำนักอยู่ในประเทศหรือในประเทศสมาชิกของสหภาพยุโรป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ิฉะนั้นจดหมายที่ส่งไปยังที่อยู่สุดท้ายที่คุณแจ้งไว้ในประเทศหรือในประเทศสมาชิกของสหภาพยุโรปอื่นจะถือว่าได้ถูกส่งอย่างถูกต้องแล้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138)</w:t>
      </w:r>
    </w:p>
    <w:p w:rsidR="007F544F" w:rsidRPr="008F3CD3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ระบุที่อยู่ใหม่ในกรณีที่มีการเปลี่ยนถิ่นที่อยู่หรือการพำนัก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รวมถึงเหตุผลของการจำคุกในคดีอื่น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การคุมขังก่อนการพิจารณาคดี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การกักขังเพื่อรับโทษ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หรือการเปลี่ยนที่อยู่ของตู้ไปรษณีย์หรือการหยุดใช้ตู้ไปรษณีย์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มิฉะนั้นจดหมายที่ส่งไปยังที่อยู่ที่มีอยู่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รวมถึงตู้ไปรษณีย์ที่ระบุไว้</w:t>
      </w:r>
      <w:r>
        <w:rPr>
          <w:rFonts w:cs="Tahoma"/>
          <w:sz w:val="24"/>
          <w:szCs w:val="24"/>
          <w:cs/>
          <w:lang w:bidi="th-TH"/>
        </w:rPr>
        <w:t xml:space="preserve">) </w:t>
      </w:r>
      <w:r>
        <w:rPr>
          <w:rFonts w:cs="Angsana New"/>
          <w:sz w:val="24"/>
          <w:szCs w:val="24"/>
          <w:cs/>
          <w:lang w:bidi="th-TH"/>
        </w:rPr>
        <w:t>จะถือว่าได้ถูกส่งอย่างถูกต้องแล้ว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139)</w:t>
      </w:r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หากไม่สามารถจัดส่งให้ผู้รับเป็นการส่วนตัว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ให้สมาชิกในครัวเรือนที่เป็นผู้ใหญ่หรือส่งไปยังที่อยู่ตู้ไปรษณีย์ที่ผู้ต้องสงสัยระบุไว้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จดหมายที่ถูกส่งผ่านเจ้าหน้าที่ไปรษณีย์จะต้องถูกทิ้งไว้ที่ที่ทำการไปรษณีย์ที่ใกล้ที่สุดของผู้ประกอบการรายนั้นและให้ส่งโดยวิธีอื่นที่สถานีตำรวจที่ใกล้ที่สุดหรือที่สำนักงานเทศบาลที่เกี่ยวข้อ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นังสือแจ้งการทิ้งจดหมายนำส่งจะต้องถูกวางไว้ในกล่องจดหมายหรือที่ประตูแฟลตของผู้รับหรือในที่อื่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ๆ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ที่มองเห็นได้โดยระบุว่าจดหมายนั้นถูกทิ้งไว้ที่ไหนและเมื่อใดและระบุว่าควรไปรับจดหมายภายใน</w:t>
      </w:r>
      <w:r>
        <w:rPr>
          <w:rFonts w:cs="Tahoma"/>
          <w:sz w:val="24"/>
          <w:szCs w:val="24"/>
          <w:cs/>
          <w:lang w:bidi="th-TH"/>
        </w:rPr>
        <w:t xml:space="preserve"> 7 </w:t>
      </w:r>
      <w:r>
        <w:rPr>
          <w:rFonts w:cs="Angsana New"/>
          <w:sz w:val="24"/>
          <w:szCs w:val="24"/>
          <w:cs/>
          <w:lang w:bidi="th-TH"/>
        </w:rPr>
        <w:t>วัน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ในกรณีที่ระยะเวลาดังกล่าวสิ้นสุดลงแล้วยังไม่ได้รับจดหมาย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ควรแจ้งซ้ำอีกครั้ง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หากได้ดำเนินการตามขั้นตอนเหล่านี้แล้วจะถือว่าจดหมายถูกส่งไปแล้ว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133 </w:t>
      </w:r>
      <w:r>
        <w:rPr>
          <w:sz w:val="24"/>
          <w:szCs w:val="24"/>
          <w:cs/>
          <w:lang w:bidi="th-TH"/>
        </w:rPr>
        <w:t>§</w:t>
      </w:r>
      <w:r>
        <w:rPr>
          <w:rFonts w:cs="Tahoma"/>
          <w:sz w:val="24"/>
          <w:szCs w:val="24"/>
          <w:cs/>
          <w:lang w:bidi="th-TH"/>
        </w:rPr>
        <w:t xml:space="preserve"> 2)</w:t>
      </w:r>
    </w:p>
    <w:p w:rsidR="007F544F" w:rsidRPr="008F3CD3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rFonts w:cs="Tahoma"/>
          <w:sz w:val="24"/>
          <w:szCs w:val="24"/>
          <w:cs/>
          <w:lang w:bidi="th-TH"/>
        </w:rPr>
      </w:pPr>
      <w:bookmarkStart w:id="13" w:name="bookmark17"/>
      <w:r>
        <w:rPr>
          <w:rFonts w:cs="Angsana New"/>
          <w:sz w:val="24"/>
          <w:szCs w:val="24"/>
          <w:cs/>
          <w:lang w:bidi="th-TH"/>
        </w:rPr>
        <w:t>การสืบพยานโดยกงสุล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13"/>
    </w:p>
    <w:p w:rsidR="007F544F" w:rsidRPr="008F3CD3" w:rsidRDefault="00152655" w:rsidP="00EF4954">
      <w:pPr>
        <w:pStyle w:val="Teksttreci0"/>
        <w:shd w:val="clear" w:color="auto" w:fill="auto"/>
        <w:spacing w:after="0" w:line="240" w:lineRule="auto"/>
        <w:ind w:left="880" w:right="20" w:firstLine="0"/>
        <w:jc w:val="both"/>
        <w:rPr>
          <w:rFonts w:cs="Tahoma"/>
          <w:sz w:val="24"/>
          <w:szCs w:val="24"/>
          <w:cs/>
          <w:lang w:bidi="th-TH"/>
        </w:rPr>
      </w:pPr>
      <w:r>
        <w:rPr>
          <w:rFonts w:cs="Angsana New"/>
          <w:sz w:val="24"/>
          <w:szCs w:val="24"/>
          <w:cs/>
          <w:lang w:bidi="th-TH"/>
        </w:rPr>
        <w:t>หากคุณอยู่ต่างประเทศคุณอาจถูกสืบพยานโดยกงสุล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การพิจารณาคดีจะเกิดขึ้นได้ก็ต่อเมื่อคุณยินยอมเท่านั้น</w:t>
      </w:r>
      <w:r>
        <w:rPr>
          <w:rFonts w:cs="Tahoma"/>
          <w:sz w:val="24"/>
          <w:szCs w:val="24"/>
          <w:cs/>
          <w:lang w:bidi="th-TH"/>
        </w:rPr>
        <w:t xml:space="preserve"> </w:t>
      </w:r>
      <w:r>
        <w:rPr>
          <w:rFonts w:cs="Angsana New"/>
          <w:sz w:val="24"/>
          <w:szCs w:val="24"/>
          <w:cs/>
          <w:lang w:bidi="th-TH"/>
        </w:rPr>
        <w:t>ในกรณีเช่นนี้บทบัญญัติเกี่ยวกับหน้าที่ที่จะต้องปรากฏตัวและผลที่ตามมาของหน้าที่ดังกล่าว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มาตรา</w:t>
      </w:r>
      <w:r>
        <w:rPr>
          <w:rFonts w:cs="Tahoma"/>
          <w:sz w:val="24"/>
          <w:szCs w:val="24"/>
          <w:cs/>
          <w:lang w:bidi="th-TH"/>
        </w:rPr>
        <w:t xml:space="preserve"> 26(1)(2) </w:t>
      </w:r>
      <w:r>
        <w:rPr>
          <w:rFonts w:cs="Angsana New"/>
          <w:sz w:val="24"/>
          <w:szCs w:val="24"/>
          <w:cs/>
          <w:lang w:bidi="th-TH"/>
        </w:rPr>
        <w:t>ของพระราชบัญญัติวันที่</w:t>
      </w:r>
      <w:r>
        <w:rPr>
          <w:rFonts w:cs="Tahoma"/>
          <w:sz w:val="24"/>
          <w:szCs w:val="24"/>
          <w:cs/>
          <w:lang w:bidi="th-TH"/>
        </w:rPr>
        <w:t xml:space="preserve"> 25 </w:t>
      </w:r>
      <w:r>
        <w:rPr>
          <w:rFonts w:cs="Angsana New"/>
          <w:sz w:val="24"/>
          <w:szCs w:val="24"/>
          <w:cs/>
          <w:lang w:bidi="th-TH"/>
        </w:rPr>
        <w:t>มิถุนายน</w:t>
      </w:r>
      <w:r>
        <w:rPr>
          <w:rFonts w:cs="Tahoma"/>
          <w:sz w:val="24"/>
          <w:szCs w:val="24"/>
          <w:cs/>
          <w:lang w:bidi="th-TH"/>
        </w:rPr>
        <w:t xml:space="preserve"> 2015) </w:t>
      </w:r>
      <w:r>
        <w:rPr>
          <w:rFonts w:cs="Angsana New"/>
          <w:sz w:val="24"/>
          <w:szCs w:val="24"/>
          <w:cs/>
          <w:lang w:bidi="th-TH"/>
        </w:rPr>
        <w:t>ไม่มีผลใช้บังคับ</w:t>
      </w:r>
      <w:r>
        <w:rPr>
          <w:rFonts w:cs="Tahoma"/>
          <w:sz w:val="24"/>
          <w:szCs w:val="24"/>
          <w:cs/>
          <w:lang w:bidi="th-TH"/>
        </w:rPr>
        <w:t xml:space="preserve"> - </w:t>
      </w:r>
      <w:r>
        <w:rPr>
          <w:rFonts w:cs="Angsana New"/>
          <w:sz w:val="24"/>
          <w:szCs w:val="24"/>
          <w:cs/>
          <w:lang w:bidi="th-TH"/>
        </w:rPr>
        <w:t>กฎหมายกงสุล</w:t>
      </w:r>
      <w:r>
        <w:rPr>
          <w:rFonts w:cs="Tahoma"/>
          <w:sz w:val="24"/>
          <w:szCs w:val="24"/>
          <w:cs/>
          <w:lang w:bidi="th-TH"/>
        </w:rPr>
        <w:t xml:space="preserve"> (</w:t>
      </w:r>
      <w:r>
        <w:rPr>
          <w:rFonts w:cs="Angsana New"/>
          <w:sz w:val="24"/>
          <w:szCs w:val="24"/>
          <w:cs/>
          <w:lang w:bidi="th-TH"/>
        </w:rPr>
        <w:t>วารสารกฎหมายปี</w:t>
      </w:r>
      <w:r>
        <w:rPr>
          <w:rFonts w:cs="Tahoma"/>
          <w:sz w:val="24"/>
          <w:szCs w:val="24"/>
          <w:cs/>
          <w:lang w:bidi="th-TH"/>
        </w:rPr>
        <w:t xml:space="preserve"> 2020 </w:t>
      </w:r>
      <w:r>
        <w:rPr>
          <w:rFonts w:cs="Angsana New"/>
          <w:sz w:val="24"/>
          <w:szCs w:val="24"/>
          <w:cs/>
          <w:lang w:bidi="th-TH"/>
        </w:rPr>
        <w:t>ข้อ</w:t>
      </w:r>
      <w:r>
        <w:rPr>
          <w:rFonts w:cs="Tahoma"/>
          <w:sz w:val="24"/>
          <w:szCs w:val="24"/>
          <w:cs/>
          <w:lang w:bidi="th-TH"/>
        </w:rPr>
        <w:t xml:space="preserve"> 195 </w:t>
      </w:r>
      <w:r>
        <w:rPr>
          <w:rFonts w:cs="Angsana New"/>
          <w:sz w:val="24"/>
          <w:szCs w:val="24"/>
          <w:cs/>
          <w:lang w:bidi="th-TH"/>
        </w:rPr>
        <w:t>และ</w:t>
      </w:r>
      <w:r>
        <w:rPr>
          <w:rFonts w:cs="Tahoma"/>
          <w:sz w:val="24"/>
          <w:szCs w:val="24"/>
          <w:cs/>
          <w:lang w:bidi="th-TH"/>
        </w:rPr>
        <w:t xml:space="preserve"> 1086)</w:t>
      </w:r>
    </w:p>
    <w:p w:rsidR="007F544F" w:rsidRPr="008F3CD3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 w:right="20"/>
        <w:jc w:val="both"/>
        <w:rPr>
          <w:rFonts w:cs="Tahoma"/>
          <w:sz w:val="24"/>
          <w:szCs w:val="24"/>
          <w:cs/>
          <w:lang w:bidi="th-TH"/>
        </w:rPr>
      </w:pPr>
      <w:bookmarkStart w:id="14" w:name="bookmark18"/>
      <w:r>
        <w:rPr>
          <w:rFonts w:cs="Angsana New"/>
          <w:sz w:val="24"/>
          <w:szCs w:val="24"/>
          <w:cs/>
          <w:lang w:bidi="th-TH"/>
        </w:rPr>
        <w:t>โปรดจำไว้ว่าหากดูเหมือนว่าคำแนะนำนี้ไม่ชัดเจนหรือไม่สมบูรณ์คุณสามารถขอข้อมูลเพิ่มเติมโดยละเอียดเกี่ยวกับสิทธิและหน้าที่ของคุณจากผู้สอบสวนได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14"/>
    </w:p>
    <w:p w:rsidR="007F544F" w:rsidRPr="008F3CD3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rFonts w:cs="Angsana New"/>
          <w:sz w:val="24"/>
          <w:szCs w:val="24"/>
          <w:cs/>
          <w:lang w:bidi="th-TH"/>
        </w:rPr>
        <w:sectPr w:rsidR="007F544F" w:rsidRPr="008F3CD3">
          <w:footnotePr>
            <w:numRestart w:val="eachPage"/>
          </w:footnotePr>
          <w:type w:val="continuous"/>
          <w:pgSz w:w="11905" w:h="16837"/>
          <w:pgMar w:top="1252" w:right="911" w:bottom="1053" w:left="947" w:header="0" w:footer="3" w:gutter="0"/>
          <w:cols w:space="720"/>
          <w:noEndnote/>
          <w:titlePg/>
          <w:docGrid w:linePitch="360"/>
        </w:sectPr>
      </w:pPr>
      <w:bookmarkStart w:id="15" w:name="bookmark19"/>
      <w:r>
        <w:rPr>
          <w:rFonts w:cs="Angsana New"/>
          <w:sz w:val="24"/>
          <w:szCs w:val="24"/>
          <w:cs/>
          <w:lang w:bidi="th-TH"/>
        </w:rPr>
        <w:t>คุณต้องระบุในแฟ้มคดีเพื่อยืนยันการรับคำแนะนำนี้</w:t>
      </w:r>
      <w:r>
        <w:rPr>
          <w:rFonts w:cs="Tahoma"/>
          <w:sz w:val="24"/>
          <w:szCs w:val="24"/>
          <w:cs/>
          <w:lang w:bidi="th-TH"/>
        </w:rPr>
        <w:t xml:space="preserve"> </w:t>
      </w:r>
      <w:bookmarkEnd w:id="15"/>
    </w:p>
    <w:tbl>
      <w:tblPr>
        <w:tblW w:w="4550" w:type="pct"/>
        <w:tblCellSpacing w:w="15" w:type="dxa"/>
        <w:tblLook w:val="04A0" w:firstRow="1" w:lastRow="0" w:firstColumn="1" w:lastColumn="0" w:noHBand="0" w:noVBand="1"/>
      </w:tblPr>
      <w:tblGrid>
        <w:gridCol w:w="199"/>
        <w:gridCol w:w="9026"/>
      </w:tblGrid>
      <w:tr w:rsidR="005148B9" w:rsidRPr="008F3CD3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8F3CD3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148B9" w:rsidRPr="008F3CD3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5148B9" w:rsidRPr="008F3CD3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8F3CD3" w:rsidRDefault="005148B9" w:rsidP="0016086A">
            <w:pPr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Angsana New"/>
                <w:cs/>
                <w:lang w:bidi="th-TH"/>
              </w:rPr>
              <w:t>ข้าพเจ้ายืนยันว่าได้รับคำแนะนำแล้ว</w:t>
            </w:r>
          </w:p>
        </w:tc>
      </w:tr>
      <w:tr w:rsidR="005148B9" w:rsidRPr="008F3CD3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8F3CD3" w:rsidRDefault="005148B9" w:rsidP="0016086A">
            <w:pPr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imes New Roman"/>
                <w:cs/>
                <w:lang w:bidi="th-TH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8F3CD3" w:rsidRDefault="005148B9" w:rsidP="0016086A">
            <w:pPr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ahoma"/>
                <w:cs/>
                <w:lang w:bidi="th-TH"/>
              </w:rPr>
              <w:t xml:space="preserve">........................................................................ </w:t>
            </w:r>
          </w:p>
        </w:tc>
      </w:tr>
      <w:tr w:rsidR="005148B9" w:rsidRPr="008F3CD3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8F3CD3" w:rsidRDefault="005148B9" w:rsidP="0016086A">
            <w:pPr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imes New Roman"/>
                <w:cs/>
                <w:lang w:bidi="th-TH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8F3CD3" w:rsidRDefault="005148B9" w:rsidP="0016086A">
            <w:pPr>
              <w:jc w:val="both"/>
              <w:rPr>
                <w:rFonts w:eastAsia="Times New Roman" w:hAnsi="Times New Roman" w:cs="Tahoma"/>
                <w:cs/>
                <w:lang w:bidi="th-TH"/>
              </w:rPr>
            </w:pPr>
            <w:r>
              <w:rPr>
                <w:rFonts w:hAnsi="Times New Roman" w:cs="Tahoma"/>
                <w:cs/>
                <w:lang w:bidi="th-TH"/>
              </w:rPr>
              <w:t>(</w:t>
            </w:r>
            <w:r>
              <w:rPr>
                <w:rFonts w:hAnsi="Times New Roman" w:cs="Angsana New"/>
                <w:cs/>
                <w:lang w:bidi="th-TH"/>
              </w:rPr>
              <w:t>วันที่</w:t>
            </w:r>
            <w:r>
              <w:rPr>
                <w:rFonts w:hAnsi="Times New Roman" w:cs="Tahoma"/>
                <w:cs/>
                <w:lang w:bidi="th-TH"/>
              </w:rPr>
              <w:t xml:space="preserve"> </w:t>
            </w:r>
            <w:r>
              <w:rPr>
                <w:rFonts w:hAnsi="Times New Roman" w:cs="Angsana New"/>
                <w:cs/>
                <w:lang w:bidi="th-TH"/>
              </w:rPr>
              <w:t>ลายเซ็น</w:t>
            </w:r>
            <w:r>
              <w:rPr>
                <w:rFonts w:hAnsi="Times New Roman" w:cs="Tahoma"/>
                <w:cs/>
                <w:lang w:bidi="th-TH"/>
              </w:rPr>
              <w:t>)</w:t>
            </w:r>
          </w:p>
        </w:tc>
      </w:tr>
    </w:tbl>
    <w:p w:rsidR="007F544F" w:rsidRPr="008F3CD3" w:rsidRDefault="007F544F" w:rsidP="00EF4954">
      <w:pPr>
        <w:pStyle w:val="Stopka1"/>
        <w:shd w:val="clear" w:color="auto" w:fill="auto"/>
        <w:tabs>
          <w:tab w:val="left" w:pos="279"/>
        </w:tabs>
        <w:spacing w:line="240" w:lineRule="auto"/>
        <w:ind w:left="280" w:right="180" w:hanging="260"/>
        <w:rPr>
          <w:sz w:val="24"/>
          <w:szCs w:val="24"/>
          <w:lang w:val="en-GB"/>
        </w:rPr>
      </w:pPr>
    </w:p>
    <w:sectPr w:rsidR="007F544F" w:rsidRPr="008F3CD3">
      <w:type w:val="continuous"/>
      <w:pgSz w:w="11905" w:h="16837"/>
      <w:pgMar w:top="1252" w:right="911" w:bottom="1053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42" w:rsidRDefault="00AA6242">
      <w:pPr>
        <w:rPr>
          <w:rFonts w:cs="Tahoma"/>
          <w:cs/>
          <w:lang w:bidi="th-TH"/>
        </w:rPr>
      </w:pPr>
      <w:r>
        <w:separator/>
      </w:r>
    </w:p>
  </w:endnote>
  <w:endnote w:type="continuationSeparator" w:id="0">
    <w:p w:rsidR="00AA6242" w:rsidRDefault="00AA6242">
      <w:pPr>
        <w:rPr>
          <w:rFonts w:cs="Tahoma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42" w:rsidRDefault="00AA6242">
      <w:pPr>
        <w:rPr>
          <w:rFonts w:cs="Tahoma"/>
          <w:cs/>
          <w:lang w:bidi="th-TH"/>
        </w:rPr>
      </w:pPr>
      <w:r>
        <w:separator/>
      </w:r>
    </w:p>
  </w:footnote>
  <w:footnote w:type="continuationSeparator" w:id="0">
    <w:p w:rsidR="00AA6242" w:rsidRDefault="00AA6242">
      <w:pPr>
        <w:rPr>
          <w:rFonts w:cs="Tahoma"/>
          <w:cs/>
          <w:lang w:bidi="th-TH"/>
        </w:rPr>
      </w:pPr>
      <w:r>
        <w:continuationSeparator/>
      </w:r>
    </w:p>
  </w:footnote>
  <w:footnote w:id="1">
    <w:p w:rsidR="00EF4954" w:rsidRPr="00F20C3A" w:rsidRDefault="00EF4954">
      <w:pPr>
        <w:pStyle w:val="FootnoteText"/>
        <w:rPr>
          <w:rFonts w:cs="Tahoma"/>
          <w:sz w:val="16"/>
          <w:szCs w:val="16"/>
          <w:cs/>
          <w:lang w:bidi="th-TH"/>
        </w:rPr>
      </w:pPr>
      <w:r>
        <w:rPr>
          <w:rStyle w:val="FootnoteReference"/>
          <w:sz w:val="16"/>
          <w:szCs w:val="16"/>
        </w:rPr>
        <w:footnoteRef/>
      </w:r>
      <w:r>
        <w:rPr>
          <w:cs/>
          <w:lang w:bidi="th-TH"/>
        </w:rPr>
        <w:t>เว้นแต่จะมีการระบุพื้นฐานทางกฎหมายอื่นบทบัญญัติในวงเล็บหมายถึงมาตราที่เกี่ยวข้องของพระราชบัญญัติลงวันที่</w:t>
      </w:r>
      <w:r>
        <w:rPr>
          <w:rFonts w:cs="Tahoma"/>
          <w:cs/>
          <w:lang w:bidi="th-TH"/>
        </w:rPr>
        <w:t xml:space="preserve"> 6 </w:t>
      </w:r>
      <w:r>
        <w:rPr>
          <w:cs/>
          <w:lang w:bidi="th-TH"/>
        </w:rPr>
        <w:t>มิถุนายน</w:t>
      </w:r>
      <w:r>
        <w:rPr>
          <w:rFonts w:cs="Tahoma"/>
          <w:cs/>
          <w:lang w:bidi="th-TH"/>
        </w:rPr>
        <w:t xml:space="preserve"> 1997</w:t>
      </w:r>
      <w:r>
        <w:rPr>
          <w:rFonts w:cs="Tahoma"/>
          <w:sz w:val="16"/>
          <w:szCs w:val="16"/>
          <w:cs/>
          <w:lang w:bidi="th-TH"/>
        </w:rPr>
        <w:t xml:space="preserve"> - </w:t>
      </w:r>
      <w:r>
        <w:rPr>
          <w:sz w:val="16"/>
          <w:szCs w:val="16"/>
          <w:cs/>
          <w:lang w:bidi="th-TH"/>
        </w:rPr>
        <w:t>ประมวลกฎหมายวิธีพิจารณาความอาญา</w:t>
      </w:r>
      <w:r>
        <w:rPr>
          <w:rFonts w:cs="Tahoma"/>
          <w:sz w:val="16"/>
          <w:szCs w:val="16"/>
          <w:cs/>
          <w:lang w:bidi="th-TH"/>
        </w:rPr>
        <w:t xml:space="preserve"> (</w:t>
      </w:r>
      <w:r>
        <w:rPr>
          <w:sz w:val="16"/>
          <w:szCs w:val="16"/>
          <w:cs/>
          <w:lang w:bidi="th-TH"/>
        </w:rPr>
        <w:t>วารสารกฎหมายปี</w:t>
      </w:r>
      <w:r>
        <w:rPr>
          <w:rFonts w:cs="Tahoma"/>
          <w:sz w:val="16"/>
          <w:szCs w:val="16"/>
          <w:cs/>
          <w:lang w:bidi="th-TH"/>
        </w:rPr>
        <w:t xml:space="preserve"> 2020 </w:t>
      </w:r>
      <w:r>
        <w:rPr>
          <w:sz w:val="16"/>
          <w:szCs w:val="16"/>
          <w:cs/>
          <w:lang w:bidi="th-TH"/>
        </w:rPr>
        <w:t>ข้อ</w:t>
      </w:r>
      <w:r>
        <w:rPr>
          <w:rFonts w:cs="Tahoma"/>
          <w:sz w:val="16"/>
          <w:szCs w:val="16"/>
          <w:cs/>
          <w:lang w:bidi="th-TH"/>
        </w:rPr>
        <w:t xml:space="preserve"> 30 413 568 1086 </w:t>
      </w:r>
      <w:r>
        <w:rPr>
          <w:sz w:val="16"/>
          <w:szCs w:val="16"/>
          <w:cs/>
          <w:lang w:bidi="th-TH"/>
        </w:rPr>
        <w:t>และ</w:t>
      </w:r>
      <w:r>
        <w:rPr>
          <w:rFonts w:cs="Tahoma"/>
          <w:sz w:val="16"/>
          <w:szCs w:val="16"/>
          <w:cs/>
          <w:lang w:bidi="th-TH"/>
        </w:rPr>
        <w:t xml:space="preserve"> 1458)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162"/>
    <w:multiLevelType w:val="multilevel"/>
    <w:tmpl w:val="B65C8C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A468D"/>
    <w:multiLevelType w:val="multilevel"/>
    <w:tmpl w:val="B168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F7730"/>
    <w:multiLevelType w:val="multilevel"/>
    <w:tmpl w:val="7FAA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941C86"/>
    <w:multiLevelType w:val="multilevel"/>
    <w:tmpl w:val="CC6C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4F"/>
    <w:rsid w:val="00152655"/>
    <w:rsid w:val="002855AA"/>
    <w:rsid w:val="00385898"/>
    <w:rsid w:val="003C3B38"/>
    <w:rsid w:val="005148B9"/>
    <w:rsid w:val="005333CA"/>
    <w:rsid w:val="005F7B28"/>
    <w:rsid w:val="00631BCF"/>
    <w:rsid w:val="00757DB8"/>
    <w:rsid w:val="007F544F"/>
    <w:rsid w:val="008F3CD3"/>
    <w:rsid w:val="00AA6242"/>
    <w:rsid w:val="00CF7572"/>
    <w:rsid w:val="00DA6B70"/>
    <w:rsid w:val="00EF4954"/>
    <w:rsid w:val="00F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91BB7-7A30-4988-8252-FEEFA78D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Arial Unicode MS" w:hAnsi="Arial Unicode MS" w:cs="Arial Unicode MS"/>
        <w:sz w:val="24"/>
        <w:szCs w:val="24"/>
        <w:lang w:val="th-TH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Stopka">
    <w:name w:val="Stopka_"/>
    <w:basedOn w:val="DefaultParagraphFont"/>
    <w:link w:val="Stopka1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efaultParagraphFont"/>
    <w:link w:val="Nagwek1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efaultParagraphFont"/>
    <w:link w:val="Nagwek2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efaultParagraphFont"/>
    <w:link w:val="Nagwek3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efaultParagraphFont"/>
    <w:link w:val="Nagwek4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efaultParagraphFont"/>
    <w:link w:val="Teksttreci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Tahoma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Pr>
      <w:rFonts w:ascii="Tahoma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efaultParagraphFont"/>
    <w:link w:val="Teksttreci2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efaultParagraphFont"/>
    <w:link w:val="Nagweklubstopka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efaultParagraphFont"/>
    <w:link w:val="Teksttreci30"/>
    <w:rPr>
      <w:rFonts w:ascii="Tahoma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Stopka1">
    <w:name w:val="Stopka1"/>
    <w:basedOn w:val="Normal"/>
    <w:link w:val="Stopka"/>
    <w:pPr>
      <w:shd w:val="clear" w:color="auto" w:fill="FFFFFF"/>
      <w:spacing w:line="221" w:lineRule="exact"/>
      <w:ind w:hanging="280"/>
    </w:pPr>
    <w:rPr>
      <w:rFonts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"/>
    <w:link w:val="Nagwek1"/>
    <w:pPr>
      <w:shd w:val="clear" w:color="auto" w:fill="FFFFFF"/>
      <w:spacing w:after="420" w:line="0" w:lineRule="atLeast"/>
      <w:jc w:val="center"/>
      <w:outlineLvl w:val="0"/>
    </w:pPr>
    <w:rPr>
      <w:rFonts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"/>
    <w:link w:val="Nagwek2"/>
    <w:pPr>
      <w:shd w:val="clear" w:color="auto" w:fill="FFFFFF"/>
      <w:spacing w:before="420" w:after="780" w:line="0" w:lineRule="atLeast"/>
      <w:jc w:val="center"/>
      <w:outlineLvl w:val="1"/>
    </w:pPr>
    <w:rPr>
      <w:rFonts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"/>
    <w:link w:val="Nagwek3"/>
    <w:pPr>
      <w:shd w:val="clear" w:color="auto" w:fill="FFFFFF"/>
      <w:spacing w:before="780" w:after="420" w:line="571" w:lineRule="exact"/>
      <w:jc w:val="center"/>
      <w:outlineLvl w:val="2"/>
    </w:pPr>
    <w:rPr>
      <w:rFonts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"/>
    <w:link w:val="Nagwek4"/>
    <w:pPr>
      <w:shd w:val="clear" w:color="auto" w:fill="FFFFFF"/>
      <w:spacing w:before="420" w:line="302" w:lineRule="exact"/>
      <w:jc w:val="center"/>
      <w:outlineLvl w:val="3"/>
    </w:pPr>
    <w:rPr>
      <w:rFonts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"/>
    <w:link w:val="Teksttreci"/>
    <w:pPr>
      <w:shd w:val="clear" w:color="auto" w:fill="FFFFFF"/>
      <w:spacing w:after="300" w:line="0" w:lineRule="atLeast"/>
      <w:ind w:hanging="420"/>
      <w:jc w:val="center"/>
    </w:pPr>
    <w:rPr>
      <w:rFonts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"/>
    <w:link w:val="Teksttreci2"/>
    <w:pPr>
      <w:shd w:val="clear" w:color="auto" w:fill="FFFFFF"/>
      <w:spacing w:after="360" w:line="202" w:lineRule="exact"/>
    </w:pPr>
    <w:rPr>
      <w:rFonts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"/>
    <w:link w:val="Nagweklubstopka"/>
    <w:pPr>
      <w:shd w:val="clear" w:color="auto" w:fill="FFFFFF"/>
    </w:pPr>
    <w:rPr>
      <w:rFonts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"/>
    <w:link w:val="Teksttreci3"/>
    <w:pPr>
      <w:shd w:val="clear" w:color="auto" w:fill="FFFFFF"/>
      <w:spacing w:before="360" w:after="360" w:line="0" w:lineRule="atLeast"/>
      <w:jc w:val="center"/>
    </w:pPr>
    <w:rPr>
      <w:rFonts w:eastAsia="Times New Roman" w:hAnsi="Times New Roman" w:cs="Times New Roman"/>
      <w:i/>
      <w:iCs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9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95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9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95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9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4F51-EDD6-49CC-A2DA-C29F8D3B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>❦JM</cp:keywords>
  <cp:revision>7</cp:revision>
  <dcterms:created xsi:type="dcterms:W3CDTF">2020-10-13T10:21:00Z</dcterms:created>
  <dcterms:modified xsi:type="dcterms:W3CDTF">2020-12-07T09:09:00Z</dcterms:modified>
</cp:coreProperties>
</file>