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Regionalnego Dyrektora Ochrony Środowiska w Bydgoszczy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12 września 2022 r.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 sprawie ustanowienia planu ochrony dla rezerwatu przyrody „Stary Zagaj”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19 ust. 6 ustawy z dnia 16 kwietnia 2004 roku o ochronie przyrody (Dz. U. z 2022, poz. 916 i 1726)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Ustanawia się  plan ochrony dla rezerwatu przyrody „Stary Zagaj” zwanego  dalej „rezerwatem”.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Celem  ochrony w rezerwacie jest zachowanie lasów liściastych o cechach naturalnych.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Przyrodniczymi  i społecznymi  uwarunkowaniami  realizacji  celu  ochrony,  o którym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 1,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w całości na gruntach należących do Skarbu Państwa, zarządzanych przez Państwowe Gospodarstwo Leśne Lasy Państwowe, Nadleśnictwo Skrwilno;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w obrębie zwartego kompleksu leśnego;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na terenie obszaru Natura 2000 Stary Zagaj PLH040038;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na terenie Obszaru Chronionego Krajobrazu Jezioro Skępskie.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Identyfikację oraz określenie sposobów eliminacji i ograniczania istniejących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potencjalnych zagrożeń wewnętrznych i zewnętrznych oraz ich skutków na obszarze rezerwatu przedstawia tabela stanowiąca załącznik nr 1 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czynnej podlega obszar, który stanowią pododdziały: 207m, 208c, 208d, 209f, 209g, 209 l, w Leśnictwie Głęboczek, Nadleśnictwie Skrwilno, a pozostały obszar rezerwatu podlega ochronie ścisłej.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Określenie działań ochronnych na obszarze ochrony czynnej, z podaniem ich rodzaju, zakresu i lokalizacji, przedstawia tabela stanowiąca załącznik nr 2 do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Identyfikacja oraz określenie sposobów eliminacji lub ograniczania istniejących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potencjalnych zagrożeń wewnętrznych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zewnętrznych oraz ich skutków na obszarze rezerwatu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041"/>
        <w:gridCol w:w="44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Identyfikacja zagrożeń istniejących i potencjalnych zagrożeń wewnętrznych i zewnętrznych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Sposób eliminacji lub ograniczania istniejących i potencjalnych zagrożeń wewnętrznych i zewnętrznych oraz ich skutków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Ekspansja obcego gatunku inwazyjnego - robinia akacjowa </w:t>
            </w:r>
            <w:r>
              <w:rPr>
                <w:i/>
              </w:rPr>
              <w:t xml:space="preserve">Robinia pseudoacacia  </w:t>
            </w:r>
            <w:r>
              <w:t>(zagrożenie istniejące, wewnętrzne).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Usuwanie robinii np. poprzez obrączkowanie pni.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Obecność zwartych zadrzewień sosny zwyczajnej </w:t>
            </w:r>
            <w:r>
              <w:rPr>
                <w:i/>
              </w:rPr>
              <w:t>Pinus sylvestris</w:t>
            </w:r>
            <w:r>
              <w:t xml:space="preserve">  oraz świerka pospolitego </w:t>
            </w:r>
            <w:r>
              <w:rPr>
                <w:i/>
              </w:rPr>
              <w:t>Picea abies</w:t>
            </w:r>
            <w:r>
              <w:t xml:space="preserve"> (częściowo powalony w wyniku silnych wiatrów) mogą spowodować zakwaszenie gleby  (zagrożenie istniejące, wewnętrzne).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Usuwanie drzew iglastych (wycięcie i wywiezienie z rezerwatu).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Zagęszczenie podszytu w płacie dąbrowy świetlistej poprzez wnikanie gatunków siedlisk przyległych (głównie grab pospolity </w:t>
            </w:r>
            <w:r>
              <w:rPr>
                <w:i/>
              </w:rPr>
              <w:t>Carpinus betulus</w:t>
            </w:r>
            <w:r>
              <w:t xml:space="preserve">) oraz obcej geograficznie czeremchy amerykańskiej </w:t>
            </w:r>
            <w:r>
              <w:rPr>
                <w:i/>
              </w:rPr>
              <w:t>Padus serotina (</w:t>
            </w:r>
            <w:r>
              <w:t>zagrożenie, istniejące wewnętrzne).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Usuwanie w płacie dąbrowy świetlistej grabu i czeremchy poprzez karczowanie poniżej szyi korzeniowej (w okresie zimowym).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działań ochronnych na obszarze ochrony czynnej,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ich rodzaju, zakresu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7"/>
        <w:gridCol w:w="1982"/>
        <w:gridCol w:w="4058"/>
        <w:gridCol w:w="33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działań ochronnych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Zakres działań ochronnych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Lokalizacja działań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ochronnych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robinii akacjowej </w:t>
            </w:r>
            <w:r>
              <w:rPr>
                <w:i/>
              </w:rPr>
              <w:t xml:space="preserve">Robinia pseudoacacia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Usuwanie robinii np. poprzez obrączkowanie pni. Obumarłe drzewa pozostawić na terenie rezerwatu do naturalnego rozkładu. Działanie jednorazowe, w terminie: jesienią lub zimą (od października do marca).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wydz. 209 f – ok. 20 szt., 209 g – 10 szt., 209 l – 3 szt.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świerka pospolitego </w:t>
            </w:r>
            <w:r>
              <w:rPr>
                <w:i/>
              </w:rPr>
              <w:t>Picea abies</w:t>
            </w:r>
            <w:r>
              <w:t xml:space="preserve"> (częściowo powalonego w wyniku silnych wiatrów)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Usunięcie z kępy świerkowej, zlokalizowanej w rezerwacie całej biomasy świerka pospolitego</w:t>
            </w:r>
            <w:r>
              <w:rPr>
                <w:i/>
              </w:rPr>
              <w:t xml:space="preserve"> Picea abies</w:t>
            </w:r>
            <w:r>
              <w:t xml:space="preserve"> powalonego w wyniku wiatru oraz pozostałych stojących świerków, odnowienie naturalne kępy.</w:t>
            </w:r>
          </w:p>
          <w:p>
            <w:pPr>
              <w:jc w:val="left"/>
            </w:pPr>
            <w:r>
              <w:t xml:space="preserve">Działanie jednorazowe – najlepiej zimą przy pokrywie śnieżnej. Monitoring odnowienia naturalnego po 2-3 latach po zabiegu i w razie potrzeby zastosowanie odnowienia sztucznego (np. lipa drobnolistna </w:t>
            </w:r>
            <w:r>
              <w:rPr>
                <w:i/>
              </w:rPr>
              <w:t>Tilia cordata</w:t>
            </w:r>
            <w:r>
              <w:t xml:space="preserve">, grab pospolity </w:t>
            </w:r>
            <w:r>
              <w:rPr>
                <w:i/>
              </w:rPr>
              <w:t>Carpinus betulus</w:t>
            </w:r>
            <w:r>
              <w:t xml:space="preserve">, klon zwyczajny </w:t>
            </w:r>
            <w:r>
              <w:rPr>
                <w:i/>
              </w:rPr>
              <w:t>Acer platanoides</w:t>
            </w:r>
            <w:r>
              <w:t xml:space="preserve">, klon jawor </w:t>
            </w:r>
            <w:r>
              <w:rPr>
                <w:i/>
              </w:rPr>
              <w:t>Acer pseudoplatanus</w:t>
            </w:r>
            <w:r>
              <w:t xml:space="preserve">).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wydz. 208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sosny zwyczajnej </w:t>
            </w:r>
            <w:r>
              <w:rPr>
                <w:i/>
              </w:rPr>
              <w:t xml:space="preserve">Pinus sylvestris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2-etapowe usuwanie sosny do uzyskania docelowo 30% udziału sosny zwyczajnej, </w:t>
            </w:r>
          </w:p>
          <w:p>
            <w:pPr>
              <w:jc w:val="left"/>
            </w:pPr>
            <w:r>
              <w:t xml:space="preserve">pierwszy etap - usunięcie ok. 30% sosen z drzewostanu (z usunięciem całej biomasy z rezerwatu) – najlepiej zimą przy pokrywie śnieżnej, odnowienie naturalne, monitoring odnowienia naturalnego po 3-5 latach, w razie potrzeby zastosowanie odnowienia sztucznego (np. lipa drobnolistna </w:t>
            </w:r>
            <w:r>
              <w:rPr>
                <w:i/>
              </w:rPr>
              <w:t>Tilia cordata</w:t>
            </w:r>
            <w:r>
              <w:t xml:space="preserve">, grab pospolity </w:t>
            </w:r>
            <w:r>
              <w:rPr>
                <w:i/>
              </w:rPr>
              <w:t>Carpinus betulus</w:t>
            </w:r>
            <w:r>
              <w:t xml:space="preserve">, klon zwyczajny </w:t>
            </w:r>
            <w:r>
              <w:rPr>
                <w:i/>
              </w:rPr>
              <w:t>Acer platanoides</w:t>
            </w:r>
            <w:r>
              <w:t xml:space="preserve">, klon jawor </w:t>
            </w:r>
            <w:r>
              <w:rPr>
                <w:i/>
              </w:rPr>
              <w:t>Acer pseudoplatanus</w:t>
            </w:r>
            <w:r>
              <w:t xml:space="preserve">), </w:t>
            </w:r>
          </w:p>
          <w:p>
            <w:pPr>
              <w:jc w:val="left"/>
            </w:pPr>
            <w:r>
              <w:t xml:space="preserve">drugi etap po 5-7 latach od pierwszego - usunięcie ok. 30% sosen z drzewostanu (z usunięciem całej biomasy z rezerwatu) -– najlepiej zimą przy pokrywie śnieżnej, odnowienie naturalne, monitoring odnowienia naturalnego po 3-5 latach, w razie potrzeby zastosowanie odnowienia sztucznego (np. lipa drobnolistna </w:t>
            </w:r>
            <w:r>
              <w:rPr>
                <w:i/>
              </w:rPr>
              <w:t>Tilia cordata</w:t>
            </w:r>
            <w:r>
              <w:t xml:space="preserve">, grab pospolity </w:t>
            </w:r>
            <w:r>
              <w:rPr>
                <w:i/>
              </w:rPr>
              <w:t>Carpinus betulus</w:t>
            </w:r>
            <w:r>
              <w:t xml:space="preserve">, klon zwyczajny </w:t>
            </w:r>
            <w:r>
              <w:rPr>
                <w:i/>
              </w:rPr>
              <w:t>Acer platanoides</w:t>
            </w:r>
            <w:r>
              <w:t xml:space="preserve">, klon jawor </w:t>
            </w:r>
            <w:r>
              <w:rPr>
                <w:i/>
              </w:rPr>
              <w:t>Acer pseudoplatanus</w:t>
            </w:r>
            <w:r>
              <w:t>).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wydz. 208 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Usuwanie grabu pospolitego </w:t>
            </w:r>
            <w:r>
              <w:rPr>
                <w:i/>
              </w:rPr>
              <w:t>Carpinus betulus</w:t>
            </w:r>
            <w:r>
              <w:t xml:space="preserve"> oraz obcej geograficznie czeremchy amerykańskiej </w:t>
            </w:r>
            <w:r>
              <w:rPr>
                <w:i/>
              </w:rPr>
              <w:t>Padus serotina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Usuwanie grabu i czeremchy amerykańskiej poprzez karczowanie poniżej szyi korzeniowej w okresie zimowym w płacie dąbrowy świetlistej, wyniesienie martwego drewna minimum 10 m poza płat siedliska dąbrowy (płat 64A9 wg mapy PZO Stary Zagaj), martwe drewno pozostawić do naturalnego rozkładu w przylegającym płacie grądu. Działanie jednorazowe, termin – najlepiej jesienią lub zimą (od października do marca).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wydz. 207 m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ochrony dla rezerwatu przyrody 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jest dokumentem określającym spos</w:t>
      </w:r>
      <w:r>
        <w:rPr>
          <w:color w:val="000000"/>
          <w:szCs w:val="20"/>
          <w:shd w:val="clear" w:color="auto" w:fill="FFFFFF"/>
        </w:rPr>
        <w:t>ób ochrony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lasów liściastych o cechach naturalnych</w:t>
      </w:r>
      <w:r>
        <w:rPr>
          <w:color w:val="000000"/>
          <w:szCs w:val="20"/>
          <w:shd w:val="clear" w:color="auto" w:fill="FFFFFF"/>
        </w:rPr>
        <w:t xml:space="preserve"> stanowiących przedmiot ochrony w rezerwacie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Rezerwat przyrody został ustanowiony 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ozporządzenie</w:t>
      </w: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273/01 Wojewody Kujawsko-Pomorskiego z dnia 02 października 2001 r. w sprawie uznania za rezerwat przyrody (Dz. Urz. Woj. Kuj-Pom. nr 80, poz. 1572)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Aktualnie obowiązuje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arządzenie Regionalnego Dyrektora Ochrony Środowiska w Bydgoszczy z dnia 14 grudnia 2017 r. w sprawie rezerwatu przyrody „Stary Zagaj” (Dz. Urz. Woj. Kuj-Pom. poz. 5376)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Dla właściwego funkcjonowania rezerwatu i jego ochrony plan ochrony zgodnie z art. 20 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sporządza się na okres 20 lat. Zgodnie z art. 19 ust. 6 ustawy o ochronie przyrody Regionalny Dyrektor Ochrony Środowiska ustanawia w drodze zarządzenia plan ochrony dla rezerwatu przyrody, sporządzony na podstawie w art. 20 ww. ustawy.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P</w:t>
      </w:r>
      <w:r>
        <w:rPr>
          <w:color w:val="000000"/>
          <w:szCs w:val="20"/>
          <w:shd w:val="clear" w:color="auto" w:fill="FFFFFF"/>
        </w:rPr>
        <w:t>rojekt planu ochrony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dla rezerwatu przyrody 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  <w:shd w:val="clear" w:color="auto" w:fill="FFFFFF"/>
          <w:lang w:val="ar-SA" w:eastAsia="ar-SA" w:bidi="ar-SA"/>
        </w:rPr>
        <w:t>” został zaopiniowan</w:t>
      </w:r>
      <w:r>
        <w:rPr>
          <w:color w:val="000000"/>
          <w:szCs w:val="20"/>
          <w:shd w:val="clear" w:color="auto" w:fill="FFFFFF"/>
        </w:rPr>
        <w:t>y bez uwag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przez zarządcę terenu </w:t>
      </w:r>
      <w:r>
        <w:rPr>
          <w:color w:val="000000"/>
          <w:szCs w:val="20"/>
          <w:shd w:val="clear" w:color="auto" w:fill="FFFFFF"/>
        </w:rPr>
        <w:t xml:space="preserve">rezerwatu 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Nadleśnictwo </w:t>
      </w:r>
      <w:r>
        <w:rPr>
          <w:color w:val="000000"/>
          <w:szCs w:val="20"/>
          <w:shd w:val="clear" w:color="auto" w:fill="FFFFFF"/>
        </w:rPr>
        <w:t>Skrwilno pismem z dnia 2 lutego 2022 r., znak ZG.7212.2.2022.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zarządzenia w sprawie ustanowienia planu ochrony dla rezerwatu przyrody 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” został zaopiniowany </w:t>
      </w:r>
      <w:r>
        <w:rPr>
          <w:color w:val="000000"/>
          <w:szCs w:val="20"/>
          <w:shd w:val="clear" w:color="auto" w:fill="FFFFFF"/>
        </w:rPr>
        <w:t xml:space="preserve">pozytywnie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 Radę Gminy </w:t>
      </w:r>
      <w:r>
        <w:rPr>
          <w:color w:val="000000"/>
          <w:szCs w:val="20"/>
          <w:shd w:val="clear" w:color="auto" w:fill="FFFFFF"/>
        </w:rPr>
        <w:t>Lipno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uchwałą nr XXXIII/208/2022 z dnia 18 marca 2022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 </w:t>
      </w:r>
      <w:r>
        <w:rPr>
          <w:color w:val="000000"/>
          <w:szCs w:val="20"/>
          <w:shd w:val="clear" w:color="auto" w:fill="FFFFFF"/>
        </w:rPr>
        <w:t xml:space="preserve">pozytywnie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 Regionalną Radę Ochrony Przyrody w Bydgoszczy uchwałą 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 </w:t>
      </w:r>
      <w:r>
        <w:rPr>
          <w:color w:val="000000"/>
          <w:szCs w:val="20"/>
          <w:shd w:val="clear" w:color="auto" w:fill="FFFFFF"/>
        </w:rPr>
        <w:t>4/2022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z dnia </w:t>
      </w:r>
      <w:r>
        <w:rPr>
          <w:color w:val="000000"/>
          <w:szCs w:val="20"/>
          <w:shd w:val="clear" w:color="auto" w:fill="FFFFFF"/>
        </w:rPr>
        <w:t>10 sierpnia 2022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 podstawie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art. 59 ust. 2 ustawy z dnia 23 stycznia 2009 r. o wojewodzie i administracji rządowej w województwie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135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projekt zarządzenia został uzgodniony przez Wojewodę Kujawsko-Pomorskiego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pismem znak: </w:t>
      </w:r>
      <w:r>
        <w:rPr>
          <w:color w:val="000000"/>
          <w:szCs w:val="20"/>
          <w:shd w:val="clear" w:color="auto" w:fill="FFFFFF"/>
        </w:rPr>
        <w:t>WIR.IX.710.46.2022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, z dnia </w:t>
      </w:r>
      <w:r>
        <w:rPr>
          <w:color w:val="000000"/>
          <w:szCs w:val="20"/>
          <w:shd w:val="clear" w:color="auto" w:fill="FFFFFF"/>
        </w:rPr>
        <w:t xml:space="preserve">8 września 2022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Obwieszczeniem z dnia 28 stycznia 2021 r., znak WOP.6202.3.2021.KLD, Regionalny Dyrektor Ochrony Środowiska w Bydgoszczy zawiadomił o przystąpieniu do sporządzenia projektu planu ochrony dla rezerwatu przyrody </w:t>
      </w:r>
      <w:r>
        <w:rPr>
          <w:color w:val="000000"/>
          <w:szCs w:val="20"/>
          <w:shd w:val="clear" w:color="auto" w:fill="FFFFFF"/>
          <w:lang w:val="ar-SA" w:eastAsia="ar-SA" w:bidi="ar-SA"/>
        </w:rPr>
        <w:t>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  <w:shd w:val="clear" w:color="auto" w:fill="FFFFFF"/>
          <w:lang w:val="ar-SA" w:eastAsia="ar-SA" w:bidi="ar-SA"/>
        </w:rPr>
        <w:t>”</w:t>
      </w:r>
      <w:r>
        <w:rPr>
          <w:color w:val="000000"/>
          <w:szCs w:val="20"/>
          <w:shd w:val="clear" w:color="auto" w:fill="FFFFFF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Obwieszczeniem z dnia </w:t>
      </w:r>
      <w:r>
        <w:rPr>
          <w:color w:val="000000"/>
          <w:szCs w:val="20"/>
          <w:shd w:val="clear" w:color="auto" w:fill="FFFFFF"/>
        </w:rPr>
        <w:t>1 lutego 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 znak </w:t>
      </w:r>
      <w:r>
        <w:rPr>
          <w:color w:val="000000"/>
          <w:szCs w:val="20"/>
          <w:shd w:val="clear" w:color="auto" w:fill="FFFFFF"/>
        </w:rPr>
        <w:t>WOP.6202.6-8.2022.KLD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Regionalny Dyrektor Ochrony Środowiska w Bydgoszczy zawiadomił o możliwości udziału społeczeństwa w postępowaniu poprzez zapoznanie się z projektem planu ochrony i </w:t>
      </w:r>
      <w:r>
        <w:rPr>
          <w:color w:val="000000"/>
          <w:szCs w:val="20"/>
          <w:shd w:val="clear" w:color="auto" w:fill="FFFFFF"/>
        </w:rPr>
        <w:t xml:space="preserve">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możliwoś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składania uwag i wniosków. Informacja została podana do publicznej wiadomości zgodnie z</w:t>
      </w:r>
      <w:r>
        <w:rPr>
          <w:color w:val="000000"/>
          <w:szCs w:val="20"/>
          <w:shd w:val="clear" w:color="auto" w:fill="FFFFFF"/>
        </w:rPr>
        <w:t xml:space="preserve"> art. 19 ust. 1a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3 ust. 1 pkt 11, art. 39 ustawy z dnia 3 października 2008 roku o udostępnieniu informacji o środowisku i jego ochronie, udziale społeczeństwa w ochronie środowiska oraz o ocenach oddziaływania na środowisko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r., poz. </w:t>
      </w:r>
      <w:r>
        <w:rPr>
          <w:color w:val="000000"/>
          <w:szCs w:val="20"/>
          <w:shd w:val="clear" w:color="auto" w:fill="FFFFFF"/>
        </w:rPr>
        <w:t>1029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rozporządzeniem Ministra Środowiska z dnia 12 maja 2005 r. w sprawie sporządzenia projektu planu ochrony dla parku narodowego, rezerwatu przyrody i parku krajobrazowego, dokonania zmian w tym planie oraz ochrony zasobów, tworów i składników przyrody (Dz. U. Nr 94, poz. 794)</w:t>
      </w:r>
      <w:r>
        <w:rPr>
          <w:color w:val="000000"/>
          <w:szCs w:val="20"/>
          <w:shd w:val="clear" w:color="auto" w:fill="FFFFFF"/>
        </w:rPr>
        <w:t xml:space="preserve"> oraz art. 49 ustawy z dnia 14 czerwca 1960 r. Kodeks postępowania administracyjnego (Dz. U. z 2021 r., poz. 735,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Projekt zarządzenia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był podan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publicznej wiadomości również poprzez ogłoszenie w prasie o odpowiednim do rodzaju dokumentu zasięgu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>Projekt planu ochrony zamieszczono również w publicznie dostępnym wykazie danych na Ekoportalu (nr karty: 43/2022). W trakcie przeprowadzonych konsultacji społecznych nie wpłynęły do tut. Urzędu uwagi do przedmiotowego projektu planu ochrony.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auto"/>
        <w:tabs>
          <w:tab w:val="left" w:pos="0"/>
          <w:tab w:val="clear" w:pos="720"/>
        </w:tabs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>Na terenie rezerwatu przyrody</w:t>
      </w:r>
      <w:r>
        <w:rPr>
          <w:color w:val="000000"/>
          <w:szCs w:val="20"/>
        </w:rPr>
        <w:t xml:space="preserve"> 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</w:rPr>
        <w:t xml:space="preserve">” wyznaczono obszar ochrony </w:t>
      </w:r>
      <w:r>
        <w:rPr>
          <w:color w:val="000000"/>
          <w:szCs w:val="20"/>
        </w:rPr>
        <w:t>czynnej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</w:t>
      </w:r>
      <w:r>
        <w:rPr>
          <w:color w:val="000000"/>
          <w:szCs w:val="20"/>
        </w:rPr>
        <w:t xml:space="preserve"> wydz. </w:t>
      </w:r>
      <w:r>
        <w:rPr>
          <w:color w:val="000000"/>
          <w:szCs w:val="20"/>
        </w:rPr>
        <w:t>207 m, 208 c, d, 209 f, g</w:t>
      </w:r>
      <w:r>
        <w:rPr>
          <w:color w:val="000000"/>
          <w:szCs w:val="20"/>
          <w:lang w:val="pt-BR" w:eastAsia="pt-BR" w:bidi="pt-BR"/>
        </w:rPr>
        <w:t>,</w:t>
      </w:r>
      <w:r>
        <w:rPr>
          <w:color w:val="000000"/>
          <w:szCs w:val="20"/>
        </w:rPr>
        <w:t xml:space="preserve"> l, Leśnictwa Głęboczek, Nadleśnictwa Skrwilno, w celu usuwania zagrożeń istniejących, wewnętrznych, takich jak</w:t>
      </w:r>
      <w:r>
        <w:rPr>
          <w:color w:val="000000"/>
          <w:szCs w:val="20"/>
        </w:rPr>
        <w:t>: ekspansj</w:t>
      </w:r>
      <w:r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obcego gatunku inwazyjnego - robinia akacjowa </w:t>
      </w:r>
      <w:r>
        <w:rPr>
          <w:i/>
          <w:color w:val="000000"/>
          <w:szCs w:val="20"/>
        </w:rPr>
        <w:t>Robinia pseudoacacia</w:t>
      </w:r>
      <w:r>
        <w:rPr>
          <w:color w:val="000000"/>
          <w:szCs w:val="20"/>
        </w:rPr>
        <w:t xml:space="preserve">, zakwaszenie siedlisk powodowane przez zwarte zadrzewienia sosny zwyczajnej </w:t>
      </w:r>
      <w:r>
        <w:rPr>
          <w:i/>
          <w:color w:val="000000"/>
          <w:szCs w:val="20"/>
        </w:rPr>
        <w:t>Pinus sylvestris</w:t>
      </w:r>
      <w:r>
        <w:rPr>
          <w:color w:val="000000"/>
          <w:szCs w:val="20"/>
        </w:rPr>
        <w:t xml:space="preserve"> i świerka pospolitego </w:t>
      </w:r>
      <w:r>
        <w:rPr>
          <w:i/>
          <w:color w:val="000000"/>
          <w:szCs w:val="20"/>
        </w:rPr>
        <w:t>Picea abies</w:t>
      </w:r>
      <w:r>
        <w:rPr>
          <w:color w:val="000000"/>
          <w:szCs w:val="20"/>
        </w:rPr>
        <w:t xml:space="preserve"> (częściowo powalon</w:t>
      </w:r>
      <w:r>
        <w:rPr>
          <w:color w:val="000000"/>
          <w:szCs w:val="20"/>
        </w:rPr>
        <w:t>ego</w:t>
      </w:r>
      <w:r>
        <w:rPr>
          <w:color w:val="000000"/>
          <w:szCs w:val="20"/>
        </w:rPr>
        <w:t xml:space="preserve"> w wyniku silnych wiatrów) oraz zagęszczenie podszytu w płacie dąbrowy świetlistej poprzez wnikanie gatunków siedlisk przyległych (głównie grab pospolity </w:t>
      </w:r>
      <w:r>
        <w:rPr>
          <w:i/>
          <w:color w:val="000000"/>
          <w:szCs w:val="20"/>
        </w:rPr>
        <w:t>Carpinus betulus</w:t>
      </w:r>
      <w:r>
        <w:rPr>
          <w:color w:val="000000"/>
          <w:szCs w:val="20"/>
        </w:rPr>
        <w:t xml:space="preserve">) i obcej geograficznie czeremchy amerykańskiej </w:t>
      </w:r>
      <w:r>
        <w:rPr>
          <w:i/>
          <w:color w:val="000000"/>
          <w:szCs w:val="20"/>
        </w:rPr>
        <w:t>Padus serotina</w:t>
      </w:r>
      <w:r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W planie ochrony określono następujące działania ochronne mające na celu eliminację lub ograniczanie powyższych zagrożeń: usuwanie </w:t>
      </w:r>
      <w:r>
        <w:rPr>
          <w:color w:val="000000"/>
          <w:szCs w:val="20"/>
          <w:shd w:val="clear" w:color="auto" w:fill="FFFFFF"/>
        </w:rPr>
        <w:t>robini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</w:rPr>
        <w:t xml:space="preserve"> akacjow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i/>
          <w:color w:val="000000"/>
          <w:szCs w:val="20"/>
          <w:shd w:val="clear" w:color="auto" w:fill="FFFFFF"/>
        </w:rPr>
        <w:t>Robinia pseudoacacia</w:t>
      </w:r>
      <w:r>
        <w:rPr>
          <w:i/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np.</w:t>
      </w:r>
      <w:r>
        <w:rPr>
          <w:i/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poprzez obrączkowanie pni, usuwanie </w:t>
      </w:r>
      <w:r>
        <w:rPr>
          <w:color w:val="000000"/>
          <w:szCs w:val="20"/>
          <w:shd w:val="clear" w:color="auto" w:fill="FFFFFF"/>
        </w:rPr>
        <w:t xml:space="preserve">sosny zwyczajnej </w:t>
      </w:r>
      <w:r>
        <w:rPr>
          <w:i/>
          <w:color w:val="000000"/>
          <w:szCs w:val="20"/>
          <w:shd w:val="clear" w:color="auto" w:fill="FFFFFF"/>
        </w:rPr>
        <w:t>Pinus sylvestris</w:t>
      </w:r>
      <w:r>
        <w:rPr>
          <w:color w:val="000000"/>
          <w:szCs w:val="20"/>
          <w:shd w:val="clear" w:color="auto" w:fill="FFFFFF"/>
        </w:rPr>
        <w:t xml:space="preserve"> i świerka pospolitego </w:t>
      </w:r>
      <w:r>
        <w:rPr>
          <w:i/>
          <w:color w:val="000000"/>
          <w:szCs w:val="20"/>
          <w:shd w:val="clear" w:color="auto" w:fill="FFFFFF"/>
        </w:rPr>
        <w:t>Picea abies</w:t>
      </w:r>
      <w:r>
        <w:rPr>
          <w:i/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</w:rPr>
        <w:t>(wycięcie i wywiezienie z rezerwatu)</w:t>
      </w:r>
      <w:r>
        <w:rPr>
          <w:color w:val="000000"/>
          <w:szCs w:val="20"/>
        </w:rPr>
        <w:t>, u</w:t>
      </w:r>
      <w:r>
        <w:rPr>
          <w:color w:val="000000"/>
          <w:szCs w:val="20"/>
        </w:rPr>
        <w:t>suwanie w płacie dąbrowy świetlistej grabu</w:t>
      </w:r>
      <w:r>
        <w:rPr>
          <w:color w:val="000000"/>
          <w:szCs w:val="20"/>
        </w:rPr>
        <w:t xml:space="preserve"> pospolitego </w:t>
      </w:r>
      <w:r>
        <w:rPr>
          <w:i/>
          <w:color w:val="000000"/>
          <w:szCs w:val="20"/>
          <w:shd w:val="clear" w:color="auto" w:fill="FFFFFF"/>
        </w:rPr>
        <w:t>Carpinus betulus</w:t>
      </w:r>
      <w:r>
        <w:rPr>
          <w:color w:val="000000"/>
          <w:szCs w:val="20"/>
        </w:rPr>
        <w:t xml:space="preserve"> i czeremchy</w:t>
      </w:r>
      <w:r>
        <w:rPr>
          <w:color w:val="000000"/>
          <w:szCs w:val="20"/>
        </w:rPr>
        <w:t xml:space="preserve"> amerykańskiej</w:t>
      </w:r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  <w:shd w:val="clear" w:color="auto" w:fill="FFFFFF"/>
        </w:rPr>
        <w:t>Padus serotina</w:t>
      </w:r>
      <w:r>
        <w:rPr>
          <w:i/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</w:rPr>
        <w:t>poprzez karczowanie poniżej szyi korzeniowej (w okresie zimowym).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Na pozostałym obszarze rezerwatu wyznaczono o</w:t>
      </w:r>
      <w:r>
        <w:rPr>
          <w:color w:val="000000"/>
          <w:szCs w:val="20"/>
        </w:rPr>
        <w:t>chronę ścisłą</w:t>
      </w:r>
      <w:r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w miejscach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gdzie nie przewiduje się potrzeby działań ochronnych z zakresu ochrony czynnej i umożliwia się zachodzenie naturalnych procesów w siedliskach leśnych rezerwatu.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 względu na uwarunkowanie przyrodnicze rezerwatu nie wskazano miejsc, w których może być prowadzona działalność wytwórcza, handlowa i rolnicza, jak również nie wskazano obszarów udostępnianych do celów </w:t>
      </w:r>
      <w:r>
        <w:rPr>
          <w:color w:val="000000"/>
          <w:szCs w:val="20"/>
          <w:shd w:val="clear" w:color="auto" w:fill="FFFFFF"/>
        </w:rPr>
        <w:t xml:space="preserve">naukowych,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edukacyjnych, rekreacyjnych, sportowych, amatorskiego połowu ryb i rybactwa. Udostępnianie rezerwatu w celu badań naukowych należy rozpatrywać na podstawie art. 15 ust. 1 pkt. 24 ustawy o ochronie przyrody. Uzyskanie indywidualnej zgody na prowadzenie ww. czynności gwarantuje nadzór nad ich rodzajem i metodyką, mając na uwadze dbałość o zachowanie celu ochrony rezerwatu przyrody we właściwym stanie.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dostępnienie rezerwatu przyrody dla celów edukacyjnych i turystycznych może nastąpić jedynie w formie odrębnego zarządzenia na podstawie ar. 15 ust. 1 pkt 15 ustawy z dnia 16 kwietnia 2004 r. o ochronie przyrody, a nie zarządzeniem w sprawie ustanowienia planu ochrony rezerwatu.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 wprowadzono dodatkowych ustaleń do studiów uwarunkowań i kierunków zagospodarowania przestrzennego gminy </w:t>
      </w:r>
      <w:r>
        <w:rPr>
          <w:color w:val="000000"/>
          <w:szCs w:val="20"/>
          <w:shd w:val="clear" w:color="auto" w:fill="FFFFFF"/>
        </w:rPr>
        <w:t>Lipno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planów zagospodarowania przestrzennego województwa kujawsko-pomorskiego dotyczących eliminacji lub ograniczenia zagrożeń wewnętrznych i zewnętrznych. </w:t>
      </w:r>
      <w:r>
        <w:rPr>
          <w:color w:val="000000"/>
          <w:szCs w:val="20"/>
          <w:shd w:val="clear" w:color="auto" w:fill="FFFFFF"/>
        </w:rPr>
        <w:t>Brak ustaleń wynika z braku zagrożeń, którym można by przeciwdziałać poprzez ww. ustalenia.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20 ust. 6 ustawy o ochronie przyrody niniejszy plan ochrony dla rezerwatu </w:t>
      </w:r>
      <w:r>
        <w:rPr>
          <w:color w:val="000000"/>
          <w:szCs w:val="20"/>
          <w:shd w:val="clear" w:color="auto" w:fill="FFFFFF"/>
        </w:rPr>
        <w:t xml:space="preserve">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zawiera zakres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planu zadań ochronnych obszaru Natura 2000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Stary Zagaj PLH040038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ponieważ dla tego obszaru Natura 2000 ustanowiono plan zadań ochronnych zarządzeniem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Regionalnego Dyrektora Ochrony Środowiska w Bydgoszczy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9FBF9"/>
          <w:lang w:val="x-none" w:eastAsia="en-US" w:bidi="ar-SA"/>
        </w:rPr>
        <w:t>z dnia 29 listopada 2016 r. w sprawie ustanowienia planu zadań ochronnych dla obszaru Natura 2000 Stary Zagaj PLH040038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9FBF9"/>
          <w:lang w:val="x-none" w:eastAsia="en-US" w:bidi="ar-SA"/>
        </w:rPr>
        <w:t>(Dz. Urz. Woj. Kuj-Pom. poz. 4289)</w:t>
      </w:r>
      <w:r>
        <w:rPr>
          <w:color w:val="000000"/>
          <w:szCs w:val="20"/>
          <w:shd w:val="clear" w:color="auto" w:fill="F9FBF9"/>
        </w:rPr>
        <w:t xml:space="preserve">, którego zakres obejmuje obszar rezerwatu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„</w:t>
      </w:r>
      <w:r>
        <w:rPr>
          <w:color w:val="000000"/>
          <w:szCs w:val="20"/>
          <w:shd w:val="clear" w:color="auto" w:fill="FFFFFF"/>
        </w:rPr>
        <w:t>Stary Zagaj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leSimple1"/>
        <w:tblW w:w="8640" w:type="dxa"/>
        <w:tblInd w:w="9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81"/>
        <w:gridCol w:w="3559"/>
      </w:tblGrid>
      <w:tr>
        <w:tblPrEx>
          <w:tblW w:w="8640" w:type="dxa"/>
          <w:tblInd w:w="9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120" w:afterAutospacing="0" w:line="240" w:lineRule="auto"/>
              <w:ind w:left="0" w:right="0" w:firstLine="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szCs w:val="20"/>
                <w:u w:color="000000"/>
              </w:rPr>
              <w:t xml:space="preserve">Regionalny Dyrektor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Ochrony Środowiska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>w Bydgoszczy</w:t>
            </w:r>
            <w:r>
              <w:rPr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 xml:space="preserve">Szymon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>Kosmalski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7C4ED20C-9C3F-4ABC-AC2A-DC5B2FFADC1B.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7C4ED20C-9C3F-4ABC-AC2A-DC5B2FFADC1B.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7C4ED20C-9C3F-4ABC-AC2A-DC5B2FFADC1B.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7C4ED20C-9C3F-4ABC-AC2A-DC5B2FFADC1B.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Plan Urządzenia Lasu Nadleśnictwa Skrwilno na okres do 01.01.2016 r. do 31.12.2025 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015"/>
    <w:multiLevelType w:val="hybridMultilevel"/>
    <w:tmpl w:val="00000000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LPNumerowanie">
    <w:name w:val="LP_Numerowanie"/>
    <w:basedOn w:val="Normal"/>
    <w:pPr>
      <w:numPr>
        <w:numId w:val="1"/>
      </w:numPr>
      <w:tabs>
        <w:tab w:val="left" w:pos="0"/>
        <w:tab w:val="left" w:pos="720"/>
      </w:tabs>
      <w:spacing w:line="360" w:lineRule="auto"/>
    </w:pPr>
    <w:rPr>
      <w:color w:val="000000"/>
      <w:szCs w:val="20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  <w:style w:type="table" w:styleId="TableSimple1">
    <w:name w:val="Table Simple 1"/>
    <w:basedOn w:val="TableNormal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Bydgoszczy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12 września 2022 r.</dc:title>
  <dc:subject>w^sprawie ustanowienia planu ochrony dla rezerwatu przyrody „Stary Zagaj”</dc:subject>
  <dc:creator>kleszczynska</dc:creator>
  <cp:lastModifiedBy>kleszczynska</cp:lastModifiedBy>
  <cp:revision>1</cp:revision>
  <dcterms:created xsi:type="dcterms:W3CDTF">2022-09-13T10:01:45Z</dcterms:created>
  <dcterms:modified xsi:type="dcterms:W3CDTF">2022-09-13T10:01:45Z</dcterms:modified>
  <cp:category>Akt prawny</cp:category>
</cp:coreProperties>
</file>