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9E932" w14:textId="7A8E35F4" w:rsidR="00A2283F" w:rsidRPr="004A2C75" w:rsidRDefault="00733578" w:rsidP="00F76DF1">
      <w:pPr>
        <w:jc w:val="right"/>
        <w:rPr>
          <w:rFonts w:ascii="Verdana" w:hAnsi="Verdana"/>
          <w:sz w:val="20"/>
          <w:szCs w:val="20"/>
        </w:rPr>
      </w:pPr>
      <w:r w:rsidRPr="004A2C75">
        <w:rPr>
          <w:rFonts w:ascii="Verdana" w:hAnsi="Verdana"/>
          <w:sz w:val="20"/>
          <w:szCs w:val="20"/>
        </w:rPr>
        <w:t>Zestawienie</w:t>
      </w:r>
      <w:r w:rsidR="00A2283F" w:rsidRPr="004A2C75">
        <w:rPr>
          <w:rFonts w:ascii="Verdana" w:hAnsi="Verdana"/>
          <w:sz w:val="20"/>
          <w:szCs w:val="20"/>
        </w:rPr>
        <w:t xml:space="preserve"> – środki oszczędnościowe</w:t>
      </w:r>
    </w:p>
    <w:p w14:paraId="14A0ABDE" w14:textId="77777777" w:rsidR="00F76DF1" w:rsidRDefault="00F76DF1" w:rsidP="00F76DF1">
      <w:pPr>
        <w:jc w:val="right"/>
        <w:rPr>
          <w:rFonts w:ascii="Verdana" w:hAnsi="Verdana"/>
          <w:color w:val="ED7D31" w:themeColor="accent2"/>
          <w:sz w:val="20"/>
          <w:szCs w:val="20"/>
        </w:rPr>
      </w:pPr>
    </w:p>
    <w:p w14:paraId="0AD41B94" w14:textId="3CB8D8F6" w:rsidR="00A2283F" w:rsidRPr="004A2C75" w:rsidRDefault="00F76DF1" w:rsidP="00F76DF1">
      <w:pPr>
        <w:jc w:val="right"/>
        <w:rPr>
          <w:rFonts w:ascii="Verdana" w:hAnsi="Verdana"/>
          <w:color w:val="ED7D31" w:themeColor="accent2"/>
          <w:sz w:val="20"/>
          <w:szCs w:val="20"/>
        </w:rPr>
      </w:pPr>
      <w:r>
        <w:rPr>
          <w:rFonts w:ascii="Verdana" w:hAnsi="Verdana"/>
          <w:noProof/>
          <w:sz w:val="20"/>
          <w:szCs w:val="20"/>
          <w:lang w:eastAsia="pl-PL"/>
        </w:rPr>
        <mc:AlternateContent>
          <mc:Choice Requires="wps">
            <w:drawing>
              <wp:anchor distT="0" distB="0" distL="0" distR="0" simplePos="0" relativeHeight="251658240" behindDoc="1" locked="0" layoutInCell="1" allowOverlap="1" wp14:editId="2A2CD2D3">
                <wp:simplePos x="0" y="0"/>
                <wp:positionH relativeFrom="page">
                  <wp:posOffset>213995</wp:posOffset>
                </wp:positionH>
                <wp:positionV relativeFrom="paragraph">
                  <wp:posOffset>27940</wp:posOffset>
                </wp:positionV>
                <wp:extent cx="6629400" cy="0"/>
                <wp:effectExtent l="0" t="0" r="19050" b="19050"/>
                <wp:wrapTopAndBottom/>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85pt,2.2pt" to="538.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" strokecolor="gray">
                <w10:wrap type="topAndBottom" anchorx="page"/>
              </v:line>
            </w:pict>
          </mc:Fallback>
        </mc:AlternateContent>
      </w:r>
      <w:r w:rsidR="009D0B2B">
        <w:rPr>
          <w:rFonts w:ascii="Verdana" w:hAnsi="Verdana"/>
          <w:color w:val="ED7D31" w:themeColor="accent2"/>
          <w:sz w:val="20"/>
          <w:szCs w:val="20"/>
        </w:rPr>
        <w:t xml:space="preserve">Lipiec </w:t>
      </w:r>
      <w:r w:rsidR="00A2283F" w:rsidRPr="004A2C75">
        <w:rPr>
          <w:rFonts w:ascii="Verdana" w:hAnsi="Verdana"/>
          <w:color w:val="ED7D31" w:themeColor="accent2"/>
          <w:sz w:val="20"/>
          <w:szCs w:val="20"/>
        </w:rPr>
        <w:t>201</w:t>
      </w:r>
      <w:r w:rsidR="009D0B2B">
        <w:rPr>
          <w:rFonts w:ascii="Verdana" w:hAnsi="Verdana"/>
          <w:color w:val="ED7D31" w:themeColor="accent2"/>
          <w:sz w:val="20"/>
          <w:szCs w:val="20"/>
        </w:rPr>
        <w:t>8</w:t>
      </w:r>
    </w:p>
    <w:p w14:paraId="0632AC46" w14:textId="72EE1480" w:rsidR="00A2283F" w:rsidRPr="004A2C75" w:rsidRDefault="00733578" w:rsidP="00F76DF1">
      <w:pPr>
        <w:jc w:val="right"/>
        <w:rPr>
          <w:rFonts w:ascii="Verdana" w:hAnsi="Verdana"/>
          <w:color w:val="ED7D31" w:themeColor="accent2"/>
          <w:sz w:val="20"/>
          <w:szCs w:val="20"/>
        </w:rPr>
      </w:pPr>
      <w:r w:rsidRPr="004A2C75">
        <w:rPr>
          <w:rFonts w:ascii="Verdana" w:hAnsi="Verdana"/>
          <w:color w:val="ED7D31" w:themeColor="accent2"/>
          <w:sz w:val="20"/>
          <w:szCs w:val="20"/>
        </w:rPr>
        <w:t xml:space="preserve">Niniejsze zestawienie nie jest wiążące dla Trybunału </w:t>
      </w:r>
      <w:r w:rsidR="00F76DF1">
        <w:rPr>
          <w:rFonts w:ascii="Verdana" w:hAnsi="Verdana"/>
          <w:color w:val="ED7D31" w:themeColor="accent2"/>
          <w:sz w:val="20"/>
          <w:szCs w:val="20"/>
        </w:rPr>
        <w:br/>
      </w:r>
      <w:r w:rsidRPr="004A2C75">
        <w:rPr>
          <w:rFonts w:ascii="Verdana" w:hAnsi="Verdana"/>
          <w:color w:val="ED7D31" w:themeColor="accent2"/>
          <w:sz w:val="20"/>
          <w:szCs w:val="20"/>
        </w:rPr>
        <w:t>i nie ma charakteru wyczerpującego</w:t>
      </w:r>
    </w:p>
    <w:p w14:paraId="6107B30C" w14:textId="77777777" w:rsidR="004A2C75" w:rsidRDefault="004A2C75" w:rsidP="00F76DF1">
      <w:pPr>
        <w:rPr>
          <w:rFonts w:ascii="Verdana" w:hAnsi="Verdana"/>
          <w:color w:val="2E74B5" w:themeColor="accent5" w:themeShade="BF"/>
          <w:sz w:val="48"/>
          <w:szCs w:val="48"/>
        </w:rPr>
      </w:pPr>
    </w:p>
    <w:p w14:paraId="7F6CC758" w14:textId="5D8C3F4E" w:rsidR="001E0059" w:rsidRPr="004A2C75" w:rsidRDefault="001E0059" w:rsidP="00F76DF1">
      <w:pPr>
        <w:rPr>
          <w:rFonts w:ascii="Verdana" w:hAnsi="Verdana"/>
          <w:color w:val="2E74B5" w:themeColor="accent5" w:themeShade="BF"/>
          <w:sz w:val="48"/>
          <w:szCs w:val="48"/>
        </w:rPr>
      </w:pPr>
      <w:r w:rsidRPr="004A2C75">
        <w:rPr>
          <w:rFonts w:ascii="Verdana" w:hAnsi="Verdana"/>
          <w:color w:val="2E74B5" w:themeColor="accent5" w:themeShade="BF"/>
          <w:sz w:val="48"/>
          <w:szCs w:val="48"/>
        </w:rPr>
        <w:t xml:space="preserve">Środki oszczędnościowe </w:t>
      </w:r>
    </w:p>
    <w:p w14:paraId="0B288211" w14:textId="68656FCC" w:rsidR="00A86229" w:rsidRPr="004A2C75" w:rsidRDefault="00F76DF1" w:rsidP="00F76DF1">
      <w:pPr>
        <w:rPr>
          <w:rFonts w:ascii="Verdana" w:hAnsi="Verdana"/>
          <w:sz w:val="20"/>
          <w:szCs w:val="20"/>
        </w:rPr>
      </w:pPr>
      <w:r>
        <w:rPr>
          <w:noProof/>
        </w:rPr>
        <mc:AlternateContent>
          <mc:Choice Requires="wps">
            <w:drawing>
              <wp:anchor distT="0" distB="0" distL="114300" distR="114300" simplePos="0" relativeHeight="251660288" behindDoc="0" locked="0" layoutInCell="1" allowOverlap="1" wp14:anchorId="167EC47F" wp14:editId="07003965">
                <wp:simplePos x="0" y="0"/>
                <wp:positionH relativeFrom="column">
                  <wp:posOffset>-31115</wp:posOffset>
                </wp:positionH>
                <wp:positionV relativeFrom="paragraph">
                  <wp:posOffset>29845</wp:posOffset>
                </wp:positionV>
                <wp:extent cx="5756910" cy="0"/>
                <wp:effectExtent l="0" t="19050" r="15240" b="19050"/>
                <wp:wrapNone/>
                <wp:docPr id="10" name="Line 4"/>
                <wp:cNvGraphicFramePr/>
                <a:graphic xmlns:a="http://schemas.openxmlformats.org/drawingml/2006/main">
                  <a:graphicData uri="http://schemas.microsoft.com/office/word/2010/wordprocessingShape">
                    <wps:wsp>
                      <wps:cNvCnPr/>
                      <wps:spPr bwMode="auto">
                        <a:xfrm>
                          <a:off x="0" y="0"/>
                          <a:ext cx="575691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5pt,2.35pt" to="45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" strokecolor="#eaeaea" strokeweight="3pt"/>
            </w:pict>
          </mc:Fallback>
        </mc:AlternateContent>
      </w:r>
    </w:p>
    <w:p w14:paraId="2C128CD6" w14:textId="77777777" w:rsidR="00A86229" w:rsidRPr="004A2C75" w:rsidRDefault="001E0059" w:rsidP="00F76DF1">
      <w:pPr>
        <w:jc w:val="both"/>
        <w:rPr>
          <w:rFonts w:ascii="Verdana" w:eastAsia="Times New Roman" w:hAnsi="Verdana" w:cs="Times New Roman"/>
          <w:sz w:val="20"/>
          <w:szCs w:val="20"/>
          <w:lang w:eastAsia="pl-PL"/>
        </w:rPr>
      </w:pPr>
      <w:r w:rsidRPr="004A2C75">
        <w:rPr>
          <w:rFonts w:ascii="Verdana" w:hAnsi="Verdana"/>
          <w:sz w:val="20"/>
          <w:szCs w:val="20"/>
        </w:rPr>
        <w:t xml:space="preserve">Wielu skarżących do Europejskiego Trybunału Praw Człowieka powołuje się na </w:t>
      </w:r>
      <w:r w:rsidRPr="004A2C75">
        <w:rPr>
          <w:rFonts w:ascii="Verdana" w:hAnsi="Verdana"/>
          <w:b/>
          <w:color w:val="2E74B5" w:themeColor="accent5" w:themeShade="BF"/>
          <w:sz w:val="20"/>
          <w:szCs w:val="20"/>
          <w:u w:val="single"/>
        </w:rPr>
        <w:t>Europejską Konwe</w:t>
      </w:r>
      <w:r w:rsidR="0062128A" w:rsidRPr="004A2C75">
        <w:rPr>
          <w:rFonts w:ascii="Verdana" w:hAnsi="Verdana"/>
          <w:b/>
          <w:color w:val="2E74B5" w:themeColor="accent5" w:themeShade="BF"/>
          <w:sz w:val="20"/>
          <w:szCs w:val="20"/>
          <w:u w:val="single"/>
        </w:rPr>
        <w:t>ncję Praw Człowieka</w:t>
      </w:r>
      <w:r w:rsidR="00A2283F" w:rsidRPr="004A2C75">
        <w:rPr>
          <w:rFonts w:ascii="Verdana" w:hAnsi="Verdana"/>
          <w:sz w:val="20"/>
          <w:szCs w:val="20"/>
        </w:rPr>
        <w:t>, aby zakwestionować</w:t>
      </w:r>
      <w:r w:rsidR="0062128A" w:rsidRPr="004A2C75">
        <w:rPr>
          <w:rFonts w:ascii="Verdana" w:hAnsi="Verdana"/>
          <w:sz w:val="20"/>
          <w:szCs w:val="20"/>
        </w:rPr>
        <w:t xml:space="preserve"> środki </w:t>
      </w:r>
      <w:r w:rsidR="00A2283F" w:rsidRPr="004A2C75">
        <w:rPr>
          <w:rFonts w:ascii="Verdana" w:hAnsi="Verdana"/>
          <w:sz w:val="20"/>
          <w:szCs w:val="20"/>
        </w:rPr>
        <w:t>stosowane</w:t>
      </w:r>
      <w:r w:rsidR="0062128A" w:rsidRPr="004A2C75">
        <w:rPr>
          <w:rFonts w:ascii="Verdana" w:hAnsi="Verdana"/>
          <w:sz w:val="20"/>
          <w:szCs w:val="20"/>
        </w:rPr>
        <w:t xml:space="preserve"> przez władze państwowe w odpowiedzi na kryzys finansowy. Skargi te zazwyczaj opierają się o Artykuł 1 (</w:t>
      </w:r>
      <w:r w:rsidR="007C7B8A" w:rsidRPr="004A2C75">
        <w:rPr>
          <w:rFonts w:ascii="Verdana" w:hAnsi="Verdana"/>
          <w:sz w:val="20"/>
          <w:szCs w:val="20"/>
        </w:rPr>
        <w:t xml:space="preserve">ochrona własności) Protokołu nr 1 do </w:t>
      </w:r>
      <w:r w:rsidR="00A06EC5" w:rsidRPr="004A2C75">
        <w:rPr>
          <w:rFonts w:ascii="Verdana" w:hAnsi="Verdana"/>
          <w:sz w:val="20"/>
          <w:szCs w:val="20"/>
        </w:rPr>
        <w:t>Konwencj</w:t>
      </w:r>
      <w:r w:rsidR="004B5DE9" w:rsidRPr="004A2C75">
        <w:rPr>
          <w:rFonts w:ascii="Verdana" w:hAnsi="Verdana"/>
          <w:sz w:val="20"/>
          <w:szCs w:val="20"/>
        </w:rPr>
        <w:t>i, który stanowi</w:t>
      </w:r>
      <w:r w:rsidR="00A86229" w:rsidRPr="004A2C75">
        <w:rPr>
          <w:rFonts w:ascii="Verdana" w:hAnsi="Verdana"/>
          <w:sz w:val="20"/>
          <w:szCs w:val="20"/>
        </w:rPr>
        <w:t>,</w:t>
      </w:r>
      <w:r w:rsidR="004B5DE9" w:rsidRPr="004A2C75">
        <w:rPr>
          <w:rFonts w:ascii="Verdana" w:hAnsi="Verdana"/>
          <w:sz w:val="20"/>
          <w:szCs w:val="20"/>
        </w:rPr>
        <w:t xml:space="preserve"> iż Państwo jest</w:t>
      </w:r>
      <w:r w:rsidR="00A86229" w:rsidRPr="004A2C75">
        <w:rPr>
          <w:rFonts w:ascii="Verdana" w:hAnsi="Verdana"/>
          <w:sz w:val="20"/>
          <w:szCs w:val="20"/>
        </w:rPr>
        <w:t xml:space="preserve"> uprawnione „</w:t>
      </w:r>
      <w:r w:rsidR="00A86229" w:rsidRPr="004A2C75">
        <w:rPr>
          <w:rFonts w:ascii="Verdana" w:eastAsia="Times New Roman" w:hAnsi="Verdana" w:cs="Times New Roman"/>
          <w:sz w:val="20"/>
          <w:szCs w:val="20"/>
          <w:lang w:eastAsia="pl-PL"/>
        </w:rPr>
        <w:t xml:space="preserve">do wydawania takich ustaw, jakie uzna za konieczne dla uregulowania sposobu korzystania z własności zgodnie z interesem powszechnym lub w celu zapewnienia uiszczania podatków bądź innych należności lub kar pieniężnych”. Inne przepisy Konwencji również znajdują zastosowanie. </w:t>
      </w:r>
    </w:p>
    <w:p w14:paraId="5EB1AC3B" w14:textId="77777777" w:rsidR="00D32AE1" w:rsidRPr="004A2C75" w:rsidRDefault="00D32AE1" w:rsidP="00F76DF1">
      <w:pPr>
        <w:rPr>
          <w:rFonts w:ascii="Verdana" w:eastAsia="Times New Roman" w:hAnsi="Verdana" w:cs="Times New Roman"/>
          <w:sz w:val="20"/>
          <w:szCs w:val="20"/>
          <w:lang w:eastAsia="pl-PL"/>
        </w:rPr>
      </w:pPr>
    </w:p>
    <w:p w14:paraId="61294001" w14:textId="77777777" w:rsidR="00D32AE1" w:rsidRPr="004A2C75" w:rsidRDefault="00D32AE1" w:rsidP="00F76DF1">
      <w:pPr>
        <w:spacing w:after="240"/>
        <w:rPr>
          <w:rFonts w:ascii="Verdana" w:eastAsia="Times New Roman" w:hAnsi="Verdana" w:cs="Times New Roman"/>
          <w:color w:val="2E74B5" w:themeColor="accent5" w:themeShade="BF"/>
          <w:sz w:val="28"/>
          <w:szCs w:val="28"/>
          <w:lang w:eastAsia="pl-PL"/>
        </w:rPr>
      </w:pPr>
      <w:r w:rsidRPr="004A2C75">
        <w:rPr>
          <w:rFonts w:ascii="Verdana" w:eastAsia="Times New Roman" w:hAnsi="Verdana" w:cs="Times New Roman"/>
          <w:color w:val="2E74B5" w:themeColor="accent5" w:themeShade="BF"/>
          <w:sz w:val="28"/>
          <w:szCs w:val="28"/>
          <w:lang w:eastAsia="pl-PL"/>
        </w:rPr>
        <w:t xml:space="preserve">Ochrona własności (Artykuł 1 Protokołu nr 1) </w:t>
      </w:r>
    </w:p>
    <w:p w14:paraId="068947C6" w14:textId="77777777" w:rsidR="00D32AE1" w:rsidRPr="004A2C75" w:rsidRDefault="00D32AE1" w:rsidP="00F76DF1">
      <w:pPr>
        <w:rPr>
          <w:rFonts w:ascii="Verdana" w:eastAsia="Times New Roman" w:hAnsi="Verdana" w:cs="Times New Roman"/>
          <w:b/>
          <w:color w:val="2E74B5" w:themeColor="accent5" w:themeShade="BF"/>
          <w:sz w:val="20"/>
          <w:szCs w:val="20"/>
          <w:u w:val="single"/>
          <w:lang w:eastAsia="pl-PL"/>
        </w:rPr>
      </w:pPr>
      <w:r w:rsidRPr="004A2C75">
        <w:rPr>
          <w:rFonts w:ascii="Verdana" w:eastAsia="Times New Roman" w:hAnsi="Verdana" w:cs="Times New Roman"/>
          <w:b/>
          <w:color w:val="2E74B5" w:themeColor="accent5" w:themeShade="BF"/>
          <w:sz w:val="20"/>
          <w:szCs w:val="20"/>
          <w:u w:val="single"/>
          <w:lang w:eastAsia="pl-PL"/>
        </w:rPr>
        <w:t xml:space="preserve">Valkov i Inni przeciwko Bułgarii </w:t>
      </w:r>
    </w:p>
    <w:p w14:paraId="5B932F80" w14:textId="77777777" w:rsidR="00D32AE1" w:rsidRPr="004A2C75" w:rsidRDefault="00D32AE1" w:rsidP="00F76DF1">
      <w:pPr>
        <w:rPr>
          <w:rFonts w:ascii="Verdana" w:eastAsia="Times New Roman" w:hAnsi="Verdana" w:cs="Times New Roman"/>
          <w:color w:val="767171" w:themeColor="background2" w:themeShade="80"/>
          <w:sz w:val="20"/>
          <w:szCs w:val="20"/>
          <w:lang w:eastAsia="pl-PL"/>
        </w:rPr>
      </w:pPr>
      <w:r w:rsidRPr="004A2C75">
        <w:rPr>
          <w:rFonts w:ascii="Verdana" w:eastAsia="Times New Roman" w:hAnsi="Verdana" w:cs="Times New Roman"/>
          <w:color w:val="767171" w:themeColor="background2" w:themeShade="80"/>
          <w:sz w:val="20"/>
          <w:szCs w:val="20"/>
          <w:lang w:eastAsia="pl-PL"/>
        </w:rPr>
        <w:t xml:space="preserve">25 października 2011 (wyrok) </w:t>
      </w:r>
    </w:p>
    <w:p w14:paraId="389220A9" w14:textId="77777777" w:rsidR="00623C50" w:rsidRPr="004A2C75" w:rsidRDefault="001F1CA7" w:rsidP="00F76DF1">
      <w:pPr>
        <w:jc w:val="both"/>
        <w:rPr>
          <w:rFonts w:ascii="Verdana" w:eastAsia="Times New Roman" w:hAnsi="Verdana" w:cs="Times New Roman"/>
          <w:sz w:val="20"/>
          <w:szCs w:val="20"/>
          <w:lang w:eastAsia="pl-PL"/>
        </w:rPr>
      </w:pPr>
      <w:r w:rsidRPr="004A2C75">
        <w:rPr>
          <w:rFonts w:ascii="Verdana" w:eastAsia="Times New Roman" w:hAnsi="Verdana" w:cs="Times New Roman"/>
          <w:sz w:val="20"/>
          <w:szCs w:val="20"/>
          <w:lang w:eastAsia="pl-PL"/>
        </w:rPr>
        <w:t>Skarżący –</w:t>
      </w:r>
      <w:r w:rsidR="00D32AE1" w:rsidRPr="004A2C75">
        <w:rPr>
          <w:rFonts w:ascii="Verdana" w:eastAsia="Times New Roman" w:hAnsi="Verdana" w:cs="Times New Roman"/>
          <w:sz w:val="20"/>
          <w:szCs w:val="20"/>
          <w:lang w:eastAsia="pl-PL"/>
        </w:rPr>
        <w:t xml:space="preserve"> emeryci</w:t>
      </w:r>
      <w:r w:rsidRPr="004A2C75">
        <w:rPr>
          <w:rFonts w:ascii="Verdana" w:eastAsia="Times New Roman" w:hAnsi="Verdana" w:cs="Times New Roman"/>
          <w:sz w:val="20"/>
          <w:szCs w:val="20"/>
          <w:lang w:eastAsia="pl-PL"/>
        </w:rPr>
        <w:t>,</w:t>
      </w:r>
      <w:r w:rsidR="00D32AE1" w:rsidRPr="004A2C75">
        <w:rPr>
          <w:rFonts w:ascii="Verdana" w:eastAsia="Times New Roman" w:hAnsi="Verdana" w:cs="Times New Roman"/>
          <w:sz w:val="20"/>
          <w:szCs w:val="20"/>
          <w:lang w:eastAsia="pl-PL"/>
        </w:rPr>
        <w:t xml:space="preserve"> którzy odeszli na emeryturę pomiędzy 1</w:t>
      </w:r>
      <w:r w:rsidR="00A75088" w:rsidRPr="004A2C75">
        <w:rPr>
          <w:rFonts w:ascii="Verdana" w:eastAsia="Times New Roman" w:hAnsi="Verdana" w:cs="Times New Roman"/>
          <w:sz w:val="20"/>
          <w:szCs w:val="20"/>
          <w:lang w:eastAsia="pl-PL"/>
        </w:rPr>
        <w:t xml:space="preserve">979 a 2002 r. </w:t>
      </w:r>
      <w:r w:rsidR="00934977" w:rsidRPr="004A2C75">
        <w:rPr>
          <w:rFonts w:ascii="Verdana" w:eastAsia="Times New Roman" w:hAnsi="Verdana" w:cs="Times New Roman"/>
          <w:sz w:val="20"/>
          <w:szCs w:val="20"/>
          <w:lang w:eastAsia="pl-PL"/>
        </w:rPr>
        <w:t>kwestionowali maksymaln</w:t>
      </w:r>
      <w:r w:rsidR="006A7E4A">
        <w:rPr>
          <w:rFonts w:ascii="Verdana" w:eastAsia="Times New Roman" w:hAnsi="Verdana" w:cs="Times New Roman"/>
          <w:sz w:val="20"/>
          <w:szCs w:val="20"/>
          <w:lang w:eastAsia="pl-PL"/>
        </w:rPr>
        <w:t>ą wysokość emerytury</w:t>
      </w:r>
      <w:r w:rsidR="00756A41" w:rsidRPr="004A2C75">
        <w:rPr>
          <w:rFonts w:ascii="Verdana" w:eastAsia="Times New Roman" w:hAnsi="Verdana" w:cs="Times New Roman"/>
          <w:sz w:val="20"/>
          <w:szCs w:val="20"/>
          <w:lang w:eastAsia="pl-PL"/>
        </w:rPr>
        <w:t>, któr</w:t>
      </w:r>
      <w:r w:rsidR="006A7E4A">
        <w:rPr>
          <w:rFonts w:ascii="Verdana" w:eastAsia="Times New Roman" w:hAnsi="Verdana" w:cs="Times New Roman"/>
          <w:sz w:val="20"/>
          <w:szCs w:val="20"/>
          <w:lang w:eastAsia="pl-PL"/>
        </w:rPr>
        <w:t>a</w:t>
      </w:r>
      <w:r w:rsidR="00756A41" w:rsidRPr="004A2C75">
        <w:rPr>
          <w:rFonts w:ascii="Verdana" w:eastAsia="Times New Roman" w:hAnsi="Verdana" w:cs="Times New Roman"/>
          <w:sz w:val="20"/>
          <w:szCs w:val="20"/>
          <w:lang w:eastAsia="pl-PL"/>
        </w:rPr>
        <w:t xml:space="preserve"> </w:t>
      </w:r>
      <w:r w:rsidR="006A7E4A">
        <w:rPr>
          <w:rFonts w:ascii="Verdana" w:eastAsia="Times New Roman" w:hAnsi="Verdana" w:cs="Times New Roman"/>
          <w:sz w:val="20"/>
          <w:szCs w:val="20"/>
          <w:lang w:eastAsia="pl-PL"/>
        </w:rPr>
        <w:t>znajdowała zastosowanie</w:t>
      </w:r>
      <w:r w:rsidR="00756A41" w:rsidRPr="004A2C75">
        <w:rPr>
          <w:rFonts w:ascii="Verdana" w:eastAsia="Times New Roman" w:hAnsi="Verdana" w:cs="Times New Roman"/>
          <w:sz w:val="20"/>
          <w:szCs w:val="20"/>
          <w:lang w:eastAsia="pl-PL"/>
        </w:rPr>
        <w:t xml:space="preserve"> gdy wartość miesięcznego świadczenia emerytalnego osiągnęła kwotę maksymalną określoną w ustawie. W szczególności zakwestionowali cel </w:t>
      </w:r>
      <w:r w:rsidR="00934977" w:rsidRPr="004A2C75">
        <w:rPr>
          <w:rFonts w:ascii="Verdana" w:eastAsia="Times New Roman" w:hAnsi="Verdana" w:cs="Times New Roman"/>
          <w:sz w:val="20"/>
          <w:szCs w:val="20"/>
          <w:lang w:eastAsia="pl-PL"/>
        </w:rPr>
        <w:t>maksymalne</w:t>
      </w:r>
      <w:r w:rsidR="006A7E4A">
        <w:rPr>
          <w:rFonts w:ascii="Verdana" w:eastAsia="Times New Roman" w:hAnsi="Verdana" w:cs="Times New Roman"/>
          <w:sz w:val="20"/>
          <w:szCs w:val="20"/>
          <w:lang w:eastAsia="pl-PL"/>
        </w:rPr>
        <w:t>j wysokości emerytury</w:t>
      </w:r>
      <w:r w:rsidR="00934977" w:rsidRPr="004A2C75">
        <w:rPr>
          <w:rFonts w:ascii="Verdana" w:eastAsia="Times New Roman" w:hAnsi="Verdana" w:cs="Times New Roman"/>
          <w:sz w:val="20"/>
          <w:szCs w:val="20"/>
          <w:lang w:eastAsia="pl-PL"/>
        </w:rPr>
        <w:t xml:space="preserve"> twierdząc,</w:t>
      </w:r>
      <w:r w:rsidR="00756A41" w:rsidRPr="004A2C75">
        <w:rPr>
          <w:rFonts w:ascii="Verdana" w:eastAsia="Times New Roman" w:hAnsi="Verdana" w:cs="Times New Roman"/>
          <w:sz w:val="20"/>
          <w:szCs w:val="20"/>
          <w:lang w:eastAsia="pl-PL"/>
        </w:rPr>
        <w:t xml:space="preserve"> iż został</w:t>
      </w:r>
      <w:r w:rsidR="00AE2BE4">
        <w:rPr>
          <w:rFonts w:ascii="Verdana" w:eastAsia="Times New Roman" w:hAnsi="Verdana" w:cs="Times New Roman"/>
          <w:sz w:val="20"/>
          <w:szCs w:val="20"/>
          <w:lang w:eastAsia="pl-PL"/>
        </w:rPr>
        <w:t>a</w:t>
      </w:r>
      <w:r w:rsidR="00756A41" w:rsidRPr="004A2C75">
        <w:rPr>
          <w:rFonts w:ascii="Verdana" w:eastAsia="Times New Roman" w:hAnsi="Verdana" w:cs="Times New Roman"/>
          <w:sz w:val="20"/>
          <w:szCs w:val="20"/>
          <w:lang w:eastAsia="pl-PL"/>
        </w:rPr>
        <w:t xml:space="preserve"> on</w:t>
      </w:r>
      <w:r w:rsidR="00AE2BE4">
        <w:rPr>
          <w:rFonts w:ascii="Verdana" w:eastAsia="Times New Roman" w:hAnsi="Verdana" w:cs="Times New Roman"/>
          <w:sz w:val="20"/>
          <w:szCs w:val="20"/>
          <w:lang w:eastAsia="pl-PL"/>
        </w:rPr>
        <w:t>a</w:t>
      </w:r>
      <w:r w:rsidR="00756A41" w:rsidRPr="004A2C75">
        <w:rPr>
          <w:rFonts w:ascii="Verdana" w:eastAsia="Times New Roman" w:hAnsi="Verdana" w:cs="Times New Roman"/>
          <w:sz w:val="20"/>
          <w:szCs w:val="20"/>
          <w:lang w:eastAsia="pl-PL"/>
        </w:rPr>
        <w:t xml:space="preserve"> wprowadzon</w:t>
      </w:r>
      <w:r w:rsidR="00AE2BE4">
        <w:rPr>
          <w:rFonts w:ascii="Verdana" w:eastAsia="Times New Roman" w:hAnsi="Verdana" w:cs="Times New Roman"/>
          <w:sz w:val="20"/>
          <w:szCs w:val="20"/>
          <w:lang w:eastAsia="pl-PL"/>
        </w:rPr>
        <w:t>a</w:t>
      </w:r>
      <w:r w:rsidR="00934977" w:rsidRPr="004A2C75">
        <w:rPr>
          <w:rFonts w:ascii="Verdana" w:eastAsia="Times New Roman" w:hAnsi="Verdana" w:cs="Times New Roman"/>
          <w:sz w:val="20"/>
          <w:szCs w:val="20"/>
          <w:lang w:eastAsia="pl-PL"/>
        </w:rPr>
        <w:t xml:space="preserve"> ze względu na przekonanie, że społeczeństwo </w:t>
      </w:r>
      <w:r w:rsidR="00756A41" w:rsidRPr="004A2C75">
        <w:rPr>
          <w:rFonts w:ascii="Verdana" w:eastAsia="Times New Roman" w:hAnsi="Verdana" w:cs="Times New Roman"/>
          <w:sz w:val="20"/>
          <w:szCs w:val="20"/>
          <w:lang w:eastAsia="pl-PL"/>
        </w:rPr>
        <w:t xml:space="preserve">Bułgarii nie będzie akceptowało bardzo wysokich emerytur, a nie ze względu na zapewnienie finansowej </w:t>
      </w:r>
      <w:r w:rsidR="0001091D" w:rsidRPr="004A2C75">
        <w:rPr>
          <w:rFonts w:ascii="Verdana" w:eastAsia="Times New Roman" w:hAnsi="Verdana" w:cs="Times New Roman"/>
          <w:sz w:val="20"/>
          <w:szCs w:val="20"/>
          <w:lang w:eastAsia="pl-PL"/>
        </w:rPr>
        <w:t xml:space="preserve">rentowności systemu emerytalnego. Skarżący podnieśli również zarzut dyskryminacji zarówno </w:t>
      </w:r>
      <w:r w:rsidR="00DF45C7" w:rsidRPr="004A2C75">
        <w:rPr>
          <w:rFonts w:ascii="Verdana" w:eastAsia="Times New Roman" w:hAnsi="Verdana" w:cs="Times New Roman"/>
          <w:sz w:val="20"/>
          <w:szCs w:val="20"/>
          <w:lang w:eastAsia="pl-PL"/>
        </w:rPr>
        <w:t xml:space="preserve">względem </w:t>
      </w:r>
      <w:r w:rsidR="0001091D" w:rsidRPr="004A2C75">
        <w:rPr>
          <w:rFonts w:ascii="Verdana" w:eastAsia="Times New Roman" w:hAnsi="Verdana" w:cs="Times New Roman"/>
          <w:sz w:val="20"/>
          <w:szCs w:val="20"/>
          <w:lang w:eastAsia="pl-PL"/>
        </w:rPr>
        <w:t>emerytów, których świadczenia spadły poniżej limitu, jak i urzę</w:t>
      </w:r>
      <w:r w:rsidR="00623C50" w:rsidRPr="004A2C75">
        <w:rPr>
          <w:rFonts w:ascii="Verdana" w:eastAsia="Times New Roman" w:hAnsi="Verdana" w:cs="Times New Roman"/>
          <w:sz w:val="20"/>
          <w:szCs w:val="20"/>
          <w:lang w:eastAsia="pl-PL"/>
        </w:rPr>
        <w:t xml:space="preserve">dników wysokiego szczebla co do świadczeń których limity zostały </w:t>
      </w:r>
      <w:r w:rsidR="00DF45C7" w:rsidRPr="004A2C75">
        <w:rPr>
          <w:rFonts w:ascii="Verdana" w:eastAsia="Times New Roman" w:hAnsi="Verdana" w:cs="Times New Roman"/>
          <w:sz w:val="20"/>
          <w:szCs w:val="20"/>
          <w:lang w:eastAsia="pl-PL"/>
        </w:rPr>
        <w:t>zniesione</w:t>
      </w:r>
      <w:r w:rsidR="00623C50" w:rsidRPr="004A2C75">
        <w:rPr>
          <w:rFonts w:ascii="Verdana" w:eastAsia="Times New Roman" w:hAnsi="Verdana" w:cs="Times New Roman"/>
          <w:sz w:val="20"/>
          <w:szCs w:val="20"/>
          <w:lang w:eastAsia="pl-PL"/>
        </w:rPr>
        <w:t xml:space="preserve">. </w:t>
      </w:r>
    </w:p>
    <w:p w14:paraId="58FBC118" w14:textId="77777777" w:rsidR="00733578" w:rsidRPr="004A2C75" w:rsidRDefault="0027448B" w:rsidP="00F76DF1">
      <w:pPr>
        <w:widowControl w:val="0"/>
        <w:autoSpaceDE w:val="0"/>
        <w:autoSpaceDN w:val="0"/>
        <w:adjustRightInd w:val="0"/>
        <w:jc w:val="both"/>
        <w:rPr>
          <w:rFonts w:ascii="Verdana" w:hAnsi="Verdana" w:cs="Verdana"/>
          <w:color w:val="2E74B5" w:themeColor="accent5" w:themeShade="BF"/>
          <w:sz w:val="20"/>
          <w:szCs w:val="20"/>
        </w:rPr>
      </w:pPr>
      <w:r w:rsidRPr="004A2C75">
        <w:rPr>
          <w:rFonts w:ascii="Verdana" w:eastAsia="Times New Roman" w:hAnsi="Verdana" w:cs="Times New Roman"/>
          <w:color w:val="2E74B5" w:themeColor="accent5" w:themeShade="BF"/>
          <w:sz w:val="20"/>
          <w:szCs w:val="20"/>
          <w:lang w:eastAsia="pl-PL"/>
        </w:rPr>
        <w:t xml:space="preserve">Trybunał orzekł, iż </w:t>
      </w:r>
      <w:r w:rsidRPr="004A2C75">
        <w:rPr>
          <w:rFonts w:ascii="Verdana" w:eastAsia="Times New Roman" w:hAnsi="Verdana" w:cs="Times New Roman"/>
          <w:b/>
          <w:color w:val="2E74B5" w:themeColor="accent5" w:themeShade="BF"/>
          <w:sz w:val="20"/>
          <w:szCs w:val="20"/>
          <w:lang w:eastAsia="pl-PL"/>
        </w:rPr>
        <w:t xml:space="preserve">nie doszło do naruszenia Artykułu 1 Protokołu </w:t>
      </w:r>
      <w:r w:rsidR="00DF45C7" w:rsidRPr="004A2C75">
        <w:rPr>
          <w:rFonts w:ascii="Verdana" w:eastAsia="Times New Roman" w:hAnsi="Verdana" w:cs="Times New Roman"/>
          <w:b/>
          <w:color w:val="2E74B5" w:themeColor="accent5" w:themeShade="BF"/>
          <w:sz w:val="20"/>
          <w:szCs w:val="20"/>
          <w:lang w:eastAsia="pl-PL"/>
        </w:rPr>
        <w:t xml:space="preserve">nr </w:t>
      </w:r>
      <w:r w:rsidRPr="004A2C75">
        <w:rPr>
          <w:rFonts w:ascii="Verdana" w:eastAsia="Times New Roman" w:hAnsi="Verdana" w:cs="Times New Roman"/>
          <w:b/>
          <w:color w:val="2E74B5" w:themeColor="accent5" w:themeShade="BF"/>
          <w:sz w:val="20"/>
          <w:szCs w:val="20"/>
          <w:lang w:eastAsia="pl-PL"/>
        </w:rPr>
        <w:t xml:space="preserve">1 </w:t>
      </w:r>
      <w:r w:rsidRPr="004A2C75">
        <w:rPr>
          <w:rFonts w:ascii="Verdana" w:eastAsia="Times New Roman" w:hAnsi="Verdana" w:cs="Times New Roman"/>
          <w:color w:val="2E74B5" w:themeColor="accent5" w:themeShade="BF"/>
          <w:sz w:val="20"/>
          <w:szCs w:val="20"/>
          <w:lang w:eastAsia="pl-PL"/>
        </w:rPr>
        <w:t xml:space="preserve">do Konwencji, stwierdzając, </w:t>
      </w:r>
      <w:r w:rsidR="00733578" w:rsidRPr="004A2C75">
        <w:rPr>
          <w:rFonts w:ascii="Verdana" w:eastAsia="Times New Roman" w:hAnsi="Verdana" w:cs="Times New Roman"/>
          <w:color w:val="2E74B5" w:themeColor="accent5" w:themeShade="BF"/>
          <w:sz w:val="20"/>
          <w:szCs w:val="20"/>
          <w:lang w:eastAsia="pl-PL"/>
        </w:rPr>
        <w:t>że</w:t>
      </w:r>
      <w:r w:rsidRPr="004A2C75">
        <w:rPr>
          <w:rFonts w:ascii="Verdana" w:eastAsia="Times New Roman" w:hAnsi="Verdana" w:cs="Times New Roman"/>
          <w:color w:val="2E74B5" w:themeColor="accent5" w:themeShade="BF"/>
          <w:sz w:val="20"/>
          <w:szCs w:val="20"/>
          <w:lang w:eastAsia="pl-PL"/>
        </w:rPr>
        <w:t xml:space="preserve"> kwestia maksymalnej kwoty świadczenia emerytalnego </w:t>
      </w:r>
      <w:r w:rsidR="003F75D0" w:rsidRPr="004A2C75">
        <w:rPr>
          <w:rFonts w:ascii="Verdana" w:eastAsia="Times New Roman" w:hAnsi="Verdana" w:cs="Times New Roman"/>
          <w:color w:val="2E74B5" w:themeColor="accent5" w:themeShade="BF"/>
          <w:sz w:val="20"/>
          <w:szCs w:val="20"/>
          <w:lang w:eastAsia="pl-PL"/>
        </w:rPr>
        <w:t xml:space="preserve">jest regulacją polityki socjalnej Bułgarii. Po pierwsze Trybunał zauważa, iż limitowanie świadczeń emerytalnych ma uzasadniony cel w interesie publicznym oraz oczywiście odbija się na oszczędnościach w bułgarskim systemie emerytalnym. Co więcej względy </w:t>
      </w:r>
      <w:r w:rsidR="00A17A15" w:rsidRPr="004A2C75">
        <w:rPr>
          <w:rFonts w:ascii="Verdana" w:eastAsia="Times New Roman" w:hAnsi="Verdana" w:cs="Times New Roman"/>
          <w:color w:val="2E74B5" w:themeColor="accent5" w:themeShade="BF"/>
          <w:sz w:val="20"/>
          <w:szCs w:val="20"/>
          <w:lang w:eastAsia="pl-PL"/>
        </w:rPr>
        <w:t xml:space="preserve">społeczne bułgarskiej władzy ustawodawczej oraz sądowej zostały racjonalnie uzasadnione. </w:t>
      </w:r>
      <w:r w:rsidR="00934977" w:rsidRPr="004A2C75">
        <w:rPr>
          <w:rFonts w:ascii="Verdana" w:eastAsia="Times New Roman" w:hAnsi="Verdana" w:cs="Times New Roman"/>
          <w:color w:val="2E74B5" w:themeColor="accent5" w:themeShade="BF"/>
          <w:sz w:val="20"/>
          <w:szCs w:val="20"/>
          <w:lang w:eastAsia="pl-PL"/>
        </w:rPr>
        <w:t xml:space="preserve">Według badań Banku Światowego oraz </w:t>
      </w:r>
      <w:r w:rsidR="00E04B76" w:rsidRPr="004A2C75">
        <w:rPr>
          <w:rFonts w:ascii="Verdana" w:eastAsia="Times New Roman" w:hAnsi="Verdana" w:cs="Times New Roman"/>
          <w:color w:val="2E74B5" w:themeColor="accent5" w:themeShade="BF"/>
          <w:sz w:val="20"/>
          <w:szCs w:val="20"/>
          <w:lang w:eastAsia="pl-PL"/>
        </w:rPr>
        <w:t>OECD systemy</w:t>
      </w:r>
      <w:r w:rsidR="00F74B2A" w:rsidRPr="004A2C75">
        <w:rPr>
          <w:rFonts w:ascii="Verdana" w:eastAsia="Times New Roman" w:hAnsi="Verdana" w:cs="Times New Roman"/>
          <w:color w:val="2E74B5" w:themeColor="accent5" w:themeShade="BF"/>
          <w:sz w:val="20"/>
          <w:szCs w:val="20"/>
          <w:lang w:eastAsia="pl-PL"/>
        </w:rPr>
        <w:t xml:space="preserve"> emerytalne </w:t>
      </w:r>
      <w:r w:rsidR="00E04B76" w:rsidRPr="004A2C75">
        <w:rPr>
          <w:rFonts w:ascii="Verdana" w:eastAsia="Times New Roman" w:hAnsi="Verdana" w:cs="Times New Roman"/>
          <w:color w:val="2E74B5" w:themeColor="accent5" w:themeShade="BF"/>
          <w:sz w:val="20"/>
          <w:szCs w:val="20"/>
          <w:lang w:eastAsia="pl-PL"/>
        </w:rPr>
        <w:t xml:space="preserve">państw </w:t>
      </w:r>
      <w:r w:rsidR="00174C7D" w:rsidRPr="004A2C75">
        <w:rPr>
          <w:rFonts w:ascii="Verdana" w:eastAsia="Times New Roman" w:hAnsi="Verdana" w:cs="Times New Roman"/>
          <w:color w:val="2E74B5" w:themeColor="accent5" w:themeShade="BF"/>
          <w:sz w:val="20"/>
          <w:szCs w:val="20"/>
          <w:lang w:eastAsia="pl-PL"/>
        </w:rPr>
        <w:t xml:space="preserve">są zróżnicowane, a ustanawianie pułapów maksymalnych nie jest </w:t>
      </w:r>
      <w:r w:rsidR="00F74B2A" w:rsidRPr="004A2C75">
        <w:rPr>
          <w:rFonts w:ascii="Verdana" w:eastAsia="Times New Roman" w:hAnsi="Verdana" w:cs="Times New Roman"/>
          <w:color w:val="2E74B5" w:themeColor="accent5" w:themeShade="BF"/>
          <w:sz w:val="20"/>
          <w:szCs w:val="20"/>
          <w:lang w:eastAsia="pl-PL"/>
        </w:rPr>
        <w:t>obecne</w:t>
      </w:r>
      <w:r w:rsidR="00174C7D" w:rsidRPr="004A2C75">
        <w:rPr>
          <w:rFonts w:ascii="Verdana" w:eastAsia="Times New Roman" w:hAnsi="Verdana" w:cs="Times New Roman"/>
          <w:color w:val="2E74B5" w:themeColor="accent5" w:themeShade="BF"/>
          <w:sz w:val="20"/>
          <w:szCs w:val="20"/>
          <w:lang w:eastAsia="pl-PL"/>
        </w:rPr>
        <w:t xml:space="preserve"> jedynie w Bułgarii</w:t>
      </w:r>
      <w:r w:rsidR="00F74B2A" w:rsidRPr="004A2C75">
        <w:rPr>
          <w:rFonts w:ascii="Verdana" w:eastAsia="Times New Roman" w:hAnsi="Verdana" w:cs="Times New Roman"/>
          <w:color w:val="2E74B5" w:themeColor="accent5" w:themeShade="BF"/>
          <w:sz w:val="20"/>
          <w:szCs w:val="20"/>
          <w:lang w:eastAsia="pl-PL"/>
        </w:rPr>
        <w:t xml:space="preserve">. </w:t>
      </w:r>
      <w:r w:rsidR="006C7FC9" w:rsidRPr="004A2C75">
        <w:rPr>
          <w:rFonts w:ascii="Verdana" w:eastAsia="Times New Roman" w:hAnsi="Verdana" w:cs="Times New Roman"/>
          <w:color w:val="2E74B5" w:themeColor="accent5" w:themeShade="BF"/>
          <w:sz w:val="20"/>
          <w:szCs w:val="20"/>
          <w:lang w:eastAsia="pl-PL"/>
        </w:rPr>
        <w:t xml:space="preserve">Trybunał podkreślił również, iż </w:t>
      </w:r>
      <w:r w:rsidR="004B1554" w:rsidRPr="004A2C75">
        <w:rPr>
          <w:rFonts w:ascii="Verdana" w:eastAsia="Times New Roman" w:hAnsi="Verdana" w:cs="Times New Roman"/>
          <w:color w:val="2E74B5" w:themeColor="accent5" w:themeShade="BF"/>
          <w:sz w:val="20"/>
          <w:szCs w:val="20"/>
          <w:lang w:eastAsia="pl-PL"/>
        </w:rPr>
        <w:t xml:space="preserve">stosowanie danego systemu emerytalnego zależy wyłącznie od władz państwowych, ponieważ one same, lepiej niż sąd międzynarodowy, potrafią dokonać oceny lokalnych potrzeb i warunków. </w:t>
      </w:r>
      <w:r w:rsidR="009D3F96" w:rsidRPr="004A2C75">
        <w:rPr>
          <w:rFonts w:ascii="Verdana" w:eastAsia="Times New Roman" w:hAnsi="Verdana" w:cs="Times New Roman"/>
          <w:color w:val="2E74B5" w:themeColor="accent5" w:themeShade="BF"/>
          <w:sz w:val="20"/>
          <w:szCs w:val="20"/>
          <w:lang w:eastAsia="pl-PL"/>
        </w:rPr>
        <w:t xml:space="preserve">Podczas badania, czy władze zachowały odpowiednią równowagę pomiędzy ogólnym interesem społecznym a potrzebami skarżących, Trybunał zaobserwował, iż w przypadku skarżących </w:t>
      </w:r>
      <w:r w:rsidR="00A02821" w:rsidRPr="004A2C75">
        <w:rPr>
          <w:rFonts w:ascii="Verdana" w:eastAsia="Times New Roman" w:hAnsi="Verdana" w:cs="Times New Roman"/>
          <w:color w:val="2E74B5" w:themeColor="accent5" w:themeShade="BF"/>
          <w:sz w:val="20"/>
          <w:szCs w:val="20"/>
          <w:lang w:eastAsia="pl-PL"/>
        </w:rPr>
        <w:t xml:space="preserve">większość </w:t>
      </w:r>
      <w:r w:rsidR="00345337" w:rsidRPr="004A2C75">
        <w:rPr>
          <w:rFonts w:ascii="Verdana" w:eastAsia="Times New Roman" w:hAnsi="Verdana" w:cs="Times New Roman"/>
          <w:color w:val="2E74B5" w:themeColor="accent5" w:themeShade="BF"/>
          <w:sz w:val="20"/>
          <w:szCs w:val="20"/>
          <w:lang w:eastAsia="pl-PL"/>
        </w:rPr>
        <w:t xml:space="preserve">składek zostało wpłaconych podczas obowiązywania innego systemu gospodarczego, kiedy to fundusz emerytalny był nieodłączną częścią budżetu państwa. </w:t>
      </w:r>
      <w:r w:rsidR="00F32A5B" w:rsidRPr="004A2C75">
        <w:rPr>
          <w:rFonts w:ascii="Verdana" w:hAnsi="Verdana" w:cs="Times"/>
          <w:color w:val="2E74B5" w:themeColor="accent5" w:themeShade="BF"/>
          <w:sz w:val="20"/>
          <w:szCs w:val="20"/>
        </w:rPr>
        <w:t>Ponadto</w:t>
      </w:r>
      <w:r w:rsidR="00345337" w:rsidRPr="004A2C75">
        <w:rPr>
          <w:rFonts w:ascii="Verdana" w:hAnsi="Verdana" w:cs="Times"/>
          <w:color w:val="2E74B5" w:themeColor="accent5" w:themeShade="BF"/>
          <w:sz w:val="20"/>
          <w:szCs w:val="20"/>
        </w:rPr>
        <w:t xml:space="preserve"> maksymalny</w:t>
      </w:r>
      <w:r w:rsidR="00F32A5B" w:rsidRPr="004A2C75">
        <w:rPr>
          <w:rFonts w:ascii="Verdana" w:hAnsi="Verdana" w:cs="Times"/>
          <w:color w:val="2E74B5" w:themeColor="accent5" w:themeShade="BF"/>
          <w:sz w:val="20"/>
          <w:szCs w:val="20"/>
        </w:rPr>
        <w:t xml:space="preserve"> pułap emerytalny był utrzymywany w okresie, kiedy bułgarski system finansowy przechodził kom</w:t>
      </w:r>
      <w:r w:rsidR="00BA7309" w:rsidRPr="004A2C75">
        <w:rPr>
          <w:rFonts w:ascii="Verdana" w:hAnsi="Verdana" w:cs="Times"/>
          <w:color w:val="2E74B5" w:themeColor="accent5" w:themeShade="BF"/>
          <w:sz w:val="20"/>
          <w:szCs w:val="20"/>
        </w:rPr>
        <w:t>pleksow</w:t>
      </w:r>
      <w:r w:rsidR="00345337" w:rsidRPr="004A2C75">
        <w:rPr>
          <w:rFonts w:ascii="Verdana" w:hAnsi="Verdana" w:cs="Times"/>
          <w:color w:val="2E74B5" w:themeColor="accent5" w:themeShade="BF"/>
          <w:sz w:val="20"/>
          <w:szCs w:val="20"/>
        </w:rPr>
        <w:t>ą</w:t>
      </w:r>
      <w:r w:rsidR="00BA7309" w:rsidRPr="004A2C75">
        <w:rPr>
          <w:rFonts w:ascii="Verdana" w:hAnsi="Verdana" w:cs="Times"/>
          <w:color w:val="2E74B5" w:themeColor="accent5" w:themeShade="BF"/>
          <w:sz w:val="20"/>
          <w:szCs w:val="20"/>
        </w:rPr>
        <w:t xml:space="preserve"> </w:t>
      </w:r>
      <w:r w:rsidR="00F32A5B" w:rsidRPr="004A2C75">
        <w:rPr>
          <w:rFonts w:ascii="Verdana" w:hAnsi="Verdana" w:cs="Times"/>
          <w:color w:val="2E74B5" w:themeColor="accent5" w:themeShade="BF"/>
          <w:sz w:val="20"/>
          <w:szCs w:val="20"/>
        </w:rPr>
        <w:t xml:space="preserve">reformę w </w:t>
      </w:r>
      <w:r w:rsidR="001A3227" w:rsidRPr="004A2C75">
        <w:rPr>
          <w:rFonts w:ascii="Verdana" w:hAnsi="Verdana" w:cs="Times"/>
          <w:color w:val="2E74B5" w:themeColor="accent5" w:themeShade="BF"/>
          <w:sz w:val="20"/>
          <w:szCs w:val="20"/>
        </w:rPr>
        <w:t>ramach przejścia z gospodarki pa</w:t>
      </w:r>
      <w:r w:rsidR="008C38F2" w:rsidRPr="004A2C75">
        <w:rPr>
          <w:rFonts w:ascii="Verdana" w:hAnsi="Verdana" w:cs="Times"/>
          <w:color w:val="2E74B5" w:themeColor="accent5" w:themeShade="BF"/>
          <w:sz w:val="20"/>
          <w:szCs w:val="20"/>
        </w:rPr>
        <w:t>ń</w:t>
      </w:r>
      <w:r w:rsidR="00F32A5B" w:rsidRPr="004A2C75">
        <w:rPr>
          <w:rFonts w:ascii="Verdana" w:hAnsi="Verdana" w:cs="Times"/>
          <w:color w:val="2E74B5" w:themeColor="accent5" w:themeShade="BF"/>
          <w:sz w:val="20"/>
          <w:szCs w:val="20"/>
        </w:rPr>
        <w:t xml:space="preserve">stwowej i centralnie planowanej do </w:t>
      </w:r>
      <w:r w:rsidR="00BA7309" w:rsidRPr="004A2C75">
        <w:rPr>
          <w:rFonts w:ascii="Verdana" w:hAnsi="Verdana" w:cs="Times"/>
          <w:color w:val="2E74B5" w:themeColor="accent5" w:themeShade="BF"/>
          <w:sz w:val="20"/>
          <w:szCs w:val="20"/>
        </w:rPr>
        <w:t xml:space="preserve">własności prywatnej i gospodarki rynkowej. Utrzymanie </w:t>
      </w:r>
      <w:r w:rsidR="00AE5CAB" w:rsidRPr="004A2C75">
        <w:rPr>
          <w:rFonts w:ascii="Verdana" w:hAnsi="Verdana" w:cs="Times"/>
          <w:color w:val="2E74B5" w:themeColor="accent5" w:themeShade="BF"/>
          <w:sz w:val="20"/>
          <w:szCs w:val="20"/>
        </w:rPr>
        <w:t>limitu może</w:t>
      </w:r>
      <w:r w:rsidR="00A6222E" w:rsidRPr="004A2C75">
        <w:rPr>
          <w:rFonts w:ascii="Verdana" w:hAnsi="Verdana" w:cs="Times"/>
          <w:color w:val="2E74B5" w:themeColor="accent5" w:themeShade="BF"/>
          <w:sz w:val="20"/>
          <w:szCs w:val="20"/>
        </w:rPr>
        <w:t xml:space="preserve"> być postrzegane jako</w:t>
      </w:r>
      <w:r w:rsidR="00AE5CAB" w:rsidRPr="004A2C75">
        <w:rPr>
          <w:rFonts w:ascii="Verdana" w:hAnsi="Verdana" w:cs="Times"/>
          <w:color w:val="2E74B5" w:themeColor="accent5" w:themeShade="BF"/>
          <w:sz w:val="20"/>
          <w:szCs w:val="20"/>
        </w:rPr>
        <w:t xml:space="preserve"> środek tymczasowy towarzyszący ogólnemu przekształcaniu się systemu emerytalnego. W tym aspekcie Trybunał przypomniał, iż już wcześniej </w:t>
      </w:r>
      <w:r w:rsidR="00345337" w:rsidRPr="004A2C75">
        <w:rPr>
          <w:rFonts w:ascii="Verdana" w:hAnsi="Verdana" w:cs="Times"/>
          <w:color w:val="2E74B5" w:themeColor="accent5" w:themeShade="BF"/>
          <w:sz w:val="20"/>
          <w:szCs w:val="20"/>
        </w:rPr>
        <w:t xml:space="preserve">uznał, że państwa mają </w:t>
      </w:r>
      <w:r w:rsidR="00AE5CAB" w:rsidRPr="004A2C75">
        <w:rPr>
          <w:rFonts w:ascii="Verdana" w:hAnsi="Verdana" w:cs="Times"/>
          <w:color w:val="2E74B5" w:themeColor="accent5" w:themeShade="BF"/>
          <w:sz w:val="20"/>
          <w:szCs w:val="20"/>
        </w:rPr>
        <w:t xml:space="preserve">szeroki zakres uznania przy </w:t>
      </w:r>
      <w:r w:rsidR="00AE5CAB" w:rsidRPr="004A2C75">
        <w:rPr>
          <w:rFonts w:ascii="Verdana" w:hAnsi="Verdana" w:cs="Times"/>
          <w:color w:val="2E74B5" w:themeColor="accent5" w:themeShade="BF"/>
          <w:sz w:val="20"/>
          <w:szCs w:val="20"/>
        </w:rPr>
        <w:lastRenderedPageBreak/>
        <w:t xml:space="preserve">przyjmowaniu aktów prawnych dotyczących zmiany reżimu politycznego lub ekonomicznego. Ponadto skarżący musieli znieść rozsądną obniżkę, </w:t>
      </w:r>
      <w:r w:rsidR="00345337" w:rsidRPr="004A2C75">
        <w:rPr>
          <w:rFonts w:ascii="Verdana" w:hAnsi="Verdana" w:cs="Times"/>
          <w:color w:val="2E74B5" w:themeColor="accent5" w:themeShade="BF"/>
          <w:sz w:val="20"/>
          <w:szCs w:val="20"/>
        </w:rPr>
        <w:t xml:space="preserve">a </w:t>
      </w:r>
      <w:r w:rsidR="00AE5CAB" w:rsidRPr="004A2C75">
        <w:rPr>
          <w:rFonts w:ascii="Verdana" w:hAnsi="Verdana" w:cs="Times"/>
          <w:color w:val="2E74B5" w:themeColor="accent5" w:themeShade="BF"/>
          <w:sz w:val="20"/>
          <w:szCs w:val="20"/>
        </w:rPr>
        <w:t xml:space="preserve">nie całkowitą utratę świadczeń emerytalnych. Skarżący będąc w przedziale </w:t>
      </w:r>
      <w:r w:rsidR="00F16F6A" w:rsidRPr="004A2C75">
        <w:rPr>
          <w:rFonts w:ascii="Verdana" w:hAnsi="Verdana" w:cs="Times"/>
          <w:color w:val="2E74B5" w:themeColor="accent5" w:themeShade="BF"/>
          <w:sz w:val="20"/>
          <w:szCs w:val="20"/>
        </w:rPr>
        <w:t>pobierających najwyższe świadczenia</w:t>
      </w:r>
      <w:r w:rsidR="00AE5CAB" w:rsidRPr="004A2C75">
        <w:rPr>
          <w:rFonts w:ascii="Verdana" w:hAnsi="Verdana" w:cs="Times"/>
          <w:color w:val="2E74B5" w:themeColor="accent5" w:themeShade="BF"/>
          <w:sz w:val="20"/>
          <w:szCs w:val="20"/>
        </w:rPr>
        <w:t xml:space="preserve"> spośród ponad dwóch milionów emerytów, nie mogą zostać uznani za</w:t>
      </w:r>
      <w:r w:rsidR="001E2796" w:rsidRPr="004A2C75">
        <w:rPr>
          <w:rFonts w:ascii="Verdana" w:hAnsi="Verdana" w:cs="Times"/>
          <w:color w:val="2E74B5" w:themeColor="accent5" w:themeShade="BF"/>
          <w:sz w:val="20"/>
          <w:szCs w:val="20"/>
        </w:rPr>
        <w:t xml:space="preserve"> nadmiernie i nieproporcjonalnie obciążonych </w:t>
      </w:r>
      <w:r w:rsidR="00AE2BE4">
        <w:rPr>
          <w:rFonts w:ascii="Verdana" w:hAnsi="Verdana" w:cs="Times"/>
          <w:color w:val="2E74B5" w:themeColor="accent5" w:themeShade="BF"/>
          <w:sz w:val="20"/>
          <w:szCs w:val="20"/>
        </w:rPr>
        <w:t>w związku z maksymalną</w:t>
      </w:r>
      <w:r w:rsidR="001E2796" w:rsidRPr="004A2C75">
        <w:rPr>
          <w:rFonts w:ascii="Verdana" w:hAnsi="Verdana" w:cs="Times"/>
          <w:color w:val="2E74B5" w:themeColor="accent5" w:themeShade="BF"/>
          <w:sz w:val="20"/>
          <w:szCs w:val="20"/>
        </w:rPr>
        <w:t xml:space="preserve"> </w:t>
      </w:r>
      <w:r w:rsidR="00AE2BE4">
        <w:rPr>
          <w:rFonts w:ascii="Verdana" w:hAnsi="Verdana" w:cs="Times"/>
          <w:color w:val="2E74B5" w:themeColor="accent5" w:themeShade="BF"/>
          <w:sz w:val="20"/>
          <w:szCs w:val="20"/>
        </w:rPr>
        <w:t>wysokością emerytury</w:t>
      </w:r>
      <w:r w:rsidR="00AE5CAB" w:rsidRPr="004A2C75">
        <w:rPr>
          <w:rFonts w:ascii="Verdana" w:hAnsi="Verdana" w:cs="Verdana"/>
          <w:color w:val="2E74B5" w:themeColor="accent5" w:themeShade="BF"/>
          <w:sz w:val="20"/>
          <w:szCs w:val="20"/>
        </w:rPr>
        <w:t xml:space="preserve">. Co więcej system świadczeń publicznych opiera się na zasadzie solidarności pomiędzy </w:t>
      </w:r>
      <w:r w:rsidR="00CB6A5A" w:rsidRPr="004A2C75">
        <w:rPr>
          <w:rFonts w:ascii="Verdana" w:hAnsi="Verdana" w:cs="Verdana"/>
          <w:color w:val="2E74B5" w:themeColor="accent5" w:themeShade="BF"/>
          <w:sz w:val="20"/>
          <w:szCs w:val="20"/>
        </w:rPr>
        <w:t>płacącymi składki</w:t>
      </w:r>
      <w:r w:rsidR="00AE5CAB" w:rsidRPr="004A2C75">
        <w:rPr>
          <w:rFonts w:ascii="Verdana" w:hAnsi="Verdana" w:cs="Verdana"/>
          <w:color w:val="2E74B5" w:themeColor="accent5" w:themeShade="BF"/>
          <w:sz w:val="20"/>
          <w:szCs w:val="20"/>
        </w:rPr>
        <w:t xml:space="preserve"> a beneficjen</w:t>
      </w:r>
      <w:r w:rsidR="004E419F" w:rsidRPr="004A2C75">
        <w:rPr>
          <w:rFonts w:ascii="Verdana" w:hAnsi="Verdana" w:cs="Verdana"/>
          <w:color w:val="2E74B5" w:themeColor="accent5" w:themeShade="BF"/>
          <w:sz w:val="20"/>
          <w:szCs w:val="20"/>
        </w:rPr>
        <w:t xml:space="preserve">tami. Ostatecznie, wysokość limitu zmieniała się stopniowo, </w:t>
      </w:r>
      <w:r w:rsidR="00CB6A5A" w:rsidRPr="004A2C75">
        <w:rPr>
          <w:rFonts w:ascii="Verdana" w:hAnsi="Verdana" w:cs="Verdana"/>
          <w:color w:val="2E74B5" w:themeColor="accent5" w:themeShade="BF"/>
          <w:sz w:val="20"/>
          <w:szCs w:val="20"/>
        </w:rPr>
        <w:t>co spowodowało</w:t>
      </w:r>
      <w:r w:rsidR="004E419F" w:rsidRPr="004A2C75">
        <w:rPr>
          <w:rFonts w:ascii="Verdana" w:hAnsi="Verdana" w:cs="Verdana"/>
          <w:color w:val="2E74B5" w:themeColor="accent5" w:themeShade="BF"/>
          <w:sz w:val="20"/>
          <w:szCs w:val="20"/>
        </w:rPr>
        <w:t xml:space="preserve"> iż maksymalna </w:t>
      </w:r>
      <w:r w:rsidR="00CB6A5A" w:rsidRPr="004A2C75">
        <w:rPr>
          <w:rFonts w:ascii="Verdana" w:hAnsi="Verdana" w:cs="Verdana"/>
          <w:color w:val="2E74B5" w:themeColor="accent5" w:themeShade="BF"/>
          <w:sz w:val="20"/>
          <w:szCs w:val="20"/>
        </w:rPr>
        <w:t xml:space="preserve">kwota emerytury </w:t>
      </w:r>
      <w:r w:rsidR="004E419F" w:rsidRPr="004A2C75">
        <w:rPr>
          <w:rFonts w:ascii="Verdana" w:hAnsi="Verdana" w:cs="Verdana"/>
          <w:color w:val="2E74B5" w:themeColor="accent5" w:themeShade="BF"/>
          <w:sz w:val="20"/>
          <w:szCs w:val="20"/>
        </w:rPr>
        <w:t>wzrastała w przeciągu lat. W rezultacie, jako ogólna tendencja, kilku emeryt</w:t>
      </w:r>
      <w:r w:rsidR="00733578" w:rsidRPr="004A2C75">
        <w:rPr>
          <w:rFonts w:ascii="Verdana" w:hAnsi="Verdana" w:cs="Verdana"/>
          <w:color w:val="2E74B5" w:themeColor="accent5" w:themeShade="BF"/>
          <w:sz w:val="20"/>
          <w:szCs w:val="20"/>
        </w:rPr>
        <w:t>ów zostało dotkniętych limitem.</w:t>
      </w:r>
    </w:p>
    <w:p w14:paraId="4D2B9D6B" w14:textId="77777777" w:rsidR="007B0678" w:rsidRPr="004A2C75" w:rsidRDefault="002512AE" w:rsidP="00F76DF1">
      <w:pPr>
        <w:widowControl w:val="0"/>
        <w:autoSpaceDE w:val="0"/>
        <w:autoSpaceDN w:val="0"/>
        <w:adjustRightInd w:val="0"/>
        <w:spacing w:after="240"/>
        <w:jc w:val="both"/>
        <w:rPr>
          <w:rFonts w:ascii="Verdana" w:hAnsi="Verdana" w:cs="Verdana"/>
          <w:color w:val="2E74B5" w:themeColor="accent5" w:themeShade="BF"/>
          <w:sz w:val="20"/>
          <w:szCs w:val="20"/>
        </w:rPr>
      </w:pPr>
      <w:r w:rsidRPr="004A2C75">
        <w:rPr>
          <w:rFonts w:ascii="Verdana" w:hAnsi="Verdana" w:cs="Verdana"/>
          <w:color w:val="2E74B5" w:themeColor="accent5" w:themeShade="BF"/>
          <w:sz w:val="20"/>
          <w:szCs w:val="20"/>
        </w:rPr>
        <w:t xml:space="preserve"> </w:t>
      </w:r>
      <w:r w:rsidR="004E419F" w:rsidRPr="004A2C75">
        <w:rPr>
          <w:rFonts w:ascii="Verdana" w:hAnsi="Verdana" w:cs="Verdana"/>
          <w:color w:val="2E74B5" w:themeColor="accent5" w:themeShade="BF"/>
          <w:sz w:val="20"/>
          <w:szCs w:val="20"/>
        </w:rPr>
        <w:t xml:space="preserve">W </w:t>
      </w:r>
      <w:r w:rsidR="00CB6A5A" w:rsidRPr="004A2C75">
        <w:rPr>
          <w:rFonts w:ascii="Verdana" w:hAnsi="Verdana" w:cs="Verdana"/>
          <w:color w:val="2E74B5" w:themeColor="accent5" w:themeShade="BF"/>
          <w:sz w:val="20"/>
          <w:szCs w:val="20"/>
        </w:rPr>
        <w:t>niniejszej</w:t>
      </w:r>
      <w:r w:rsidR="004E419F" w:rsidRPr="004A2C75">
        <w:rPr>
          <w:rFonts w:ascii="Verdana" w:hAnsi="Verdana" w:cs="Verdana"/>
          <w:color w:val="2E74B5" w:themeColor="accent5" w:themeShade="BF"/>
          <w:sz w:val="20"/>
          <w:szCs w:val="20"/>
        </w:rPr>
        <w:t xml:space="preserve"> sprawie Trybunał </w:t>
      </w:r>
      <w:r w:rsidR="00CB6A5A" w:rsidRPr="004A2C75">
        <w:rPr>
          <w:rFonts w:ascii="Verdana" w:hAnsi="Verdana" w:cs="Verdana"/>
          <w:color w:val="2E74B5" w:themeColor="accent5" w:themeShade="BF"/>
          <w:sz w:val="20"/>
          <w:szCs w:val="20"/>
        </w:rPr>
        <w:t>orzekł</w:t>
      </w:r>
      <w:r w:rsidR="007B0678" w:rsidRPr="004A2C75">
        <w:rPr>
          <w:rFonts w:ascii="Verdana" w:hAnsi="Verdana" w:cs="Verdana"/>
          <w:color w:val="2E74B5" w:themeColor="accent5" w:themeShade="BF"/>
          <w:sz w:val="20"/>
          <w:szCs w:val="20"/>
        </w:rPr>
        <w:t xml:space="preserve"> również, iż </w:t>
      </w:r>
      <w:r w:rsidR="007B0678" w:rsidRPr="004A2C75">
        <w:rPr>
          <w:rFonts w:ascii="Verdana" w:hAnsi="Verdana" w:cs="Verdana"/>
          <w:b/>
          <w:color w:val="2E74B5" w:themeColor="accent5" w:themeShade="BF"/>
          <w:sz w:val="20"/>
          <w:szCs w:val="20"/>
        </w:rPr>
        <w:t>nie doszło do naruszenia Artykułu 14</w:t>
      </w:r>
      <w:r w:rsidR="007B0678" w:rsidRPr="004A2C75">
        <w:rPr>
          <w:rFonts w:ascii="Verdana" w:hAnsi="Verdana" w:cs="Verdana"/>
          <w:color w:val="2E74B5" w:themeColor="accent5" w:themeShade="BF"/>
          <w:sz w:val="20"/>
          <w:szCs w:val="20"/>
        </w:rPr>
        <w:t xml:space="preserve"> (zakaz dyskryminacji) Konwencji </w:t>
      </w:r>
      <w:r w:rsidR="007B0678" w:rsidRPr="004A2C75">
        <w:rPr>
          <w:rFonts w:ascii="Verdana" w:hAnsi="Verdana" w:cs="Verdana"/>
          <w:b/>
          <w:color w:val="2E74B5" w:themeColor="accent5" w:themeShade="BF"/>
          <w:sz w:val="20"/>
          <w:szCs w:val="20"/>
        </w:rPr>
        <w:t xml:space="preserve">w </w:t>
      </w:r>
      <w:r w:rsidR="00CB6A5A" w:rsidRPr="004A2C75">
        <w:rPr>
          <w:rFonts w:ascii="Verdana" w:hAnsi="Verdana" w:cs="Verdana"/>
          <w:b/>
          <w:color w:val="2E74B5" w:themeColor="accent5" w:themeShade="BF"/>
          <w:sz w:val="20"/>
          <w:szCs w:val="20"/>
        </w:rPr>
        <w:t>związku z  Artykułem</w:t>
      </w:r>
      <w:r w:rsidR="007B0678" w:rsidRPr="004A2C75">
        <w:rPr>
          <w:rFonts w:ascii="Verdana" w:hAnsi="Verdana" w:cs="Verdana"/>
          <w:b/>
          <w:color w:val="2E74B5" w:themeColor="accent5" w:themeShade="BF"/>
          <w:sz w:val="20"/>
          <w:szCs w:val="20"/>
        </w:rPr>
        <w:t xml:space="preserve"> 1 Protokołu</w:t>
      </w:r>
      <w:r w:rsidR="00CB6A5A" w:rsidRPr="004A2C75">
        <w:rPr>
          <w:rFonts w:ascii="Verdana" w:hAnsi="Verdana" w:cs="Verdana"/>
          <w:b/>
          <w:color w:val="2E74B5" w:themeColor="accent5" w:themeShade="BF"/>
          <w:sz w:val="20"/>
          <w:szCs w:val="20"/>
        </w:rPr>
        <w:t xml:space="preserve"> nr 1</w:t>
      </w:r>
      <w:r w:rsidR="00CB6A5A" w:rsidRPr="004A2C75">
        <w:rPr>
          <w:rFonts w:ascii="Verdana" w:hAnsi="Verdana" w:cs="Verdana"/>
          <w:color w:val="2E74B5" w:themeColor="accent5" w:themeShade="BF"/>
          <w:sz w:val="20"/>
          <w:szCs w:val="20"/>
        </w:rPr>
        <w:t xml:space="preserve">. </w:t>
      </w:r>
      <w:r w:rsidR="007B0678" w:rsidRPr="004A2C75">
        <w:rPr>
          <w:rFonts w:ascii="Verdana" w:hAnsi="Verdana" w:cs="Verdana"/>
          <w:color w:val="2E74B5" w:themeColor="accent5" w:themeShade="BF"/>
          <w:sz w:val="20"/>
          <w:szCs w:val="20"/>
        </w:rPr>
        <w:t>Biorąc powyższe pod uwagę Trybunał stwierdził, iż nie jest jego rolą porównywać skarżących z emerytami takimi jak Prezydent czy Wiceprezydent Republiki, co do których limit nie miał zastosowania. Był</w:t>
      </w:r>
      <w:r w:rsidR="00BC65DF">
        <w:rPr>
          <w:rFonts w:ascii="Verdana" w:hAnsi="Verdana" w:cs="Verdana"/>
          <w:color w:val="2E74B5" w:themeColor="accent5" w:themeShade="BF"/>
          <w:sz w:val="20"/>
          <w:szCs w:val="20"/>
        </w:rPr>
        <w:t>a</w:t>
      </w:r>
      <w:r w:rsidR="007B0678" w:rsidRPr="004A2C75">
        <w:rPr>
          <w:rFonts w:ascii="Verdana" w:hAnsi="Verdana" w:cs="Verdana"/>
          <w:color w:val="2E74B5" w:themeColor="accent5" w:themeShade="BF"/>
          <w:sz w:val="20"/>
          <w:szCs w:val="20"/>
        </w:rPr>
        <w:t xml:space="preserve"> to raczej </w:t>
      </w:r>
      <w:r w:rsidRPr="004A2C75">
        <w:rPr>
          <w:rFonts w:ascii="Verdana" w:hAnsi="Verdana" w:cs="Verdana"/>
          <w:color w:val="2E74B5" w:themeColor="accent5" w:themeShade="BF"/>
          <w:sz w:val="20"/>
          <w:szCs w:val="20"/>
        </w:rPr>
        <w:t>polityczn</w:t>
      </w:r>
      <w:r w:rsidR="00BC65DF">
        <w:rPr>
          <w:rFonts w:ascii="Verdana" w:hAnsi="Verdana" w:cs="Verdana"/>
          <w:color w:val="2E74B5" w:themeColor="accent5" w:themeShade="BF"/>
          <w:sz w:val="20"/>
          <w:szCs w:val="20"/>
        </w:rPr>
        <w:t>a</w:t>
      </w:r>
      <w:r w:rsidRPr="004A2C75">
        <w:rPr>
          <w:rFonts w:ascii="Verdana" w:hAnsi="Verdana" w:cs="Verdana"/>
          <w:color w:val="2E74B5" w:themeColor="accent5" w:themeShade="BF"/>
          <w:sz w:val="20"/>
          <w:szCs w:val="20"/>
        </w:rPr>
        <w:t xml:space="preserve"> o</w:t>
      </w:r>
      <w:r w:rsidR="00BC65DF">
        <w:rPr>
          <w:rFonts w:ascii="Verdana" w:hAnsi="Verdana" w:cs="Verdana"/>
          <w:color w:val="2E74B5" w:themeColor="accent5" w:themeShade="BF"/>
          <w:sz w:val="20"/>
          <w:szCs w:val="20"/>
        </w:rPr>
        <w:t>cena</w:t>
      </w:r>
      <w:r w:rsidRPr="004A2C75">
        <w:rPr>
          <w:rFonts w:ascii="Verdana" w:hAnsi="Verdana" w:cs="Verdana"/>
          <w:color w:val="2E74B5" w:themeColor="accent5" w:themeShade="BF"/>
          <w:sz w:val="20"/>
          <w:szCs w:val="20"/>
        </w:rPr>
        <w:t xml:space="preserve"> zarezerwowan</w:t>
      </w:r>
      <w:r w:rsidR="00BC65DF">
        <w:rPr>
          <w:rFonts w:ascii="Verdana" w:hAnsi="Verdana" w:cs="Verdana"/>
          <w:color w:val="2E74B5" w:themeColor="accent5" w:themeShade="BF"/>
          <w:sz w:val="20"/>
          <w:szCs w:val="20"/>
        </w:rPr>
        <w:t>a</w:t>
      </w:r>
      <w:r w:rsidR="007B0678" w:rsidRPr="004A2C75">
        <w:rPr>
          <w:rFonts w:ascii="Verdana" w:hAnsi="Verdana" w:cs="Verdana"/>
          <w:color w:val="2E74B5" w:themeColor="accent5" w:themeShade="BF"/>
          <w:sz w:val="20"/>
          <w:szCs w:val="20"/>
        </w:rPr>
        <w:t xml:space="preserve"> w szczególności dla władz krajowych. </w:t>
      </w:r>
    </w:p>
    <w:p w14:paraId="1D42FAB3" w14:textId="77777777" w:rsidR="001E0059" w:rsidRPr="004A2C75" w:rsidRDefault="007B0678" w:rsidP="00F76DF1">
      <w:pPr>
        <w:widowControl w:val="0"/>
        <w:autoSpaceDE w:val="0"/>
        <w:autoSpaceDN w:val="0"/>
        <w:adjustRightInd w:val="0"/>
        <w:spacing w:after="240"/>
        <w:jc w:val="both"/>
        <w:rPr>
          <w:rFonts w:ascii="Verdana" w:hAnsi="Verdana" w:cs="Verdana"/>
          <w:color w:val="000000" w:themeColor="text1"/>
          <w:sz w:val="20"/>
          <w:szCs w:val="20"/>
        </w:rPr>
      </w:pPr>
      <w:r w:rsidRPr="004A2C75">
        <w:rPr>
          <w:rFonts w:ascii="Verdana" w:hAnsi="Verdana" w:cs="Verdana"/>
          <w:i/>
          <w:color w:val="000000" w:themeColor="text1"/>
          <w:sz w:val="20"/>
          <w:szCs w:val="20"/>
        </w:rPr>
        <w:t>Zobacz również</w:t>
      </w:r>
      <w:r w:rsidR="002512AE" w:rsidRPr="004A2C75">
        <w:rPr>
          <w:rFonts w:ascii="Verdana" w:hAnsi="Verdana" w:cs="Verdana"/>
          <w:color w:val="000000" w:themeColor="text1"/>
          <w:sz w:val="20"/>
          <w:szCs w:val="20"/>
        </w:rPr>
        <w:t>:</w:t>
      </w:r>
      <w:r w:rsidRPr="004A2C75">
        <w:rPr>
          <w:rFonts w:ascii="Verdana" w:hAnsi="Verdana" w:cs="Verdana"/>
          <w:color w:val="000000" w:themeColor="text1"/>
          <w:sz w:val="20"/>
          <w:szCs w:val="20"/>
        </w:rPr>
        <w:t xml:space="preserve"> </w:t>
      </w:r>
      <w:r w:rsidRPr="004A2C75">
        <w:rPr>
          <w:rFonts w:ascii="Verdana" w:hAnsi="Verdana" w:cs="Verdana"/>
          <w:b/>
          <w:color w:val="2E74B5" w:themeColor="accent5" w:themeShade="BF"/>
          <w:sz w:val="20"/>
          <w:szCs w:val="20"/>
          <w:u w:val="single"/>
        </w:rPr>
        <w:t>Frimu i Inni przeciwko Rumuni</w:t>
      </w:r>
      <w:r w:rsidRPr="004A2C75">
        <w:rPr>
          <w:rFonts w:ascii="Verdana" w:hAnsi="Verdana" w:cs="Verdana"/>
          <w:color w:val="000000" w:themeColor="text1"/>
          <w:sz w:val="20"/>
          <w:szCs w:val="20"/>
        </w:rPr>
        <w:t>, decyzja (częściowa) w sprawie dopuszczalności z 7 stycznia 2012</w:t>
      </w:r>
      <w:r w:rsidR="00F549E2" w:rsidRPr="004A2C75">
        <w:rPr>
          <w:rFonts w:ascii="Verdana" w:hAnsi="Verdana" w:cs="Verdana"/>
          <w:color w:val="000000" w:themeColor="text1"/>
          <w:sz w:val="20"/>
          <w:szCs w:val="20"/>
        </w:rPr>
        <w:t>r.</w:t>
      </w:r>
      <w:r w:rsidRPr="004A2C75">
        <w:rPr>
          <w:rFonts w:ascii="Verdana" w:hAnsi="Verdana" w:cs="Verdana"/>
          <w:color w:val="000000" w:themeColor="text1"/>
          <w:sz w:val="20"/>
          <w:szCs w:val="20"/>
        </w:rPr>
        <w:t xml:space="preserve">; </w:t>
      </w:r>
      <w:r w:rsidRPr="004A2C75">
        <w:rPr>
          <w:rFonts w:ascii="Verdana" w:hAnsi="Verdana" w:cs="Verdana"/>
          <w:b/>
          <w:color w:val="2E74B5" w:themeColor="accent5" w:themeShade="BF"/>
          <w:sz w:val="20"/>
          <w:szCs w:val="20"/>
          <w:u w:val="single"/>
        </w:rPr>
        <w:t>Panfile przeciwko Rumuni</w:t>
      </w:r>
      <w:r w:rsidRPr="004A2C75">
        <w:rPr>
          <w:rFonts w:ascii="Verdana" w:hAnsi="Verdana" w:cs="Verdana"/>
          <w:color w:val="000000" w:themeColor="text1"/>
          <w:sz w:val="20"/>
          <w:szCs w:val="20"/>
        </w:rPr>
        <w:t>, decyzja w sprawie dopuszczalności z 20 marca 2012</w:t>
      </w:r>
      <w:r w:rsidR="00F549E2" w:rsidRPr="004A2C75">
        <w:rPr>
          <w:rFonts w:ascii="Verdana" w:hAnsi="Verdana" w:cs="Verdana"/>
          <w:color w:val="000000" w:themeColor="text1"/>
          <w:sz w:val="20"/>
          <w:szCs w:val="20"/>
        </w:rPr>
        <w:t>r</w:t>
      </w:r>
      <w:r w:rsidRPr="004A2C75">
        <w:rPr>
          <w:rFonts w:ascii="Verdana" w:hAnsi="Verdana" w:cs="Verdana"/>
          <w:color w:val="000000" w:themeColor="text1"/>
          <w:sz w:val="20"/>
          <w:szCs w:val="20"/>
        </w:rPr>
        <w:t xml:space="preserve">. </w:t>
      </w:r>
    </w:p>
    <w:p w14:paraId="2D985CED" w14:textId="77777777" w:rsidR="006C2D24" w:rsidRPr="004A2C75" w:rsidRDefault="006C2D24" w:rsidP="00F76DF1">
      <w:pPr>
        <w:rPr>
          <w:rFonts w:ascii="Verdana" w:hAnsi="Verdana"/>
          <w:b/>
          <w:color w:val="2E74B5" w:themeColor="accent5" w:themeShade="BF"/>
          <w:sz w:val="20"/>
          <w:szCs w:val="20"/>
          <w:u w:val="single"/>
        </w:rPr>
      </w:pPr>
      <w:r w:rsidRPr="004A2C75">
        <w:rPr>
          <w:rFonts w:ascii="Verdana" w:hAnsi="Verdana"/>
          <w:b/>
          <w:color w:val="2E74B5" w:themeColor="accent5" w:themeShade="BF"/>
          <w:sz w:val="20"/>
          <w:szCs w:val="20"/>
          <w:u w:val="single"/>
        </w:rPr>
        <w:t xml:space="preserve">Koufaki i ADEDY przeciwko Grecji </w:t>
      </w:r>
    </w:p>
    <w:p w14:paraId="4931B6E8" w14:textId="77777777" w:rsidR="006C2D24" w:rsidRPr="004A2C75" w:rsidRDefault="006C2D24" w:rsidP="00F76DF1">
      <w:pPr>
        <w:rPr>
          <w:rFonts w:ascii="Verdana" w:hAnsi="Verdana"/>
          <w:sz w:val="20"/>
          <w:szCs w:val="20"/>
        </w:rPr>
      </w:pPr>
      <w:r w:rsidRPr="004A2C75">
        <w:rPr>
          <w:rFonts w:ascii="Verdana" w:hAnsi="Verdana"/>
          <w:color w:val="767171" w:themeColor="background2" w:themeShade="80"/>
          <w:sz w:val="20"/>
          <w:szCs w:val="20"/>
        </w:rPr>
        <w:t>7 maj 2013</w:t>
      </w:r>
      <w:r w:rsidR="003B785A" w:rsidRPr="004A2C75">
        <w:rPr>
          <w:rFonts w:ascii="Verdana" w:hAnsi="Verdana"/>
          <w:color w:val="767171" w:themeColor="background2" w:themeShade="80"/>
          <w:sz w:val="20"/>
          <w:szCs w:val="20"/>
        </w:rPr>
        <w:t xml:space="preserve">r. </w:t>
      </w:r>
      <w:r w:rsidRPr="004A2C75">
        <w:rPr>
          <w:rFonts w:ascii="Verdana" w:hAnsi="Verdana"/>
          <w:color w:val="767171" w:themeColor="background2" w:themeShade="80"/>
          <w:sz w:val="20"/>
          <w:szCs w:val="20"/>
        </w:rPr>
        <w:t xml:space="preserve"> (</w:t>
      </w:r>
      <w:r w:rsidR="0031666C" w:rsidRPr="004A2C75">
        <w:rPr>
          <w:rFonts w:ascii="Verdana" w:hAnsi="Verdana"/>
          <w:color w:val="767171" w:themeColor="background2" w:themeShade="80"/>
          <w:sz w:val="20"/>
          <w:szCs w:val="20"/>
        </w:rPr>
        <w:t xml:space="preserve">decyzja w sprawie dopuszczalności) </w:t>
      </w:r>
    </w:p>
    <w:p w14:paraId="1342AEB6" w14:textId="77777777" w:rsidR="00223E41" w:rsidRPr="004A2C75" w:rsidRDefault="003B785A" w:rsidP="00F76DF1">
      <w:pPr>
        <w:jc w:val="both"/>
        <w:rPr>
          <w:rFonts w:ascii="Verdana" w:hAnsi="Verdana"/>
          <w:sz w:val="20"/>
          <w:szCs w:val="20"/>
        </w:rPr>
      </w:pPr>
      <w:r w:rsidRPr="004A2C75">
        <w:rPr>
          <w:rFonts w:ascii="Verdana" w:hAnsi="Verdana"/>
          <w:sz w:val="20"/>
          <w:szCs w:val="20"/>
        </w:rPr>
        <w:t>W</w:t>
      </w:r>
      <w:r w:rsidR="0031666C" w:rsidRPr="004A2C75">
        <w:rPr>
          <w:rFonts w:ascii="Verdana" w:hAnsi="Verdana"/>
          <w:sz w:val="20"/>
          <w:szCs w:val="20"/>
        </w:rPr>
        <w:t xml:space="preserve"> 2010</w:t>
      </w:r>
      <w:r w:rsidRPr="004A2C75">
        <w:rPr>
          <w:rFonts w:ascii="Verdana" w:hAnsi="Verdana"/>
          <w:sz w:val="20"/>
          <w:szCs w:val="20"/>
        </w:rPr>
        <w:t>r.</w:t>
      </w:r>
      <w:r w:rsidR="0031666C" w:rsidRPr="004A2C75">
        <w:rPr>
          <w:rFonts w:ascii="Verdana" w:hAnsi="Verdana"/>
          <w:sz w:val="20"/>
          <w:szCs w:val="20"/>
        </w:rPr>
        <w:t xml:space="preserve"> Rząd Grecki przyjął ser</w:t>
      </w:r>
      <w:r w:rsidR="00DB0762" w:rsidRPr="004A2C75">
        <w:rPr>
          <w:rFonts w:ascii="Verdana" w:hAnsi="Verdana"/>
          <w:sz w:val="20"/>
          <w:szCs w:val="20"/>
        </w:rPr>
        <w:t xml:space="preserve">ię środków oszczędnościowych, w </w:t>
      </w:r>
      <w:r w:rsidR="0031666C" w:rsidRPr="004A2C75">
        <w:rPr>
          <w:rFonts w:ascii="Verdana" w:hAnsi="Verdana"/>
          <w:sz w:val="20"/>
          <w:szCs w:val="20"/>
        </w:rPr>
        <w:t xml:space="preserve">tym redukcję wynagrodzenia, dodatków, </w:t>
      </w:r>
      <w:r w:rsidR="00C447ED" w:rsidRPr="004A2C75">
        <w:rPr>
          <w:rFonts w:ascii="Verdana" w:hAnsi="Verdana"/>
          <w:sz w:val="20"/>
          <w:szCs w:val="20"/>
        </w:rPr>
        <w:t>premii</w:t>
      </w:r>
      <w:r w:rsidR="0031666C" w:rsidRPr="004A2C75">
        <w:rPr>
          <w:rFonts w:ascii="Verdana" w:hAnsi="Verdana"/>
          <w:sz w:val="20"/>
          <w:szCs w:val="20"/>
        </w:rPr>
        <w:t xml:space="preserve"> </w:t>
      </w:r>
      <w:r w:rsidR="009C5500" w:rsidRPr="004A2C75">
        <w:rPr>
          <w:rFonts w:ascii="Verdana" w:hAnsi="Verdana"/>
          <w:sz w:val="20"/>
          <w:szCs w:val="20"/>
        </w:rPr>
        <w:t xml:space="preserve">oraz świadczenia </w:t>
      </w:r>
      <w:r w:rsidR="0096029D" w:rsidRPr="004A2C75">
        <w:rPr>
          <w:rFonts w:ascii="Verdana" w:hAnsi="Verdana"/>
          <w:sz w:val="20"/>
          <w:szCs w:val="20"/>
        </w:rPr>
        <w:t>emerytalnego</w:t>
      </w:r>
      <w:r w:rsidR="007B0678" w:rsidRPr="004A2C75">
        <w:rPr>
          <w:rFonts w:ascii="Verdana" w:hAnsi="Verdana"/>
          <w:sz w:val="20"/>
          <w:szCs w:val="20"/>
        </w:rPr>
        <w:t xml:space="preserve"> urzędników publicznych</w:t>
      </w:r>
      <w:r w:rsidR="0096029D" w:rsidRPr="004A2C75">
        <w:rPr>
          <w:rFonts w:ascii="Verdana" w:hAnsi="Verdana"/>
          <w:sz w:val="20"/>
          <w:szCs w:val="20"/>
        </w:rPr>
        <w:t xml:space="preserve">, </w:t>
      </w:r>
      <w:r w:rsidR="008A1F41" w:rsidRPr="004A2C75">
        <w:rPr>
          <w:rFonts w:ascii="Verdana" w:hAnsi="Verdana"/>
          <w:sz w:val="20"/>
          <w:szCs w:val="20"/>
        </w:rPr>
        <w:t>w celu redukcji wydatków publicznych oraz reakcji na kryzys finansowy i ekonomiczny</w:t>
      </w:r>
      <w:r w:rsidR="00EF5DB1" w:rsidRPr="004A2C75">
        <w:rPr>
          <w:rFonts w:ascii="Verdana" w:hAnsi="Verdana"/>
          <w:sz w:val="20"/>
          <w:szCs w:val="20"/>
        </w:rPr>
        <w:t>,</w:t>
      </w:r>
      <w:r w:rsidR="008A1F41" w:rsidRPr="004A2C75">
        <w:rPr>
          <w:rFonts w:ascii="Verdana" w:hAnsi="Verdana"/>
          <w:sz w:val="20"/>
          <w:szCs w:val="20"/>
        </w:rPr>
        <w:t xml:space="preserve"> z którym kraj ten się zmagał. W lipcu 2010 skarżący </w:t>
      </w:r>
      <w:r w:rsidR="00EF5DB1" w:rsidRPr="004A2C75">
        <w:rPr>
          <w:rFonts w:ascii="Verdana" w:hAnsi="Verdana"/>
          <w:sz w:val="20"/>
          <w:szCs w:val="20"/>
        </w:rPr>
        <w:t>p</w:t>
      </w:r>
      <w:r w:rsidR="008A1F41" w:rsidRPr="004A2C75">
        <w:rPr>
          <w:rFonts w:ascii="Verdana" w:hAnsi="Verdana"/>
          <w:sz w:val="20"/>
          <w:szCs w:val="20"/>
        </w:rPr>
        <w:t xml:space="preserve">odjęli sprawę przed Naczelnym Sądem Administracyjnym: pierwsza skarżąca zwróciła się do sądu </w:t>
      </w:r>
      <w:r w:rsidR="00EF5DB1" w:rsidRPr="004A2C75">
        <w:rPr>
          <w:rFonts w:ascii="Verdana" w:hAnsi="Verdana"/>
          <w:sz w:val="20"/>
          <w:szCs w:val="20"/>
        </w:rPr>
        <w:t xml:space="preserve">w </w:t>
      </w:r>
      <w:r w:rsidR="0085258E" w:rsidRPr="004A2C75">
        <w:rPr>
          <w:rFonts w:ascii="Verdana" w:hAnsi="Verdana"/>
          <w:sz w:val="20"/>
          <w:szCs w:val="20"/>
        </w:rPr>
        <w:t>sprawie</w:t>
      </w:r>
      <w:r w:rsidR="00EF5DB1" w:rsidRPr="004A2C75">
        <w:rPr>
          <w:rFonts w:ascii="Verdana" w:hAnsi="Verdana"/>
          <w:sz w:val="20"/>
          <w:szCs w:val="20"/>
        </w:rPr>
        <w:t xml:space="preserve"> unieważnienia</w:t>
      </w:r>
      <w:r w:rsidR="00BC65DF">
        <w:rPr>
          <w:rFonts w:ascii="Verdana" w:hAnsi="Verdana"/>
          <w:sz w:val="20"/>
          <w:szCs w:val="20"/>
        </w:rPr>
        <w:t xml:space="preserve"> ograniczenia</w:t>
      </w:r>
      <w:r w:rsidR="00EF5DB1" w:rsidRPr="004A2C75">
        <w:rPr>
          <w:rFonts w:ascii="Verdana" w:hAnsi="Verdana"/>
          <w:sz w:val="20"/>
          <w:szCs w:val="20"/>
        </w:rPr>
        <w:t xml:space="preserve"> </w:t>
      </w:r>
      <w:r w:rsidR="007B0678" w:rsidRPr="004A2C75">
        <w:rPr>
          <w:rFonts w:ascii="Verdana" w:hAnsi="Verdana"/>
          <w:sz w:val="20"/>
          <w:szCs w:val="20"/>
        </w:rPr>
        <w:t xml:space="preserve">jej </w:t>
      </w:r>
      <w:r w:rsidR="0085258E" w:rsidRPr="004A2C75">
        <w:rPr>
          <w:rFonts w:ascii="Verdana" w:hAnsi="Verdana"/>
          <w:sz w:val="20"/>
          <w:szCs w:val="20"/>
        </w:rPr>
        <w:t>wynagrodzenia</w:t>
      </w:r>
      <w:r w:rsidR="007B0678" w:rsidRPr="004A2C75">
        <w:rPr>
          <w:rFonts w:ascii="Verdana" w:hAnsi="Verdana"/>
          <w:sz w:val="20"/>
          <w:szCs w:val="20"/>
        </w:rPr>
        <w:t xml:space="preserve">; drugi skarżący </w:t>
      </w:r>
      <w:r w:rsidR="00E25193" w:rsidRPr="004A2C75">
        <w:rPr>
          <w:rFonts w:ascii="Verdana" w:hAnsi="Verdana"/>
          <w:sz w:val="20"/>
          <w:szCs w:val="20"/>
        </w:rPr>
        <w:t>Konfederacja Związków Zawodowych Funkcjonariuszy Publicznych</w:t>
      </w:r>
      <w:r w:rsidR="007B0678" w:rsidRPr="004A2C75">
        <w:rPr>
          <w:rFonts w:ascii="Verdana" w:hAnsi="Verdana"/>
          <w:sz w:val="20"/>
          <w:szCs w:val="20"/>
        </w:rPr>
        <w:t xml:space="preserve"> </w:t>
      </w:r>
      <w:r w:rsidR="00991B64" w:rsidRPr="004A2C75">
        <w:rPr>
          <w:rFonts w:ascii="Verdana" w:hAnsi="Verdana"/>
          <w:sz w:val="20"/>
          <w:szCs w:val="20"/>
        </w:rPr>
        <w:t xml:space="preserve">wniósł o kontrolę sądową </w:t>
      </w:r>
      <w:r w:rsidR="007B0678" w:rsidRPr="004A2C75">
        <w:rPr>
          <w:rFonts w:ascii="Verdana" w:hAnsi="Verdana"/>
          <w:sz w:val="20"/>
          <w:szCs w:val="20"/>
        </w:rPr>
        <w:t xml:space="preserve">ze względu </w:t>
      </w:r>
      <w:r w:rsidR="00991B64" w:rsidRPr="004A2C75">
        <w:rPr>
          <w:rFonts w:ascii="Verdana" w:hAnsi="Verdana"/>
          <w:sz w:val="20"/>
          <w:szCs w:val="20"/>
        </w:rPr>
        <w:t>na szkodliwy wpływ</w:t>
      </w:r>
      <w:r w:rsidR="007B0678" w:rsidRPr="004A2C75">
        <w:rPr>
          <w:rFonts w:ascii="Verdana" w:hAnsi="Verdana"/>
          <w:sz w:val="20"/>
          <w:szCs w:val="20"/>
        </w:rPr>
        <w:t xml:space="preserve"> </w:t>
      </w:r>
      <w:r w:rsidR="00991B64" w:rsidRPr="004A2C75">
        <w:rPr>
          <w:rFonts w:ascii="Verdana" w:hAnsi="Verdana"/>
          <w:sz w:val="20"/>
          <w:szCs w:val="20"/>
        </w:rPr>
        <w:t xml:space="preserve"> zastosowanych </w:t>
      </w:r>
      <w:r w:rsidR="007B0678" w:rsidRPr="004A2C75">
        <w:rPr>
          <w:rFonts w:ascii="Verdana" w:hAnsi="Verdana"/>
          <w:sz w:val="20"/>
          <w:szCs w:val="20"/>
        </w:rPr>
        <w:t xml:space="preserve">środków </w:t>
      </w:r>
      <w:r w:rsidR="00991B64" w:rsidRPr="004A2C75">
        <w:rPr>
          <w:rFonts w:ascii="Verdana" w:hAnsi="Verdana"/>
          <w:sz w:val="20"/>
          <w:szCs w:val="20"/>
        </w:rPr>
        <w:t>na</w:t>
      </w:r>
      <w:r w:rsidR="007B0678" w:rsidRPr="004A2C75">
        <w:rPr>
          <w:rFonts w:ascii="Verdana" w:hAnsi="Verdana"/>
          <w:sz w:val="20"/>
          <w:szCs w:val="20"/>
        </w:rPr>
        <w:t xml:space="preserve"> </w:t>
      </w:r>
      <w:r w:rsidR="00991B64" w:rsidRPr="004A2C75">
        <w:rPr>
          <w:rFonts w:ascii="Verdana" w:hAnsi="Verdana"/>
          <w:sz w:val="20"/>
          <w:szCs w:val="20"/>
        </w:rPr>
        <w:t>sytuację finansową</w:t>
      </w:r>
      <w:r w:rsidR="00503441" w:rsidRPr="004A2C75">
        <w:rPr>
          <w:rFonts w:ascii="Verdana" w:hAnsi="Verdana"/>
          <w:sz w:val="20"/>
          <w:szCs w:val="20"/>
        </w:rPr>
        <w:t xml:space="preserve"> jego członków. 20 stycznia 2012 Naczelny Sąd Administracyjny odrzucił skargi. </w:t>
      </w:r>
    </w:p>
    <w:p w14:paraId="00353A16" w14:textId="77777777" w:rsidR="00B71245" w:rsidRPr="004A2C75" w:rsidRDefault="00503441" w:rsidP="00F76DF1">
      <w:pPr>
        <w:jc w:val="both"/>
        <w:rPr>
          <w:rFonts w:ascii="Verdana" w:hAnsi="Verdana"/>
          <w:sz w:val="20"/>
          <w:szCs w:val="20"/>
        </w:rPr>
      </w:pPr>
      <w:r w:rsidRPr="004A2C75">
        <w:rPr>
          <w:rFonts w:ascii="Verdana" w:hAnsi="Verdana"/>
          <w:color w:val="2E74B5" w:themeColor="accent5" w:themeShade="BF"/>
          <w:sz w:val="20"/>
          <w:szCs w:val="20"/>
        </w:rPr>
        <w:t xml:space="preserve">Trybunał uznał skargi za niedopuszczalne jako </w:t>
      </w:r>
      <w:r w:rsidR="000B61BF" w:rsidRPr="004A2C75">
        <w:rPr>
          <w:rFonts w:ascii="Verdana" w:hAnsi="Verdana"/>
          <w:color w:val="2E74B5" w:themeColor="accent5" w:themeShade="BF"/>
          <w:sz w:val="20"/>
          <w:szCs w:val="20"/>
        </w:rPr>
        <w:t>oczywiście</w:t>
      </w:r>
      <w:r w:rsidRPr="004A2C75">
        <w:rPr>
          <w:rFonts w:ascii="Verdana" w:hAnsi="Verdana"/>
          <w:color w:val="2E74B5" w:themeColor="accent5" w:themeShade="BF"/>
          <w:sz w:val="20"/>
          <w:szCs w:val="20"/>
        </w:rPr>
        <w:t xml:space="preserve"> </w:t>
      </w:r>
      <w:r w:rsidRPr="004A2C75">
        <w:rPr>
          <w:rFonts w:ascii="Verdana" w:hAnsi="Verdana"/>
          <w:b/>
          <w:color w:val="2E74B5" w:themeColor="accent5" w:themeShade="BF"/>
          <w:sz w:val="20"/>
          <w:szCs w:val="20"/>
        </w:rPr>
        <w:t>bezzasadne</w:t>
      </w:r>
      <w:r w:rsidRPr="004A2C75">
        <w:rPr>
          <w:rFonts w:ascii="Verdana" w:hAnsi="Verdana"/>
          <w:color w:val="2E74B5" w:themeColor="accent5" w:themeShade="BF"/>
          <w:sz w:val="20"/>
          <w:szCs w:val="20"/>
        </w:rPr>
        <w:t xml:space="preserve">. W szczególności przyjął, iż redukcja wynagrodzenia pierwszej skarżącej z 2,435.83 Euro do 1,885.79 Euro </w:t>
      </w:r>
      <w:r w:rsidR="0081061D" w:rsidRPr="004A2C75">
        <w:rPr>
          <w:rFonts w:ascii="Verdana" w:hAnsi="Verdana"/>
          <w:color w:val="2E74B5" w:themeColor="accent5" w:themeShade="BF"/>
          <w:sz w:val="20"/>
          <w:szCs w:val="20"/>
        </w:rPr>
        <w:t xml:space="preserve">nie </w:t>
      </w:r>
      <w:r w:rsidR="00223E41" w:rsidRPr="004A2C75">
        <w:rPr>
          <w:rFonts w:ascii="Verdana" w:hAnsi="Verdana"/>
          <w:color w:val="2E74B5" w:themeColor="accent5" w:themeShade="BF"/>
          <w:sz w:val="20"/>
          <w:szCs w:val="20"/>
        </w:rPr>
        <w:t>narażała na ryzyko zagrożenia</w:t>
      </w:r>
      <w:r w:rsidR="0081061D" w:rsidRPr="004A2C75">
        <w:rPr>
          <w:rFonts w:ascii="Verdana" w:hAnsi="Verdana"/>
          <w:color w:val="2E74B5" w:themeColor="accent5" w:themeShade="BF"/>
          <w:sz w:val="20"/>
          <w:szCs w:val="20"/>
        </w:rPr>
        <w:t xml:space="preserve"> jej egzystencji</w:t>
      </w:r>
      <w:r w:rsidR="00223E41" w:rsidRPr="004A2C75">
        <w:rPr>
          <w:rFonts w:ascii="Verdana" w:hAnsi="Verdana"/>
          <w:color w:val="2E74B5" w:themeColor="accent5" w:themeShade="BF"/>
          <w:sz w:val="20"/>
          <w:szCs w:val="20"/>
        </w:rPr>
        <w:t xml:space="preserve"> niezgodne z Artykułem 1 Protokołu nr  1</w:t>
      </w:r>
      <w:r w:rsidR="00E71604" w:rsidRPr="004A2C75">
        <w:rPr>
          <w:rFonts w:ascii="Verdana" w:hAnsi="Verdana"/>
          <w:color w:val="2E74B5" w:themeColor="accent5" w:themeShade="BF"/>
          <w:sz w:val="20"/>
          <w:szCs w:val="20"/>
        </w:rPr>
        <w:t xml:space="preserve"> </w:t>
      </w:r>
      <w:r w:rsidRPr="004A2C75">
        <w:rPr>
          <w:rFonts w:ascii="Verdana" w:hAnsi="Verdana"/>
          <w:color w:val="2E74B5" w:themeColor="accent5" w:themeShade="BF"/>
          <w:sz w:val="20"/>
          <w:szCs w:val="20"/>
        </w:rPr>
        <w:t xml:space="preserve"> </w:t>
      </w:r>
      <w:r w:rsidR="00223E41" w:rsidRPr="004A2C75">
        <w:rPr>
          <w:rFonts w:ascii="Verdana" w:hAnsi="Verdana"/>
          <w:color w:val="2E74B5" w:themeColor="accent5" w:themeShade="BF"/>
          <w:sz w:val="20"/>
          <w:szCs w:val="20"/>
        </w:rPr>
        <w:t xml:space="preserve">W </w:t>
      </w:r>
      <w:r w:rsidR="00B71245" w:rsidRPr="004A2C75">
        <w:rPr>
          <w:rFonts w:ascii="Verdana" w:hAnsi="Verdana"/>
          <w:color w:val="2E74B5" w:themeColor="accent5" w:themeShade="BF"/>
          <w:sz w:val="20"/>
          <w:szCs w:val="20"/>
        </w:rPr>
        <w:t>związku</w:t>
      </w:r>
      <w:r w:rsidR="00223E41" w:rsidRPr="004A2C75">
        <w:rPr>
          <w:rFonts w:ascii="Verdana" w:hAnsi="Verdana"/>
          <w:color w:val="2E74B5" w:themeColor="accent5" w:themeShade="BF"/>
          <w:sz w:val="20"/>
          <w:szCs w:val="20"/>
        </w:rPr>
        <w:t xml:space="preserve"> z tym i w </w:t>
      </w:r>
      <w:r w:rsidR="00B71245" w:rsidRPr="004A2C75">
        <w:rPr>
          <w:rFonts w:ascii="Verdana" w:hAnsi="Verdana"/>
          <w:color w:val="2E74B5" w:themeColor="accent5" w:themeShade="BF"/>
          <w:sz w:val="20"/>
          <w:szCs w:val="20"/>
        </w:rPr>
        <w:t>szczególnej</w:t>
      </w:r>
      <w:r w:rsidR="00223E41" w:rsidRPr="004A2C75">
        <w:rPr>
          <w:rFonts w:ascii="Verdana" w:hAnsi="Verdana"/>
          <w:color w:val="2E74B5" w:themeColor="accent5" w:themeShade="BF"/>
          <w:sz w:val="20"/>
          <w:szCs w:val="20"/>
        </w:rPr>
        <w:t xml:space="preserve"> sytuacji kryzysu, w jakim doszło do zarzuconych </w:t>
      </w:r>
      <w:r w:rsidR="00B71245" w:rsidRPr="004A2C75">
        <w:rPr>
          <w:rFonts w:ascii="Verdana" w:hAnsi="Verdana"/>
          <w:color w:val="2E74B5" w:themeColor="accent5" w:themeShade="BF"/>
          <w:sz w:val="20"/>
          <w:szCs w:val="20"/>
        </w:rPr>
        <w:t>działań</w:t>
      </w:r>
      <w:r w:rsidR="00223E41" w:rsidRPr="004A2C75">
        <w:rPr>
          <w:rFonts w:ascii="Verdana" w:hAnsi="Verdana"/>
          <w:color w:val="2E74B5" w:themeColor="accent5" w:themeShade="BF"/>
          <w:sz w:val="20"/>
          <w:szCs w:val="20"/>
        </w:rPr>
        <w:t xml:space="preserve">, nie </w:t>
      </w:r>
      <w:r w:rsidR="00B71245" w:rsidRPr="004A2C75">
        <w:rPr>
          <w:rFonts w:ascii="Verdana" w:hAnsi="Verdana"/>
          <w:color w:val="2E74B5" w:themeColor="accent5" w:themeShade="BF"/>
          <w:sz w:val="20"/>
          <w:szCs w:val="20"/>
        </w:rPr>
        <w:t>można</w:t>
      </w:r>
      <w:r w:rsidR="00223E41" w:rsidRPr="004A2C75">
        <w:rPr>
          <w:rFonts w:ascii="Verdana" w:hAnsi="Verdana"/>
          <w:color w:val="2E74B5" w:themeColor="accent5" w:themeShade="BF"/>
          <w:sz w:val="20"/>
          <w:szCs w:val="20"/>
        </w:rPr>
        <w:t xml:space="preserve"> było </w:t>
      </w:r>
      <w:r w:rsidR="00B71245" w:rsidRPr="004A2C75">
        <w:rPr>
          <w:rFonts w:ascii="Verdana" w:hAnsi="Verdana"/>
          <w:color w:val="2E74B5" w:themeColor="accent5" w:themeShade="BF"/>
          <w:sz w:val="20"/>
          <w:szCs w:val="20"/>
        </w:rPr>
        <w:t>uważać</w:t>
      </w:r>
      <w:r w:rsidR="00223E41" w:rsidRPr="004A2C75">
        <w:rPr>
          <w:rFonts w:ascii="Verdana" w:hAnsi="Verdana"/>
          <w:color w:val="2E74B5" w:themeColor="accent5" w:themeShade="BF"/>
          <w:sz w:val="20"/>
          <w:szCs w:val="20"/>
        </w:rPr>
        <w:t xml:space="preserve"> spornej ingerencji za nadmierne </w:t>
      </w:r>
      <w:r w:rsidR="00B71245" w:rsidRPr="004A2C75">
        <w:rPr>
          <w:rFonts w:ascii="Verdana" w:hAnsi="Verdana"/>
          <w:color w:val="2E74B5" w:themeColor="accent5" w:themeShade="BF"/>
          <w:sz w:val="20"/>
          <w:szCs w:val="20"/>
        </w:rPr>
        <w:t>obciążenie</w:t>
      </w:r>
      <w:r w:rsidR="00223E41" w:rsidRPr="004A2C75">
        <w:rPr>
          <w:rFonts w:ascii="Verdana" w:hAnsi="Verdana"/>
          <w:color w:val="2E74B5" w:themeColor="accent5" w:themeShade="BF"/>
          <w:sz w:val="20"/>
          <w:szCs w:val="20"/>
        </w:rPr>
        <w:t xml:space="preserve"> </w:t>
      </w:r>
      <w:r w:rsidR="00B71245" w:rsidRPr="004A2C75">
        <w:rPr>
          <w:rFonts w:ascii="Verdana" w:hAnsi="Verdana"/>
          <w:color w:val="2E74B5" w:themeColor="accent5" w:themeShade="BF"/>
          <w:sz w:val="20"/>
          <w:szCs w:val="20"/>
        </w:rPr>
        <w:t>skarżącej</w:t>
      </w:r>
      <w:r w:rsidR="00223E41" w:rsidRPr="004A2C75">
        <w:rPr>
          <w:rFonts w:ascii="Verdana" w:hAnsi="Verdana"/>
          <w:color w:val="2E74B5" w:themeColor="accent5" w:themeShade="BF"/>
          <w:sz w:val="20"/>
          <w:szCs w:val="20"/>
        </w:rPr>
        <w:t xml:space="preserve">. </w:t>
      </w:r>
      <w:r w:rsidR="00E71604" w:rsidRPr="004A2C75">
        <w:rPr>
          <w:rFonts w:ascii="Verdana" w:hAnsi="Verdana" w:cs="Verdana"/>
          <w:color w:val="2E74B5" w:themeColor="accent5" w:themeShade="BF"/>
          <w:sz w:val="20"/>
          <w:szCs w:val="20"/>
        </w:rPr>
        <w:t xml:space="preserve">W odniesieniu do drugiego skarżącego  zlikwidowanie </w:t>
      </w:r>
      <w:r w:rsidR="0089618B" w:rsidRPr="004A2C75">
        <w:rPr>
          <w:rFonts w:ascii="Verdana" w:hAnsi="Verdana" w:cs="Verdana"/>
          <w:color w:val="2E74B5" w:themeColor="accent5" w:themeShade="BF"/>
          <w:sz w:val="20"/>
          <w:szCs w:val="20"/>
        </w:rPr>
        <w:t>trzynastej i czternastej miesięcznej</w:t>
      </w:r>
      <w:r w:rsidR="00223E41" w:rsidRPr="004A2C75">
        <w:rPr>
          <w:rFonts w:ascii="Verdana" w:hAnsi="Verdana" w:cs="Verdana"/>
          <w:color w:val="2E74B5" w:themeColor="accent5" w:themeShade="BF"/>
          <w:sz w:val="20"/>
          <w:szCs w:val="20"/>
        </w:rPr>
        <w:t xml:space="preserve"> wypłaty świadczenia emerytalnego</w:t>
      </w:r>
      <w:r w:rsidR="0089618B" w:rsidRPr="004A2C75">
        <w:rPr>
          <w:rFonts w:ascii="Verdana" w:hAnsi="Verdana" w:cs="Verdana"/>
          <w:color w:val="2E74B5" w:themeColor="accent5" w:themeShade="BF"/>
          <w:sz w:val="20"/>
          <w:szCs w:val="20"/>
        </w:rPr>
        <w:t xml:space="preserve"> </w:t>
      </w:r>
      <w:r w:rsidR="00223E41" w:rsidRPr="004A2C75">
        <w:rPr>
          <w:rFonts w:ascii="Verdana" w:hAnsi="Verdana" w:cs="Verdana"/>
          <w:color w:val="2E74B5" w:themeColor="accent5" w:themeShade="BF"/>
          <w:sz w:val="20"/>
          <w:szCs w:val="20"/>
        </w:rPr>
        <w:t xml:space="preserve">zostało zrekompensowane dodatkiem. Rozwiązanie zastępcze nie czyni kwestionowanych przepisów nieuzasadnionymi. </w:t>
      </w:r>
      <w:r w:rsidR="00303B5F" w:rsidRPr="004A2C75">
        <w:rPr>
          <w:rFonts w:ascii="Verdana" w:hAnsi="Verdana" w:cs="Verdana"/>
          <w:color w:val="2E74B5" w:themeColor="accent5" w:themeShade="BF"/>
          <w:sz w:val="20"/>
          <w:szCs w:val="20"/>
        </w:rPr>
        <w:t xml:space="preserve">Tak długo jak władza ustawodawcza nie przekroczyła granic marginesu uznania, nie należy do Trybunału, aby oceniać czy wybrano najlepsze środki </w:t>
      </w:r>
      <w:r w:rsidR="007C0F89" w:rsidRPr="004A2C75">
        <w:rPr>
          <w:rFonts w:ascii="Verdana" w:hAnsi="Verdana" w:cs="Verdana"/>
          <w:color w:val="2E74B5" w:themeColor="accent5" w:themeShade="BF"/>
          <w:sz w:val="20"/>
          <w:szCs w:val="20"/>
        </w:rPr>
        <w:t xml:space="preserve">odnoszące się do problemu, czy można było </w:t>
      </w:r>
      <w:r w:rsidR="00223E41" w:rsidRPr="004A2C75">
        <w:rPr>
          <w:rFonts w:ascii="Verdana" w:hAnsi="Verdana" w:cs="Verdana"/>
          <w:color w:val="2E74B5" w:themeColor="accent5" w:themeShade="BF"/>
          <w:sz w:val="20"/>
          <w:szCs w:val="20"/>
        </w:rPr>
        <w:t xml:space="preserve">skorzystać z władzy w inny sposób. </w:t>
      </w:r>
      <w:r w:rsidR="007C0F89" w:rsidRPr="004A2C75">
        <w:rPr>
          <w:rFonts w:ascii="Verdana" w:hAnsi="Verdana" w:cs="Verdana"/>
          <w:color w:val="2E74B5" w:themeColor="accent5" w:themeShade="BF"/>
          <w:sz w:val="20"/>
          <w:szCs w:val="20"/>
        </w:rPr>
        <w:t xml:space="preserve"> </w:t>
      </w:r>
    </w:p>
    <w:p w14:paraId="150219CA" w14:textId="77777777" w:rsidR="00B71245" w:rsidRPr="004A2C75" w:rsidRDefault="00B71245" w:rsidP="00F76DF1">
      <w:pPr>
        <w:rPr>
          <w:rFonts w:ascii="Verdana" w:hAnsi="Verdana"/>
          <w:b/>
          <w:color w:val="2E74B5" w:themeColor="accent5" w:themeShade="BF"/>
          <w:sz w:val="20"/>
          <w:szCs w:val="20"/>
          <w:u w:val="single"/>
        </w:rPr>
      </w:pPr>
    </w:p>
    <w:p w14:paraId="0CA40BEA" w14:textId="77777777" w:rsidR="00EF76BE" w:rsidRPr="004A2C75" w:rsidRDefault="00EF76BE" w:rsidP="00F76DF1">
      <w:pPr>
        <w:rPr>
          <w:rFonts w:ascii="Verdana" w:hAnsi="Verdana"/>
          <w:b/>
          <w:sz w:val="20"/>
          <w:szCs w:val="20"/>
          <w:u w:val="single"/>
        </w:rPr>
      </w:pPr>
      <w:r w:rsidRPr="004A2C75">
        <w:rPr>
          <w:rFonts w:ascii="Verdana" w:hAnsi="Verdana"/>
          <w:b/>
          <w:color w:val="2E74B5" w:themeColor="accent5" w:themeShade="BF"/>
          <w:sz w:val="20"/>
          <w:szCs w:val="20"/>
          <w:u w:val="single"/>
        </w:rPr>
        <w:t xml:space="preserve">N.K.M. przeciwko Węgrom (nr 66529/11) </w:t>
      </w:r>
    </w:p>
    <w:p w14:paraId="0C69D454" w14:textId="77777777" w:rsidR="00EF76BE" w:rsidRPr="004A2C75" w:rsidRDefault="00223E41" w:rsidP="00F76DF1">
      <w:pPr>
        <w:rPr>
          <w:rFonts w:ascii="Verdana" w:hAnsi="Verdana"/>
          <w:sz w:val="20"/>
          <w:szCs w:val="20"/>
        </w:rPr>
      </w:pPr>
      <w:r w:rsidRPr="004A2C75">
        <w:rPr>
          <w:rFonts w:ascii="Verdana" w:hAnsi="Verdana"/>
          <w:color w:val="767171" w:themeColor="background2" w:themeShade="80"/>
          <w:sz w:val="20"/>
          <w:szCs w:val="20"/>
        </w:rPr>
        <w:t>14 maj</w:t>
      </w:r>
      <w:r w:rsidR="00EF76BE" w:rsidRPr="004A2C75">
        <w:rPr>
          <w:rFonts w:ascii="Verdana" w:hAnsi="Verdana"/>
          <w:color w:val="767171" w:themeColor="background2" w:themeShade="80"/>
          <w:sz w:val="20"/>
          <w:szCs w:val="20"/>
        </w:rPr>
        <w:t xml:space="preserve"> 2013</w:t>
      </w:r>
      <w:r w:rsidR="00B71245" w:rsidRPr="004A2C75">
        <w:rPr>
          <w:rFonts w:ascii="Verdana" w:hAnsi="Verdana"/>
          <w:color w:val="767171" w:themeColor="background2" w:themeShade="80"/>
          <w:sz w:val="20"/>
          <w:szCs w:val="20"/>
        </w:rPr>
        <w:t>r.</w:t>
      </w:r>
      <w:r w:rsidR="00EF76BE" w:rsidRPr="004A2C75">
        <w:rPr>
          <w:rFonts w:ascii="Verdana" w:hAnsi="Verdana"/>
          <w:color w:val="767171" w:themeColor="background2" w:themeShade="80"/>
          <w:sz w:val="20"/>
          <w:szCs w:val="20"/>
        </w:rPr>
        <w:t xml:space="preserve"> (wyrok)</w:t>
      </w:r>
    </w:p>
    <w:p w14:paraId="530348A7" w14:textId="77777777" w:rsidR="00661CDA" w:rsidRPr="004A2C75" w:rsidRDefault="00EE2AEA" w:rsidP="00F76DF1">
      <w:pPr>
        <w:jc w:val="both"/>
        <w:rPr>
          <w:rFonts w:ascii="Verdana" w:hAnsi="Verdana"/>
          <w:sz w:val="20"/>
          <w:szCs w:val="20"/>
        </w:rPr>
      </w:pPr>
      <w:r w:rsidRPr="004A2C75">
        <w:rPr>
          <w:rFonts w:ascii="Verdana" w:hAnsi="Verdana"/>
          <w:sz w:val="20"/>
          <w:szCs w:val="20"/>
        </w:rPr>
        <w:t>Sprawa ta dotyczy urzędniczki państwowej</w:t>
      </w:r>
      <w:r w:rsidR="00EF76BE" w:rsidRPr="004A2C75">
        <w:rPr>
          <w:rFonts w:ascii="Verdana" w:hAnsi="Verdana"/>
          <w:sz w:val="20"/>
          <w:szCs w:val="20"/>
        </w:rPr>
        <w:t>,</w:t>
      </w:r>
      <w:r w:rsidRPr="004A2C75">
        <w:rPr>
          <w:rFonts w:ascii="Verdana" w:hAnsi="Verdana"/>
          <w:sz w:val="20"/>
          <w:szCs w:val="20"/>
        </w:rPr>
        <w:t xml:space="preserve"> która</w:t>
      </w:r>
      <w:r w:rsidR="002C563C" w:rsidRPr="004A2C75">
        <w:rPr>
          <w:rFonts w:ascii="Verdana" w:hAnsi="Verdana"/>
          <w:sz w:val="20"/>
          <w:szCs w:val="20"/>
        </w:rPr>
        <w:t xml:space="preserve"> </w:t>
      </w:r>
      <w:r w:rsidR="00661CDA" w:rsidRPr="004A2C75">
        <w:rPr>
          <w:rFonts w:ascii="Verdana" w:hAnsi="Verdana"/>
          <w:sz w:val="20"/>
          <w:szCs w:val="20"/>
        </w:rPr>
        <w:t>zarzucał</w:t>
      </w:r>
      <w:r w:rsidRPr="004A2C75">
        <w:rPr>
          <w:rFonts w:ascii="Verdana" w:hAnsi="Verdana"/>
          <w:sz w:val="20"/>
          <w:szCs w:val="20"/>
        </w:rPr>
        <w:t>a</w:t>
      </w:r>
      <w:r w:rsidR="00661CDA" w:rsidRPr="004A2C75">
        <w:rPr>
          <w:rFonts w:ascii="Verdana" w:hAnsi="Verdana"/>
          <w:sz w:val="20"/>
          <w:szCs w:val="20"/>
        </w:rPr>
        <w:t>, iż nałożenie 98% podatku na część kwoty jej odprawy na podstawie ustawy, która weszła w życie dziesięć tygodni przed zwolnieniem skarżącej było równoznaczne z nieuzasadnionym pozbawieniem skarżącej jej własności, przy jednoczesnym braku jakiegokolwiek środka odwoławczego</w:t>
      </w:r>
      <w:r w:rsidRPr="004A2C75">
        <w:rPr>
          <w:rFonts w:ascii="Verdana" w:hAnsi="Verdana"/>
          <w:sz w:val="20"/>
          <w:szCs w:val="20"/>
        </w:rPr>
        <w:t xml:space="preserve">. </w:t>
      </w:r>
    </w:p>
    <w:p w14:paraId="40070C29" w14:textId="77777777" w:rsidR="00A604B3" w:rsidRPr="004A2C75" w:rsidRDefault="00EE2AEA" w:rsidP="00F76DF1">
      <w:pPr>
        <w:widowControl w:val="0"/>
        <w:autoSpaceDE w:val="0"/>
        <w:autoSpaceDN w:val="0"/>
        <w:adjustRightInd w:val="0"/>
        <w:spacing w:after="240"/>
        <w:jc w:val="both"/>
        <w:rPr>
          <w:rFonts w:ascii="Verdana" w:hAnsi="Verdana" w:cs="Times"/>
          <w:color w:val="2E74B5" w:themeColor="accent5" w:themeShade="BF"/>
          <w:sz w:val="20"/>
          <w:szCs w:val="20"/>
        </w:rPr>
      </w:pPr>
      <w:r w:rsidRPr="004A2C75">
        <w:rPr>
          <w:rFonts w:ascii="Verdana" w:hAnsi="Verdana"/>
          <w:color w:val="2E74B5" w:themeColor="accent5" w:themeShade="BF"/>
          <w:sz w:val="20"/>
          <w:szCs w:val="20"/>
        </w:rPr>
        <w:t xml:space="preserve">Trybunał uznał, iż w przedmiotowej sprawie </w:t>
      </w:r>
      <w:r w:rsidRPr="004A2C75">
        <w:rPr>
          <w:rFonts w:ascii="Verdana" w:hAnsi="Verdana"/>
          <w:b/>
          <w:color w:val="2E74B5" w:themeColor="accent5" w:themeShade="BF"/>
          <w:sz w:val="20"/>
          <w:szCs w:val="20"/>
        </w:rPr>
        <w:t xml:space="preserve">doszło do naruszenia Artykułu 1 </w:t>
      </w:r>
      <w:r w:rsidR="00884AE1" w:rsidRPr="004A2C75">
        <w:rPr>
          <w:rFonts w:ascii="Verdana" w:hAnsi="Verdana"/>
          <w:b/>
          <w:color w:val="2E74B5" w:themeColor="accent5" w:themeShade="BF"/>
          <w:sz w:val="20"/>
          <w:szCs w:val="20"/>
        </w:rPr>
        <w:t>Protokołu</w:t>
      </w:r>
      <w:r w:rsidR="00BE3CC9" w:rsidRPr="004A2C75">
        <w:rPr>
          <w:rFonts w:ascii="Verdana" w:hAnsi="Verdana"/>
          <w:b/>
          <w:color w:val="2E74B5" w:themeColor="accent5" w:themeShade="BF"/>
          <w:sz w:val="20"/>
          <w:szCs w:val="20"/>
        </w:rPr>
        <w:t xml:space="preserve"> nr</w:t>
      </w:r>
      <w:r w:rsidR="00884AE1" w:rsidRPr="004A2C75">
        <w:rPr>
          <w:rFonts w:ascii="Verdana" w:hAnsi="Verdana"/>
          <w:b/>
          <w:color w:val="2E74B5" w:themeColor="accent5" w:themeShade="BF"/>
          <w:sz w:val="20"/>
          <w:szCs w:val="20"/>
        </w:rPr>
        <w:t xml:space="preserve"> 1</w:t>
      </w:r>
      <w:r w:rsidR="00884AE1" w:rsidRPr="004A2C75">
        <w:rPr>
          <w:rFonts w:ascii="Verdana" w:hAnsi="Verdana"/>
          <w:color w:val="2E74B5" w:themeColor="accent5" w:themeShade="BF"/>
          <w:sz w:val="20"/>
          <w:szCs w:val="20"/>
        </w:rPr>
        <w:t>. Pomimo szerokiego marginesu oceny, jakim dysponowało państwo węgierskie w kwestiach podatkowych, Trybunał uznał, iż środki jakie wprowadziło nie</w:t>
      </w:r>
      <w:r w:rsidR="00FA417D" w:rsidRPr="004A2C75">
        <w:rPr>
          <w:rFonts w:ascii="Verdana" w:hAnsi="Verdana"/>
          <w:color w:val="2E74B5" w:themeColor="accent5" w:themeShade="BF"/>
          <w:sz w:val="20"/>
          <w:szCs w:val="20"/>
        </w:rPr>
        <w:t xml:space="preserve"> </w:t>
      </w:r>
      <w:r w:rsidR="00884AE1" w:rsidRPr="004A2C75">
        <w:rPr>
          <w:rFonts w:ascii="Verdana" w:hAnsi="Verdana"/>
          <w:color w:val="2E74B5" w:themeColor="accent5" w:themeShade="BF"/>
          <w:sz w:val="20"/>
          <w:szCs w:val="20"/>
        </w:rPr>
        <w:t xml:space="preserve">były proporcjonalne do celu </w:t>
      </w:r>
      <w:r w:rsidR="00666946" w:rsidRPr="004A2C75">
        <w:rPr>
          <w:rFonts w:ascii="Verdana" w:hAnsi="Verdana"/>
          <w:color w:val="2E74B5" w:themeColor="accent5" w:themeShade="BF"/>
          <w:sz w:val="20"/>
          <w:szCs w:val="20"/>
        </w:rPr>
        <w:t xml:space="preserve">jakim jest ochrona </w:t>
      </w:r>
      <w:r w:rsidR="00FA417D" w:rsidRPr="004A2C75">
        <w:rPr>
          <w:rFonts w:ascii="Verdana" w:hAnsi="Verdana"/>
          <w:color w:val="2E74B5" w:themeColor="accent5" w:themeShade="BF"/>
          <w:sz w:val="20"/>
          <w:szCs w:val="20"/>
        </w:rPr>
        <w:t>budżetu pańs</w:t>
      </w:r>
      <w:r w:rsidR="00B71245" w:rsidRPr="004A2C75">
        <w:rPr>
          <w:rFonts w:ascii="Verdana" w:hAnsi="Verdana"/>
          <w:color w:val="2E74B5" w:themeColor="accent5" w:themeShade="BF"/>
          <w:sz w:val="20"/>
          <w:szCs w:val="20"/>
        </w:rPr>
        <w:t xml:space="preserve">twa przed zawyżonymi odprawami. </w:t>
      </w:r>
      <w:r w:rsidR="00FA417D" w:rsidRPr="004A2C75">
        <w:rPr>
          <w:rFonts w:ascii="Verdana" w:hAnsi="Verdana"/>
          <w:color w:val="2E74B5" w:themeColor="accent5" w:themeShade="BF"/>
          <w:sz w:val="20"/>
          <w:szCs w:val="20"/>
        </w:rPr>
        <w:t xml:space="preserve">Skarżącej nie zapewniono okresu przejściowego, podczas którego mogłaby dostosować się do nowego systemu zwolnień. Co więcej </w:t>
      </w:r>
      <w:r w:rsidR="00222CB1" w:rsidRPr="004A2C75">
        <w:rPr>
          <w:rFonts w:ascii="Verdana" w:hAnsi="Verdana"/>
          <w:color w:val="2E74B5" w:themeColor="accent5" w:themeShade="BF"/>
          <w:sz w:val="20"/>
          <w:szCs w:val="20"/>
        </w:rPr>
        <w:t>została ona pozbawiona prawa</w:t>
      </w:r>
      <w:r w:rsidR="00BE3CC9" w:rsidRPr="004A2C75">
        <w:rPr>
          <w:rFonts w:ascii="Verdana" w:hAnsi="Verdana"/>
          <w:color w:val="2E74B5" w:themeColor="accent5" w:themeShade="BF"/>
          <w:sz w:val="20"/>
          <w:szCs w:val="20"/>
        </w:rPr>
        <w:t xml:space="preserve">. Co więcej pozbawiając skarżącą prawa, które służyło szczególnemu interesowi społecznemu w zakresie reintegracji rynku pracy, władze węgierskie naraziły ją na </w:t>
      </w:r>
      <w:r w:rsidR="00BE3CC9" w:rsidRPr="004A2C75">
        <w:rPr>
          <w:rFonts w:ascii="Verdana" w:hAnsi="Verdana"/>
          <w:color w:val="2E74B5" w:themeColor="accent5" w:themeShade="BF"/>
          <w:sz w:val="20"/>
          <w:szCs w:val="20"/>
        </w:rPr>
        <w:lastRenderedPageBreak/>
        <w:t xml:space="preserve">poniesienie nadmiernego obciążenia. </w:t>
      </w:r>
    </w:p>
    <w:p w14:paraId="696A569C" w14:textId="77777777" w:rsidR="00BE3CC9" w:rsidRPr="004A2C75" w:rsidRDefault="00A604B3" w:rsidP="00F76DF1">
      <w:pPr>
        <w:widowControl w:val="0"/>
        <w:autoSpaceDE w:val="0"/>
        <w:autoSpaceDN w:val="0"/>
        <w:adjustRightInd w:val="0"/>
        <w:rPr>
          <w:rFonts w:ascii="Verdana" w:hAnsi="Verdana" w:cs="Verdana"/>
          <w:b/>
          <w:bCs/>
          <w:color w:val="0B5CAE"/>
          <w:sz w:val="20"/>
          <w:szCs w:val="20"/>
          <w:u w:val="single"/>
        </w:rPr>
      </w:pPr>
      <w:r w:rsidRPr="004A2C75">
        <w:rPr>
          <w:rFonts w:ascii="Verdana" w:hAnsi="Verdana" w:cs="Verdana"/>
          <w:b/>
          <w:bCs/>
          <w:color w:val="0B5CAE"/>
          <w:sz w:val="20"/>
          <w:szCs w:val="20"/>
          <w:u w:val="single"/>
        </w:rPr>
        <w:t xml:space="preserve">Da Conceição Mateus przeciwko Portugalii </w:t>
      </w:r>
      <w:r w:rsidR="00B71245" w:rsidRPr="004A2C75">
        <w:rPr>
          <w:rFonts w:ascii="Verdana" w:hAnsi="Verdana" w:cs="Verdana"/>
          <w:b/>
          <w:bCs/>
          <w:color w:val="0B5CAE"/>
          <w:sz w:val="20"/>
          <w:szCs w:val="20"/>
          <w:u w:val="single"/>
        </w:rPr>
        <w:t>oraz</w:t>
      </w:r>
      <w:r w:rsidRPr="004A2C75">
        <w:rPr>
          <w:rFonts w:ascii="Verdana" w:hAnsi="Verdana" w:cs="Verdana"/>
          <w:b/>
          <w:bCs/>
          <w:color w:val="0B5CAE"/>
          <w:sz w:val="20"/>
          <w:szCs w:val="20"/>
          <w:u w:val="single"/>
        </w:rPr>
        <w:t xml:space="preserve"> Santos Januário przeciwko Portugal</w:t>
      </w:r>
      <w:r w:rsidR="00BE3CC9" w:rsidRPr="004A2C75">
        <w:rPr>
          <w:rFonts w:ascii="Verdana" w:hAnsi="Verdana" w:cs="Verdana"/>
          <w:b/>
          <w:bCs/>
          <w:color w:val="0B5CAE"/>
          <w:sz w:val="20"/>
          <w:szCs w:val="20"/>
          <w:u w:val="single"/>
        </w:rPr>
        <w:t xml:space="preserve">ii </w:t>
      </w:r>
    </w:p>
    <w:p w14:paraId="2F899715" w14:textId="77777777" w:rsidR="00222CB1" w:rsidRPr="004A2C75" w:rsidRDefault="00A604B3" w:rsidP="00F76DF1">
      <w:pPr>
        <w:widowControl w:val="0"/>
        <w:autoSpaceDE w:val="0"/>
        <w:autoSpaceDN w:val="0"/>
        <w:adjustRightInd w:val="0"/>
        <w:rPr>
          <w:rFonts w:ascii="Verdana" w:hAnsi="Verdana" w:cs="Verdana"/>
          <w:b/>
          <w:bCs/>
          <w:color w:val="0B5CAE"/>
          <w:sz w:val="20"/>
          <w:szCs w:val="20"/>
          <w:u w:val="single"/>
        </w:rPr>
      </w:pPr>
      <w:r w:rsidRPr="004A2C75">
        <w:rPr>
          <w:rFonts w:ascii="Verdana" w:hAnsi="Verdana" w:cs="Verdana"/>
          <w:bCs/>
          <w:color w:val="767171" w:themeColor="background2" w:themeShade="80"/>
          <w:sz w:val="20"/>
          <w:szCs w:val="20"/>
        </w:rPr>
        <w:t>8 października 2013</w:t>
      </w:r>
      <w:r w:rsidR="00B71245" w:rsidRPr="004A2C75">
        <w:rPr>
          <w:rFonts w:ascii="Verdana" w:hAnsi="Verdana" w:cs="Verdana"/>
          <w:bCs/>
          <w:color w:val="767171" w:themeColor="background2" w:themeShade="80"/>
          <w:sz w:val="20"/>
          <w:szCs w:val="20"/>
        </w:rPr>
        <w:t>r.</w:t>
      </w:r>
      <w:r w:rsidRPr="004A2C75">
        <w:rPr>
          <w:rFonts w:ascii="Verdana" w:hAnsi="Verdana" w:cs="Verdana"/>
          <w:bCs/>
          <w:color w:val="767171" w:themeColor="background2" w:themeShade="80"/>
          <w:sz w:val="20"/>
          <w:szCs w:val="20"/>
        </w:rPr>
        <w:t xml:space="preserve"> (decyzja w sprawie dopuszczalności)</w:t>
      </w:r>
      <w:r w:rsidRPr="004A2C75">
        <w:rPr>
          <w:rFonts w:ascii="Verdana" w:hAnsi="Verdana" w:cs="Verdana"/>
          <w:b/>
          <w:bCs/>
          <w:color w:val="767171" w:themeColor="background2" w:themeShade="80"/>
          <w:sz w:val="20"/>
          <w:szCs w:val="20"/>
          <w:u w:val="single"/>
        </w:rPr>
        <w:t xml:space="preserve"> </w:t>
      </w:r>
    </w:p>
    <w:p w14:paraId="4C75D67F" w14:textId="77777777" w:rsidR="001D0F76" w:rsidRPr="004A2C75" w:rsidRDefault="004972EE" w:rsidP="00F76DF1">
      <w:pPr>
        <w:widowControl w:val="0"/>
        <w:autoSpaceDE w:val="0"/>
        <w:autoSpaceDN w:val="0"/>
        <w:adjustRightInd w:val="0"/>
        <w:jc w:val="both"/>
        <w:rPr>
          <w:rFonts w:ascii="Verdana" w:hAnsi="Verdana" w:cs="Verdana"/>
          <w:b/>
          <w:bCs/>
          <w:color w:val="0B5CAE"/>
          <w:sz w:val="20"/>
          <w:szCs w:val="20"/>
          <w:u w:val="single"/>
        </w:rPr>
      </w:pPr>
      <w:r w:rsidRPr="004A2C75">
        <w:rPr>
          <w:rFonts w:ascii="Verdana" w:hAnsi="Verdana" w:cs="Verdana"/>
          <w:bCs/>
          <w:color w:val="000000" w:themeColor="text1"/>
          <w:sz w:val="20"/>
          <w:szCs w:val="20"/>
        </w:rPr>
        <w:t xml:space="preserve">Sprawy te dotyczą </w:t>
      </w:r>
      <w:r w:rsidR="008B0FA1" w:rsidRPr="004A2C75">
        <w:rPr>
          <w:rFonts w:ascii="Verdana" w:hAnsi="Verdana" w:cs="Verdana"/>
          <w:bCs/>
          <w:color w:val="000000" w:themeColor="text1"/>
          <w:sz w:val="20"/>
          <w:szCs w:val="20"/>
        </w:rPr>
        <w:t>redukcji wypłacanego świadczenia emerytalnego</w:t>
      </w:r>
      <w:r w:rsidR="00EF227C" w:rsidRPr="004A2C75">
        <w:rPr>
          <w:rFonts w:ascii="Verdana" w:hAnsi="Verdana" w:cs="Verdana"/>
          <w:bCs/>
          <w:color w:val="000000" w:themeColor="text1"/>
          <w:sz w:val="20"/>
          <w:szCs w:val="20"/>
        </w:rPr>
        <w:t xml:space="preserve"> w sektorze publicznym w 201</w:t>
      </w:r>
      <w:r w:rsidR="00B71245" w:rsidRPr="004A2C75">
        <w:rPr>
          <w:rFonts w:ascii="Verdana" w:hAnsi="Verdana" w:cs="Verdana"/>
          <w:bCs/>
          <w:color w:val="000000" w:themeColor="text1"/>
          <w:sz w:val="20"/>
          <w:szCs w:val="20"/>
        </w:rPr>
        <w:t>2 r.</w:t>
      </w:r>
      <w:r w:rsidRPr="004A2C75">
        <w:rPr>
          <w:rFonts w:ascii="Verdana" w:hAnsi="Verdana" w:cs="Verdana"/>
          <w:bCs/>
          <w:color w:val="000000" w:themeColor="text1"/>
          <w:sz w:val="20"/>
          <w:szCs w:val="20"/>
        </w:rPr>
        <w:t xml:space="preserve">, co było wynikiem obniżenia wydatków rządu Portugalskiego. </w:t>
      </w:r>
      <w:r w:rsidR="00EF227C" w:rsidRPr="004A2C75">
        <w:rPr>
          <w:rFonts w:ascii="Verdana" w:hAnsi="Verdana" w:cs="Times New Roman"/>
          <w:sz w:val="20"/>
          <w:szCs w:val="20"/>
        </w:rPr>
        <w:t>S</w:t>
      </w:r>
      <w:r w:rsidR="008B0FA1" w:rsidRPr="004A2C75">
        <w:rPr>
          <w:rFonts w:ascii="Verdana" w:hAnsi="Verdana" w:cs="Times New Roman"/>
          <w:sz w:val="20"/>
          <w:szCs w:val="20"/>
        </w:rPr>
        <w:t>karżący wskazali na wpływ obniżenia wysokości świadczeń na ich sytuację finansową i warunki życia.</w:t>
      </w:r>
    </w:p>
    <w:p w14:paraId="5FB2A61E" w14:textId="77777777" w:rsidR="008B0FA1" w:rsidRPr="004A2C75" w:rsidRDefault="008B0FA1" w:rsidP="00F76DF1">
      <w:pPr>
        <w:widowControl w:val="0"/>
        <w:autoSpaceDE w:val="0"/>
        <w:autoSpaceDN w:val="0"/>
        <w:adjustRightInd w:val="0"/>
        <w:spacing w:after="240"/>
        <w:jc w:val="both"/>
        <w:rPr>
          <w:rFonts w:ascii="Verdana" w:hAnsi="Verdana" w:cs="Times"/>
          <w:color w:val="2E74B5" w:themeColor="accent5" w:themeShade="BF"/>
          <w:sz w:val="20"/>
          <w:szCs w:val="20"/>
        </w:rPr>
      </w:pPr>
      <w:r w:rsidRPr="004A2C75">
        <w:rPr>
          <w:rFonts w:ascii="Verdana" w:hAnsi="Verdana" w:cs="Verdana"/>
          <w:bCs/>
          <w:color w:val="2E74B5" w:themeColor="accent5" w:themeShade="BF"/>
          <w:sz w:val="20"/>
          <w:szCs w:val="20"/>
        </w:rPr>
        <w:t>Trybunał zdecydował rozpatrzyć skargi w kontekście Artykułu 1 Protokołu 1. Stwierdził, iż w przypadkach gdy dana osoba była upoważniona z mocy prawa do pobrania emerytury Artykuł 1 Protokołu 1 zezwalał państwu członkowskiemu na obniżenie świadczenia emerytalnego</w:t>
      </w:r>
      <w:r w:rsidR="004E2996" w:rsidRPr="004A2C75">
        <w:rPr>
          <w:rFonts w:ascii="Verdana" w:hAnsi="Verdana" w:cs="Verdana"/>
          <w:bCs/>
          <w:color w:val="2E74B5" w:themeColor="accent5" w:themeShade="BF"/>
          <w:sz w:val="20"/>
          <w:szCs w:val="20"/>
        </w:rPr>
        <w:t xml:space="preserve"> gdy leżało to w interesie publicznym, tak długo jak została zachowana sprawiedliwa równowaga pomiędzy ogólnym interesem społeczeństwa a ochroną praw osoby indywidualnej. Główną kwestią w tych skargach było zachowanie sprawiedliwej równowagi. Trybunał zauważył, iż pomimo tego, że ograniczone zostały dodatki świąteczne, kontynuowano wypłatę podstawowej pensji miesięczne</w:t>
      </w:r>
      <w:r w:rsidR="007B0CE5" w:rsidRPr="004A2C75">
        <w:rPr>
          <w:rFonts w:ascii="Verdana" w:hAnsi="Verdana" w:cs="Verdana"/>
          <w:bCs/>
          <w:color w:val="2E74B5" w:themeColor="accent5" w:themeShade="BF"/>
          <w:sz w:val="20"/>
          <w:szCs w:val="20"/>
        </w:rPr>
        <w:t>j w normalnej stawce w 2012 r</w:t>
      </w:r>
      <w:r w:rsidR="004E2996" w:rsidRPr="004A2C75">
        <w:rPr>
          <w:rFonts w:ascii="Verdana" w:hAnsi="Verdana" w:cs="Verdana"/>
          <w:bCs/>
          <w:color w:val="2E74B5" w:themeColor="accent5" w:themeShade="BF"/>
          <w:sz w:val="20"/>
          <w:szCs w:val="20"/>
        </w:rPr>
        <w:t>. Ponadto ograniczenie pensji było środkiem tymczasowym i trwało jedynie przez trzy lata między 2012 a 2014</w:t>
      </w:r>
      <w:r w:rsidR="007B0CE5" w:rsidRPr="004A2C75">
        <w:rPr>
          <w:rFonts w:ascii="Verdana" w:hAnsi="Verdana" w:cs="Verdana"/>
          <w:bCs/>
          <w:color w:val="2E74B5" w:themeColor="accent5" w:themeShade="BF"/>
          <w:sz w:val="20"/>
          <w:szCs w:val="20"/>
        </w:rPr>
        <w:t>r</w:t>
      </w:r>
      <w:r w:rsidR="004E2996" w:rsidRPr="004A2C75">
        <w:rPr>
          <w:rFonts w:ascii="Verdana" w:hAnsi="Verdana" w:cs="Verdana"/>
          <w:bCs/>
          <w:color w:val="2E74B5" w:themeColor="accent5" w:themeShade="BF"/>
          <w:sz w:val="20"/>
          <w:szCs w:val="20"/>
        </w:rPr>
        <w:t>.</w:t>
      </w:r>
      <w:r w:rsidR="0094000E" w:rsidRPr="004A2C75">
        <w:rPr>
          <w:rFonts w:ascii="Verdana" w:hAnsi="Verdana" w:cs="Verdana"/>
          <w:bCs/>
          <w:color w:val="2E74B5" w:themeColor="accent5" w:themeShade="BF"/>
          <w:sz w:val="20"/>
          <w:szCs w:val="20"/>
        </w:rPr>
        <w:t xml:space="preserve"> Ingerencja w prawo skarżących do niezaburzonego korzystania z prawa własności była ograniczona zarówno czasowo jak i wartościowo, Portugalia działała w zakresie pola manewru jakim dysponowała („margines swobodnego uznania”) w kwestii decyzji o środkach polityki gospodarczej oraz społecznej. </w:t>
      </w:r>
      <w:r w:rsidR="00F15D49" w:rsidRPr="004A2C75">
        <w:rPr>
          <w:rFonts w:ascii="Verdana" w:hAnsi="Verdana" w:cs="Verdana"/>
          <w:color w:val="2E74B5" w:themeColor="accent5" w:themeShade="BF"/>
          <w:sz w:val="20"/>
          <w:szCs w:val="20"/>
        </w:rPr>
        <w:t xml:space="preserve">W świetle </w:t>
      </w:r>
      <w:r w:rsidR="0094000E" w:rsidRPr="004A2C75">
        <w:rPr>
          <w:rFonts w:ascii="Verdana" w:hAnsi="Verdana" w:cs="Verdana"/>
          <w:color w:val="2E74B5" w:themeColor="accent5" w:themeShade="BF"/>
          <w:sz w:val="20"/>
          <w:szCs w:val="20"/>
        </w:rPr>
        <w:t>szczególnych problemów finansowych</w:t>
      </w:r>
      <w:r w:rsidR="00F15D49" w:rsidRPr="004A2C75">
        <w:rPr>
          <w:rFonts w:ascii="Verdana" w:hAnsi="Verdana" w:cs="Verdana"/>
          <w:color w:val="2E74B5" w:themeColor="accent5" w:themeShade="BF"/>
          <w:sz w:val="20"/>
          <w:szCs w:val="20"/>
        </w:rPr>
        <w:t xml:space="preserve">, z którymi zmagała się Portugalia w przedmiotowym czasie i biorąc pod uwagę ograniczoną i tymczasową naturę redukcji w wypłacanych pensjach, Trybunał stwierdził, iż została zachowana sprawiedliwa równowaga pomiędzy interesem ogółu a prawami skarżących. </w:t>
      </w:r>
      <w:r w:rsidR="0094000E" w:rsidRPr="004A2C75">
        <w:rPr>
          <w:rFonts w:ascii="Verdana" w:hAnsi="Verdana" w:cs="Verdana"/>
          <w:color w:val="2E74B5" w:themeColor="accent5" w:themeShade="BF"/>
          <w:sz w:val="20"/>
          <w:szCs w:val="20"/>
        </w:rPr>
        <w:t>W rezultacie</w:t>
      </w:r>
      <w:r w:rsidR="00F15D49" w:rsidRPr="004A2C75">
        <w:rPr>
          <w:rFonts w:ascii="Verdana" w:hAnsi="Verdana" w:cs="Verdana"/>
          <w:color w:val="2E74B5" w:themeColor="accent5" w:themeShade="BF"/>
          <w:sz w:val="20"/>
          <w:szCs w:val="20"/>
        </w:rPr>
        <w:t xml:space="preserve"> stwierdzono, iż skargi są </w:t>
      </w:r>
      <w:r w:rsidR="0094000E" w:rsidRPr="004A2C75">
        <w:rPr>
          <w:rFonts w:ascii="Verdana" w:hAnsi="Verdana" w:cs="Verdana"/>
          <w:color w:val="2E74B5" w:themeColor="accent5" w:themeShade="BF"/>
          <w:sz w:val="20"/>
          <w:szCs w:val="20"/>
        </w:rPr>
        <w:t>oczywiście</w:t>
      </w:r>
      <w:r w:rsidR="00F15D49" w:rsidRPr="004A2C75">
        <w:rPr>
          <w:rFonts w:ascii="Verdana" w:hAnsi="Verdana" w:cs="Verdana"/>
          <w:color w:val="2E74B5" w:themeColor="accent5" w:themeShade="BF"/>
          <w:sz w:val="20"/>
          <w:szCs w:val="20"/>
        </w:rPr>
        <w:t xml:space="preserve"> bezzasadne a Trybunał uznał je za </w:t>
      </w:r>
      <w:r w:rsidR="00F15D49" w:rsidRPr="004A2C75">
        <w:rPr>
          <w:rFonts w:ascii="Verdana" w:hAnsi="Verdana" w:cs="Verdana"/>
          <w:b/>
          <w:color w:val="2E74B5" w:themeColor="accent5" w:themeShade="BF"/>
          <w:sz w:val="20"/>
          <w:szCs w:val="20"/>
        </w:rPr>
        <w:t>niedopuszczalne.</w:t>
      </w:r>
      <w:r w:rsidR="00F15D49" w:rsidRPr="004A2C75">
        <w:rPr>
          <w:rFonts w:ascii="Verdana" w:hAnsi="Verdana" w:cs="Verdana"/>
          <w:color w:val="2E74B5" w:themeColor="accent5" w:themeShade="BF"/>
          <w:sz w:val="20"/>
          <w:szCs w:val="20"/>
        </w:rPr>
        <w:t xml:space="preserve"> </w:t>
      </w:r>
    </w:p>
    <w:p w14:paraId="639BC0E3" w14:textId="77777777" w:rsidR="00F15D49" w:rsidRPr="004A2C75" w:rsidRDefault="00F15D49" w:rsidP="00F76DF1">
      <w:pPr>
        <w:widowControl w:val="0"/>
        <w:autoSpaceDE w:val="0"/>
        <w:autoSpaceDN w:val="0"/>
        <w:adjustRightInd w:val="0"/>
        <w:rPr>
          <w:rFonts w:ascii="Verdana" w:hAnsi="Verdana" w:cs="Verdana"/>
          <w:b/>
          <w:bCs/>
          <w:color w:val="0B5CAE"/>
          <w:sz w:val="20"/>
          <w:szCs w:val="20"/>
          <w:u w:val="single"/>
        </w:rPr>
      </w:pPr>
      <w:r w:rsidRPr="004A2C75">
        <w:rPr>
          <w:rFonts w:ascii="Verdana" w:hAnsi="Verdana" w:cs="Verdana"/>
          <w:b/>
          <w:bCs/>
          <w:color w:val="0B5CAE"/>
          <w:sz w:val="20"/>
          <w:szCs w:val="20"/>
          <w:u w:val="single"/>
        </w:rPr>
        <w:t xml:space="preserve">Savickas przeciwko Litwie </w:t>
      </w:r>
      <w:r w:rsidR="000C127D" w:rsidRPr="004A2C75">
        <w:rPr>
          <w:rFonts w:ascii="Verdana" w:hAnsi="Verdana" w:cs="Verdana"/>
          <w:b/>
          <w:bCs/>
          <w:color w:val="0B5CAE"/>
          <w:sz w:val="20"/>
          <w:szCs w:val="20"/>
          <w:u w:val="single"/>
        </w:rPr>
        <w:t>oraz</w:t>
      </w:r>
      <w:r w:rsidR="005501EA" w:rsidRPr="004A2C75">
        <w:rPr>
          <w:rFonts w:ascii="Verdana" w:hAnsi="Verdana" w:cs="Verdana"/>
          <w:b/>
          <w:bCs/>
          <w:color w:val="0B5CAE"/>
          <w:sz w:val="20"/>
          <w:szCs w:val="20"/>
          <w:u w:val="single"/>
        </w:rPr>
        <w:t xml:space="preserve"> pięć innych skarg </w:t>
      </w:r>
    </w:p>
    <w:p w14:paraId="6943A532" w14:textId="77777777" w:rsidR="00661CDA" w:rsidRPr="004A2C75" w:rsidRDefault="00F15D49" w:rsidP="00F76DF1">
      <w:pPr>
        <w:rPr>
          <w:rFonts w:ascii="Verdana" w:hAnsi="Verdana"/>
          <w:color w:val="767171" w:themeColor="background2" w:themeShade="80"/>
          <w:sz w:val="20"/>
          <w:szCs w:val="20"/>
        </w:rPr>
      </w:pPr>
      <w:r w:rsidRPr="004A2C75">
        <w:rPr>
          <w:rFonts w:ascii="Verdana" w:hAnsi="Verdana"/>
          <w:color w:val="767171" w:themeColor="background2" w:themeShade="80"/>
          <w:sz w:val="20"/>
          <w:szCs w:val="20"/>
        </w:rPr>
        <w:t>15 październik 2013</w:t>
      </w:r>
      <w:r w:rsidR="007B0CE5" w:rsidRPr="004A2C75">
        <w:rPr>
          <w:rFonts w:ascii="Verdana" w:hAnsi="Verdana"/>
          <w:color w:val="767171" w:themeColor="background2" w:themeShade="80"/>
          <w:sz w:val="20"/>
          <w:szCs w:val="20"/>
        </w:rPr>
        <w:t>r.</w:t>
      </w:r>
      <w:r w:rsidRPr="004A2C75">
        <w:rPr>
          <w:rFonts w:ascii="Verdana" w:hAnsi="Verdana"/>
          <w:color w:val="767171" w:themeColor="background2" w:themeShade="80"/>
          <w:sz w:val="20"/>
          <w:szCs w:val="20"/>
        </w:rPr>
        <w:t xml:space="preserve"> (decyzja w sprawie dopuszczalności) </w:t>
      </w:r>
    </w:p>
    <w:p w14:paraId="63255C1C" w14:textId="77777777" w:rsidR="003D0C73" w:rsidRPr="004A2C75" w:rsidRDefault="00F15D49" w:rsidP="00F76DF1">
      <w:pPr>
        <w:widowControl w:val="0"/>
        <w:autoSpaceDE w:val="0"/>
        <w:autoSpaceDN w:val="0"/>
        <w:adjustRightInd w:val="0"/>
        <w:jc w:val="both"/>
        <w:rPr>
          <w:rFonts w:ascii="Verdana" w:hAnsi="Verdana" w:cs="Times"/>
          <w:color w:val="000000"/>
          <w:sz w:val="20"/>
          <w:szCs w:val="20"/>
        </w:rPr>
      </w:pPr>
      <w:r w:rsidRPr="004A2C75">
        <w:rPr>
          <w:rFonts w:ascii="Verdana" w:hAnsi="Verdana"/>
          <w:color w:val="000000" w:themeColor="text1"/>
          <w:sz w:val="20"/>
          <w:szCs w:val="20"/>
        </w:rPr>
        <w:t xml:space="preserve">Sprawa ta dotyczyła głównie długości postępowań sądowych wszczętych </w:t>
      </w:r>
      <w:r w:rsidR="000C127D" w:rsidRPr="004A2C75">
        <w:rPr>
          <w:rFonts w:ascii="Verdana" w:hAnsi="Verdana"/>
          <w:color w:val="000000" w:themeColor="text1"/>
          <w:sz w:val="20"/>
          <w:szCs w:val="20"/>
        </w:rPr>
        <w:t xml:space="preserve">przez sędziów </w:t>
      </w:r>
      <w:r w:rsidRPr="004A2C75">
        <w:rPr>
          <w:rFonts w:ascii="Verdana" w:hAnsi="Verdana"/>
          <w:color w:val="000000" w:themeColor="text1"/>
          <w:sz w:val="20"/>
          <w:szCs w:val="20"/>
        </w:rPr>
        <w:t xml:space="preserve">litewskich, których pensje zostały zredukowane jako część serii środków oszczędnościowych. Troje skarżących podnosiło również, iż </w:t>
      </w:r>
      <w:r w:rsidR="003D0C73" w:rsidRPr="004A2C75">
        <w:rPr>
          <w:rFonts w:ascii="Verdana" w:hAnsi="Verdana"/>
          <w:color w:val="000000" w:themeColor="text1"/>
          <w:sz w:val="20"/>
          <w:szCs w:val="20"/>
        </w:rPr>
        <w:t>zgodnie z obowiązującym prawem władze litewskie nie miały obowiązku wypłaty niewypłaconych</w:t>
      </w:r>
      <w:r w:rsidR="000C127D" w:rsidRPr="004A2C75">
        <w:rPr>
          <w:rFonts w:ascii="Verdana" w:hAnsi="Verdana"/>
          <w:color w:val="000000" w:themeColor="text1"/>
          <w:sz w:val="20"/>
          <w:szCs w:val="20"/>
        </w:rPr>
        <w:t xml:space="preserve"> wcześniej</w:t>
      </w:r>
      <w:r w:rsidR="003D0C73" w:rsidRPr="004A2C75">
        <w:rPr>
          <w:rFonts w:ascii="Verdana" w:hAnsi="Verdana"/>
          <w:color w:val="000000" w:themeColor="text1"/>
          <w:sz w:val="20"/>
          <w:szCs w:val="20"/>
        </w:rPr>
        <w:t xml:space="preserve"> pensji w całości i ograniczyli się do okresu trzech lat w trakcie których pensje mogły zostać wypłacone. </w:t>
      </w:r>
      <w:r w:rsidR="000C127D" w:rsidRPr="004A2C75">
        <w:rPr>
          <w:rFonts w:ascii="Verdana" w:hAnsi="Verdana"/>
          <w:color w:val="000000" w:themeColor="text1"/>
          <w:sz w:val="20"/>
          <w:szCs w:val="20"/>
        </w:rPr>
        <w:t xml:space="preserve">Twierdzili oni, iż zostali pozbawieni swojej własności. </w:t>
      </w:r>
    </w:p>
    <w:p w14:paraId="2B4B7C0F" w14:textId="524BE1FF" w:rsidR="00B92435" w:rsidRPr="004A2C75" w:rsidRDefault="003D0C73" w:rsidP="00F76DF1">
      <w:pPr>
        <w:widowControl w:val="0"/>
        <w:autoSpaceDE w:val="0"/>
        <w:autoSpaceDN w:val="0"/>
        <w:adjustRightInd w:val="0"/>
        <w:spacing w:after="240"/>
        <w:jc w:val="both"/>
        <w:rPr>
          <w:rFonts w:ascii="Verdana" w:hAnsi="Verdana" w:cs="Times"/>
          <w:color w:val="2E74B5" w:themeColor="accent5" w:themeShade="BF"/>
          <w:sz w:val="20"/>
          <w:szCs w:val="20"/>
        </w:rPr>
      </w:pPr>
      <w:r w:rsidRPr="004A2C75">
        <w:rPr>
          <w:rFonts w:ascii="Verdana" w:hAnsi="Verdana"/>
          <w:color w:val="2E74B5" w:themeColor="accent5" w:themeShade="BF"/>
          <w:sz w:val="20"/>
          <w:szCs w:val="20"/>
        </w:rPr>
        <w:t xml:space="preserve">Trybunał </w:t>
      </w:r>
      <w:r w:rsidR="000C127D" w:rsidRPr="004A2C75">
        <w:rPr>
          <w:rFonts w:ascii="Verdana" w:hAnsi="Verdana"/>
          <w:color w:val="2E74B5" w:themeColor="accent5" w:themeShade="BF"/>
          <w:sz w:val="20"/>
          <w:szCs w:val="20"/>
        </w:rPr>
        <w:t>uznał</w:t>
      </w:r>
      <w:r w:rsidRPr="004A2C75">
        <w:rPr>
          <w:rFonts w:ascii="Verdana" w:hAnsi="Verdana"/>
          <w:color w:val="2E74B5" w:themeColor="accent5" w:themeShade="BF"/>
          <w:sz w:val="20"/>
          <w:szCs w:val="20"/>
        </w:rPr>
        <w:t xml:space="preserve">, iż władze litewskie nie posunęły się za daleko w przyjmowaniu i utrzymaniu tymczasowych redukcji pensji sędziów i stwierdził, iż skarga </w:t>
      </w:r>
      <w:r w:rsidR="00B92435" w:rsidRPr="004A2C75">
        <w:rPr>
          <w:rFonts w:ascii="Verdana" w:hAnsi="Verdana"/>
          <w:color w:val="2E74B5" w:themeColor="accent5" w:themeShade="BF"/>
          <w:sz w:val="20"/>
          <w:szCs w:val="20"/>
        </w:rPr>
        <w:t xml:space="preserve">z Artykułu 1 Protokołu 1 jest </w:t>
      </w:r>
      <w:r w:rsidR="00B92435" w:rsidRPr="004A2C75">
        <w:rPr>
          <w:rFonts w:ascii="Verdana" w:hAnsi="Verdana"/>
          <w:b/>
          <w:color w:val="2E74B5" w:themeColor="accent5" w:themeShade="BF"/>
          <w:sz w:val="20"/>
          <w:szCs w:val="20"/>
        </w:rPr>
        <w:t>niedopuszcza</w:t>
      </w:r>
      <w:r w:rsidR="000630C8">
        <w:rPr>
          <w:rFonts w:ascii="Verdana" w:hAnsi="Verdana"/>
          <w:b/>
          <w:color w:val="2E74B5" w:themeColor="accent5" w:themeShade="BF"/>
          <w:sz w:val="20"/>
          <w:szCs w:val="20"/>
        </w:rPr>
        <w:t>l</w:t>
      </w:r>
      <w:r w:rsidR="00B92435" w:rsidRPr="004A2C75">
        <w:rPr>
          <w:rFonts w:ascii="Verdana" w:hAnsi="Verdana"/>
          <w:b/>
          <w:color w:val="2E74B5" w:themeColor="accent5" w:themeShade="BF"/>
          <w:sz w:val="20"/>
          <w:szCs w:val="20"/>
        </w:rPr>
        <w:t>na</w:t>
      </w:r>
      <w:r w:rsidR="00B92435" w:rsidRPr="004A2C75">
        <w:rPr>
          <w:rFonts w:ascii="Verdana" w:hAnsi="Verdana"/>
          <w:color w:val="2E74B5" w:themeColor="accent5" w:themeShade="BF"/>
          <w:sz w:val="20"/>
          <w:szCs w:val="20"/>
        </w:rPr>
        <w:t xml:space="preserve"> jako </w:t>
      </w:r>
      <w:r w:rsidR="000C127D" w:rsidRPr="004A2C75">
        <w:rPr>
          <w:rFonts w:ascii="Verdana" w:hAnsi="Verdana"/>
          <w:color w:val="2E74B5" w:themeColor="accent5" w:themeShade="BF"/>
          <w:sz w:val="20"/>
          <w:szCs w:val="20"/>
        </w:rPr>
        <w:t>oczywiście bezzasadne</w:t>
      </w:r>
      <w:r w:rsidR="00B92435" w:rsidRPr="004A2C75">
        <w:rPr>
          <w:rFonts w:ascii="Verdana" w:hAnsi="Verdana"/>
          <w:color w:val="2E74B5" w:themeColor="accent5" w:themeShade="BF"/>
          <w:sz w:val="20"/>
          <w:szCs w:val="20"/>
        </w:rPr>
        <w:t xml:space="preserve">. Zauważył w szczególności, iż  środki oszczędnościowe zostały usprawiedliwione w odniesieniu do istnienia </w:t>
      </w:r>
      <w:r w:rsidR="000C127D" w:rsidRPr="004A2C75">
        <w:rPr>
          <w:rFonts w:ascii="Verdana" w:hAnsi="Verdana"/>
          <w:color w:val="2E74B5" w:themeColor="accent5" w:themeShade="BF"/>
          <w:sz w:val="20"/>
          <w:szCs w:val="20"/>
        </w:rPr>
        <w:t>szczególnie</w:t>
      </w:r>
      <w:r w:rsidR="00B92435" w:rsidRPr="004A2C75">
        <w:rPr>
          <w:rFonts w:ascii="Verdana" w:hAnsi="Verdana"/>
          <w:color w:val="2E74B5" w:themeColor="accent5" w:themeShade="BF"/>
          <w:sz w:val="20"/>
          <w:szCs w:val="20"/>
        </w:rPr>
        <w:t xml:space="preserve"> trudnej sytuacji ekonomicznej i finansowej na Litwie. Co więcej, zgodnie z Litewskim Trybunałem Konstytucyjnym redukcja pensji urzędników publicznych byłą konieczna </w:t>
      </w:r>
      <w:r w:rsidR="000C127D" w:rsidRPr="004A2C75">
        <w:rPr>
          <w:rFonts w:ascii="Verdana" w:hAnsi="Verdana"/>
          <w:color w:val="2E74B5" w:themeColor="accent5" w:themeShade="BF"/>
          <w:sz w:val="20"/>
          <w:szCs w:val="20"/>
        </w:rPr>
        <w:t>w celu sfinansowania, edukacji, opieki zd</w:t>
      </w:r>
      <w:r w:rsidR="00B92435" w:rsidRPr="004A2C75">
        <w:rPr>
          <w:rFonts w:ascii="Verdana" w:hAnsi="Verdana"/>
          <w:color w:val="2E74B5" w:themeColor="accent5" w:themeShade="BF"/>
          <w:sz w:val="20"/>
          <w:szCs w:val="20"/>
        </w:rPr>
        <w:t>r</w:t>
      </w:r>
      <w:r w:rsidR="000C127D" w:rsidRPr="004A2C75">
        <w:rPr>
          <w:rFonts w:ascii="Verdana" w:hAnsi="Verdana"/>
          <w:color w:val="2E74B5" w:themeColor="accent5" w:themeShade="BF"/>
          <w:sz w:val="20"/>
          <w:szCs w:val="20"/>
        </w:rPr>
        <w:t>o</w:t>
      </w:r>
      <w:r w:rsidR="00B92435" w:rsidRPr="004A2C75">
        <w:rPr>
          <w:rFonts w:ascii="Verdana" w:hAnsi="Verdana"/>
          <w:color w:val="2E74B5" w:themeColor="accent5" w:themeShade="BF"/>
          <w:sz w:val="20"/>
          <w:szCs w:val="20"/>
        </w:rPr>
        <w:t xml:space="preserve">wotnej, </w:t>
      </w:r>
      <w:r w:rsidR="000C127D" w:rsidRPr="004A2C75">
        <w:rPr>
          <w:rFonts w:ascii="Verdana" w:hAnsi="Verdana"/>
          <w:color w:val="2E74B5" w:themeColor="accent5" w:themeShade="BF"/>
          <w:sz w:val="20"/>
          <w:szCs w:val="20"/>
        </w:rPr>
        <w:t xml:space="preserve">społecznej </w:t>
      </w:r>
      <w:r w:rsidR="00B92435" w:rsidRPr="004A2C75">
        <w:rPr>
          <w:rFonts w:ascii="Verdana" w:hAnsi="Verdana"/>
          <w:color w:val="2E74B5" w:themeColor="accent5" w:themeShade="BF"/>
          <w:sz w:val="20"/>
          <w:szCs w:val="20"/>
        </w:rPr>
        <w:t xml:space="preserve"> i innych potrzeb społeczeństwa. Trybunał </w:t>
      </w:r>
      <w:r w:rsidR="000C127D" w:rsidRPr="004A2C75">
        <w:rPr>
          <w:rFonts w:ascii="Verdana" w:hAnsi="Verdana"/>
          <w:color w:val="2E74B5" w:themeColor="accent5" w:themeShade="BF"/>
          <w:sz w:val="20"/>
          <w:szCs w:val="20"/>
        </w:rPr>
        <w:t xml:space="preserve">był przekonany, iż decydując się na obniżenie pensji urzędników publicznych władze Litewskie miały na uwadze interes publiczny. Trybunał stwierdził również, iż obniżka wynagrodzeń w sektorze publicznym nie odnosiła się szczególnie tylko do wymiaru sprawiedliwości. Wręcz przeciwnie redukcja ta była jedynie częścią znacznie szerszego programu dotyczącego zastosowania środków oszczędnościowych mających wpływ na wynagrodzenie w całym sektorze publicznym. W każdym przypadku redukcja wynagrodzenia sędziów nie była </w:t>
      </w:r>
      <w:r w:rsidR="00A441A1" w:rsidRPr="004A2C75">
        <w:rPr>
          <w:rFonts w:ascii="Verdana" w:hAnsi="Verdana"/>
          <w:color w:val="2E74B5" w:themeColor="accent5" w:themeShade="BF"/>
          <w:sz w:val="20"/>
          <w:szCs w:val="20"/>
        </w:rPr>
        <w:t>nieproporcjonalna i nie stanowiła zagrożenia dla ich egzystencji. Mając na uwadze, iż przepisy dotyczące redukcji wynagrodzenia niestety nie zawierały konkretnego zapisu dotyczącego ograniczenia w czasie środków oszczędnościowych Trybunał zauważył, iż w chwili przedłożenia skargi sądy litewskie i władza ustawodawcza uznały środki za tymczasowe, mające funkcjonować do momentu poprawy sytuacj</w:t>
      </w:r>
      <w:r w:rsidR="00A75088" w:rsidRPr="004A2C75">
        <w:rPr>
          <w:rFonts w:ascii="Verdana" w:hAnsi="Verdana"/>
          <w:color w:val="2E74B5" w:themeColor="accent5" w:themeShade="BF"/>
          <w:sz w:val="20"/>
          <w:szCs w:val="20"/>
        </w:rPr>
        <w:t>i gospodarczej kraju w 2003 r</w:t>
      </w:r>
      <w:r w:rsidR="00A441A1" w:rsidRPr="004A2C75">
        <w:rPr>
          <w:rFonts w:ascii="Verdana" w:hAnsi="Verdana"/>
          <w:color w:val="2E74B5" w:themeColor="accent5" w:themeShade="BF"/>
          <w:sz w:val="20"/>
          <w:szCs w:val="20"/>
        </w:rPr>
        <w:t>. Skarżący otrzymali rekompensatę z tytułu utraconego wynagrodzenia w drodze decyzji sądowej, w oparciu o</w:t>
      </w:r>
      <w:r w:rsidR="00A75088" w:rsidRPr="004A2C75">
        <w:rPr>
          <w:rFonts w:ascii="Verdana" w:hAnsi="Verdana"/>
          <w:color w:val="2E74B5" w:themeColor="accent5" w:themeShade="BF"/>
          <w:sz w:val="20"/>
          <w:szCs w:val="20"/>
        </w:rPr>
        <w:t xml:space="preserve"> przepis</w:t>
      </w:r>
      <w:r w:rsidR="008C6C63">
        <w:rPr>
          <w:rFonts w:ascii="Verdana" w:hAnsi="Verdana"/>
          <w:color w:val="2E74B5" w:themeColor="accent5" w:themeShade="BF"/>
          <w:sz w:val="20"/>
          <w:szCs w:val="20"/>
        </w:rPr>
        <w:t>y ustawy 2000</w:t>
      </w:r>
      <w:r w:rsidR="00A441A1" w:rsidRPr="004A2C75">
        <w:rPr>
          <w:rFonts w:ascii="Verdana" w:hAnsi="Verdana"/>
          <w:color w:val="2E74B5" w:themeColor="accent5" w:themeShade="BF"/>
          <w:sz w:val="20"/>
          <w:szCs w:val="20"/>
        </w:rPr>
        <w:t xml:space="preserve">. Mając na uwadze powyższe Trybunał nie uznał jakoby </w:t>
      </w:r>
      <w:r w:rsidR="00A441A1" w:rsidRPr="004A2C75">
        <w:rPr>
          <w:rFonts w:ascii="Verdana" w:hAnsi="Verdana"/>
          <w:color w:val="2E74B5" w:themeColor="accent5" w:themeShade="BF"/>
          <w:sz w:val="20"/>
          <w:szCs w:val="20"/>
        </w:rPr>
        <w:lastRenderedPageBreak/>
        <w:t xml:space="preserve">tymczasowa redukcja wynagrodzenia sędziów sprawiła, iż zostali oni nadmiernie obciążeni lub wpłynęła na ich niezależność, czy zdolność do wykonywania zawodu. </w:t>
      </w:r>
    </w:p>
    <w:p w14:paraId="67C75453" w14:textId="77777777" w:rsidR="00EA4AFA" w:rsidRPr="004A2C75" w:rsidRDefault="00EA4AFA" w:rsidP="00F76DF1">
      <w:pPr>
        <w:widowControl w:val="0"/>
        <w:autoSpaceDE w:val="0"/>
        <w:autoSpaceDN w:val="0"/>
        <w:adjustRightInd w:val="0"/>
        <w:rPr>
          <w:rFonts w:ascii="Verdana" w:hAnsi="Verdana" w:cs="Verdana"/>
          <w:b/>
          <w:bCs/>
          <w:color w:val="0B5CAE"/>
          <w:sz w:val="20"/>
          <w:szCs w:val="20"/>
          <w:u w:val="single"/>
        </w:rPr>
      </w:pPr>
      <w:r w:rsidRPr="004A2C75">
        <w:rPr>
          <w:rFonts w:ascii="Verdana" w:hAnsi="Verdana" w:cs="Verdana"/>
          <w:b/>
          <w:bCs/>
          <w:color w:val="0B5CAE"/>
          <w:sz w:val="20"/>
          <w:szCs w:val="20"/>
          <w:u w:val="single"/>
        </w:rPr>
        <w:t>da Silva Carvalho Rico przeciwko Portugalii</w:t>
      </w:r>
    </w:p>
    <w:p w14:paraId="64FAD69B" w14:textId="77777777" w:rsidR="00EA4AFA" w:rsidRPr="004A2C75" w:rsidRDefault="00EA4AFA" w:rsidP="00F76DF1">
      <w:pPr>
        <w:rPr>
          <w:rFonts w:ascii="Verdana" w:hAnsi="Verdana"/>
          <w:color w:val="767171" w:themeColor="background2" w:themeShade="80"/>
          <w:sz w:val="20"/>
          <w:szCs w:val="20"/>
        </w:rPr>
      </w:pPr>
      <w:r w:rsidRPr="004A2C75">
        <w:rPr>
          <w:rFonts w:ascii="Verdana" w:hAnsi="Verdana"/>
          <w:color w:val="767171" w:themeColor="background2" w:themeShade="80"/>
          <w:sz w:val="20"/>
          <w:szCs w:val="20"/>
        </w:rPr>
        <w:t>1 września 2015</w:t>
      </w:r>
      <w:r w:rsidR="00A75088" w:rsidRPr="004A2C75">
        <w:rPr>
          <w:rFonts w:ascii="Verdana" w:hAnsi="Verdana"/>
          <w:color w:val="767171" w:themeColor="background2" w:themeShade="80"/>
          <w:sz w:val="20"/>
          <w:szCs w:val="20"/>
        </w:rPr>
        <w:t>r.</w:t>
      </w:r>
      <w:r w:rsidRPr="004A2C75">
        <w:rPr>
          <w:rFonts w:ascii="Verdana" w:hAnsi="Verdana"/>
          <w:color w:val="767171" w:themeColor="background2" w:themeShade="80"/>
          <w:sz w:val="20"/>
          <w:szCs w:val="20"/>
        </w:rPr>
        <w:t xml:space="preserve"> (decyzja w sprawie dopuszczalności)</w:t>
      </w:r>
    </w:p>
    <w:p w14:paraId="0607EC14" w14:textId="77777777" w:rsidR="00EA4AFA" w:rsidRPr="004A2C75" w:rsidRDefault="00EA4AFA" w:rsidP="00F76DF1">
      <w:pPr>
        <w:widowControl w:val="0"/>
        <w:autoSpaceDE w:val="0"/>
        <w:autoSpaceDN w:val="0"/>
        <w:adjustRightInd w:val="0"/>
        <w:jc w:val="both"/>
        <w:rPr>
          <w:rFonts w:ascii="Verdana" w:hAnsi="Verdana" w:cs="Verdana"/>
          <w:bCs/>
          <w:color w:val="000000" w:themeColor="text1"/>
          <w:sz w:val="20"/>
          <w:szCs w:val="20"/>
        </w:rPr>
      </w:pPr>
      <w:r w:rsidRPr="004A2C75">
        <w:rPr>
          <w:rFonts w:ascii="Verdana" w:hAnsi="Verdana" w:cs="Verdana"/>
          <w:bCs/>
          <w:color w:val="000000" w:themeColor="text1"/>
          <w:sz w:val="20"/>
          <w:szCs w:val="20"/>
        </w:rPr>
        <w:t xml:space="preserve">Przedmiotowa sprawa dotyczyła redukcji świadczeń emerytalnych </w:t>
      </w:r>
      <w:r w:rsidR="00B42642" w:rsidRPr="004A2C75">
        <w:rPr>
          <w:rFonts w:ascii="Verdana" w:hAnsi="Verdana" w:cs="Verdana"/>
          <w:bCs/>
          <w:color w:val="000000" w:themeColor="text1"/>
          <w:sz w:val="20"/>
          <w:szCs w:val="20"/>
        </w:rPr>
        <w:t xml:space="preserve">ze względu na </w:t>
      </w:r>
      <w:r w:rsidR="00635358" w:rsidRPr="004A2C75">
        <w:rPr>
          <w:rFonts w:ascii="Verdana" w:hAnsi="Verdana" w:cs="Verdana"/>
          <w:bCs/>
          <w:color w:val="000000" w:themeColor="text1"/>
          <w:sz w:val="20"/>
          <w:szCs w:val="20"/>
        </w:rPr>
        <w:t>środki oszczędnościowe podjęte w Portugali</w:t>
      </w:r>
      <w:r w:rsidR="00B42642" w:rsidRPr="004A2C75">
        <w:rPr>
          <w:rFonts w:ascii="Verdana" w:hAnsi="Verdana" w:cs="Verdana"/>
          <w:bCs/>
          <w:color w:val="000000" w:themeColor="text1"/>
          <w:sz w:val="20"/>
          <w:szCs w:val="20"/>
        </w:rPr>
        <w:t>i,</w:t>
      </w:r>
      <w:r w:rsidR="00635358" w:rsidRPr="004A2C75">
        <w:rPr>
          <w:rFonts w:ascii="Verdana" w:hAnsi="Verdana" w:cs="Verdana"/>
          <w:b/>
          <w:bCs/>
          <w:color w:val="0B5CAE"/>
          <w:sz w:val="20"/>
          <w:szCs w:val="20"/>
        </w:rPr>
        <w:t xml:space="preserve"> </w:t>
      </w:r>
      <w:r w:rsidR="00635358" w:rsidRPr="004A2C75">
        <w:rPr>
          <w:rFonts w:ascii="Verdana" w:hAnsi="Verdana" w:cs="Verdana"/>
          <w:bCs/>
          <w:color w:val="000000" w:themeColor="text1"/>
          <w:sz w:val="20"/>
          <w:szCs w:val="20"/>
        </w:rPr>
        <w:t xml:space="preserve">mianowicie </w:t>
      </w:r>
      <w:r w:rsidR="00A55505" w:rsidRPr="004A2C75">
        <w:rPr>
          <w:rFonts w:ascii="Verdana" w:hAnsi="Verdana" w:cs="Verdana"/>
          <w:bCs/>
          <w:color w:val="000000" w:themeColor="text1"/>
          <w:sz w:val="20"/>
          <w:szCs w:val="20"/>
        </w:rPr>
        <w:t xml:space="preserve">nadzwyczajnej składki solidarnościowej </w:t>
      </w:r>
      <w:r w:rsidR="00635358" w:rsidRPr="004A2C75">
        <w:rPr>
          <w:rFonts w:ascii="Verdana" w:hAnsi="Verdana" w:cs="Verdana"/>
          <w:bCs/>
          <w:color w:val="000000" w:themeColor="text1"/>
          <w:sz w:val="20"/>
          <w:szCs w:val="20"/>
        </w:rPr>
        <w:t>(„CES”</w:t>
      </w:r>
      <w:r w:rsidR="00A55505" w:rsidRPr="004A2C75">
        <w:rPr>
          <w:rFonts w:ascii="Verdana" w:hAnsi="Verdana" w:cs="Verdana"/>
          <w:bCs/>
          <w:color w:val="000000" w:themeColor="text1"/>
          <w:sz w:val="20"/>
          <w:szCs w:val="20"/>
        </w:rPr>
        <w:t>). Skarżąca</w:t>
      </w:r>
      <w:r w:rsidR="00635358" w:rsidRPr="004A2C75">
        <w:rPr>
          <w:rFonts w:ascii="Verdana" w:hAnsi="Verdana" w:cs="Verdana"/>
          <w:bCs/>
          <w:color w:val="000000" w:themeColor="text1"/>
          <w:sz w:val="20"/>
          <w:szCs w:val="20"/>
        </w:rPr>
        <w:t>, emeryt</w:t>
      </w:r>
      <w:r w:rsidR="00A55505" w:rsidRPr="004A2C75">
        <w:rPr>
          <w:rFonts w:ascii="Verdana" w:hAnsi="Verdana" w:cs="Verdana"/>
          <w:bCs/>
          <w:color w:val="000000" w:themeColor="text1"/>
          <w:sz w:val="20"/>
          <w:szCs w:val="20"/>
        </w:rPr>
        <w:t>ka należąca</w:t>
      </w:r>
      <w:r w:rsidR="00635358" w:rsidRPr="004A2C75">
        <w:rPr>
          <w:rFonts w:ascii="Verdana" w:hAnsi="Verdana" w:cs="Verdana"/>
          <w:bCs/>
          <w:color w:val="000000" w:themeColor="text1"/>
          <w:sz w:val="20"/>
          <w:szCs w:val="20"/>
        </w:rPr>
        <w:t xml:space="preserve"> do systemu świadczeń sektora publicznego podnosił, iż środki te naruszyły jego prawo do ochrony wła</w:t>
      </w:r>
      <w:r w:rsidR="00A55505" w:rsidRPr="004A2C75">
        <w:rPr>
          <w:rFonts w:ascii="Verdana" w:hAnsi="Verdana" w:cs="Verdana"/>
          <w:bCs/>
          <w:color w:val="000000" w:themeColor="text1"/>
          <w:sz w:val="20"/>
          <w:szCs w:val="20"/>
        </w:rPr>
        <w:t>sności</w:t>
      </w:r>
      <w:r w:rsidR="00635358" w:rsidRPr="004A2C75">
        <w:rPr>
          <w:rFonts w:ascii="Verdana" w:hAnsi="Verdana" w:cs="Verdana"/>
          <w:bCs/>
          <w:color w:val="000000" w:themeColor="text1"/>
          <w:sz w:val="20"/>
          <w:szCs w:val="20"/>
        </w:rPr>
        <w:t>,</w:t>
      </w:r>
      <w:r w:rsidR="00A55505" w:rsidRPr="004A2C75">
        <w:rPr>
          <w:rFonts w:ascii="Verdana" w:hAnsi="Verdana" w:cs="Verdana"/>
          <w:bCs/>
          <w:color w:val="000000" w:themeColor="text1"/>
          <w:sz w:val="20"/>
          <w:szCs w:val="20"/>
        </w:rPr>
        <w:t xml:space="preserve"> powołując się w szczególności na fakt, iż </w:t>
      </w:r>
      <w:r w:rsidR="00635358" w:rsidRPr="004A2C75">
        <w:rPr>
          <w:rFonts w:ascii="Verdana" w:hAnsi="Verdana" w:cs="Verdana"/>
          <w:bCs/>
          <w:color w:val="000000" w:themeColor="text1"/>
          <w:sz w:val="20"/>
          <w:szCs w:val="20"/>
        </w:rPr>
        <w:t>CES</w:t>
      </w:r>
      <w:r w:rsidR="00A55505" w:rsidRPr="004A2C75">
        <w:rPr>
          <w:rFonts w:ascii="Verdana" w:hAnsi="Verdana" w:cs="Verdana"/>
          <w:bCs/>
          <w:color w:val="000000" w:themeColor="text1"/>
          <w:sz w:val="20"/>
          <w:szCs w:val="20"/>
        </w:rPr>
        <w:t xml:space="preserve"> nie był już środkiem tymczasowym</w:t>
      </w:r>
      <w:r w:rsidR="00635358" w:rsidRPr="004A2C75">
        <w:rPr>
          <w:rFonts w:ascii="Verdana" w:hAnsi="Verdana" w:cs="Verdana"/>
          <w:bCs/>
          <w:color w:val="000000" w:themeColor="text1"/>
          <w:sz w:val="20"/>
          <w:szCs w:val="20"/>
        </w:rPr>
        <w:t xml:space="preserve"> jako, iż został zastosowany wz</w:t>
      </w:r>
      <w:r w:rsidR="00A75088" w:rsidRPr="004A2C75">
        <w:rPr>
          <w:rFonts w:ascii="Verdana" w:hAnsi="Verdana" w:cs="Verdana"/>
          <w:bCs/>
          <w:color w:val="000000" w:themeColor="text1"/>
          <w:sz w:val="20"/>
          <w:szCs w:val="20"/>
        </w:rPr>
        <w:t>ględem skarżącej już w 2013 r</w:t>
      </w:r>
      <w:r w:rsidR="00635358" w:rsidRPr="004A2C75">
        <w:rPr>
          <w:rFonts w:ascii="Verdana" w:hAnsi="Verdana" w:cs="Verdana"/>
          <w:bCs/>
          <w:color w:val="000000" w:themeColor="text1"/>
          <w:sz w:val="20"/>
          <w:szCs w:val="20"/>
        </w:rPr>
        <w:t xml:space="preserve">. </w:t>
      </w:r>
    </w:p>
    <w:p w14:paraId="78F860BA" w14:textId="77777777" w:rsidR="00AC56D5" w:rsidRPr="000630C8" w:rsidRDefault="00635358" w:rsidP="00F76DF1">
      <w:pPr>
        <w:widowControl w:val="0"/>
        <w:autoSpaceDE w:val="0"/>
        <w:autoSpaceDN w:val="0"/>
        <w:adjustRightInd w:val="0"/>
        <w:spacing w:after="240"/>
        <w:jc w:val="both"/>
        <w:rPr>
          <w:rFonts w:ascii="Verdana" w:hAnsi="Verdana" w:cs="Times"/>
          <w:color w:val="0070C0"/>
          <w:sz w:val="20"/>
          <w:szCs w:val="20"/>
        </w:rPr>
      </w:pPr>
      <w:r w:rsidRPr="000630C8">
        <w:rPr>
          <w:rFonts w:ascii="Verdana" w:hAnsi="Verdana" w:cs="Verdana"/>
          <w:bCs/>
          <w:color w:val="0070C0"/>
          <w:sz w:val="20"/>
          <w:szCs w:val="20"/>
        </w:rPr>
        <w:t xml:space="preserve">Trybunał uznał skargę za </w:t>
      </w:r>
      <w:r w:rsidRPr="000630C8">
        <w:rPr>
          <w:rFonts w:ascii="Verdana" w:hAnsi="Verdana" w:cs="Verdana"/>
          <w:b/>
          <w:bCs/>
          <w:color w:val="0070C0"/>
          <w:sz w:val="20"/>
          <w:szCs w:val="20"/>
        </w:rPr>
        <w:t>niedopuszczalną</w:t>
      </w:r>
      <w:r w:rsidRPr="000630C8">
        <w:rPr>
          <w:rFonts w:ascii="Verdana" w:hAnsi="Verdana" w:cs="Verdana"/>
          <w:bCs/>
          <w:color w:val="0070C0"/>
          <w:sz w:val="20"/>
          <w:szCs w:val="20"/>
        </w:rPr>
        <w:t xml:space="preserve"> jako </w:t>
      </w:r>
      <w:r w:rsidR="00A55505" w:rsidRPr="000630C8">
        <w:rPr>
          <w:rFonts w:ascii="Verdana" w:hAnsi="Verdana" w:cs="Verdana"/>
          <w:bCs/>
          <w:color w:val="0070C0"/>
          <w:sz w:val="20"/>
          <w:szCs w:val="20"/>
        </w:rPr>
        <w:t>oczywiście</w:t>
      </w:r>
      <w:r w:rsidRPr="000630C8">
        <w:rPr>
          <w:rFonts w:ascii="Verdana" w:hAnsi="Verdana" w:cs="Verdana"/>
          <w:bCs/>
          <w:color w:val="0070C0"/>
          <w:sz w:val="20"/>
          <w:szCs w:val="20"/>
        </w:rPr>
        <w:t xml:space="preserve"> bezzasadną. Biorąc pod uwagę ogólny interes publiczny Portug</w:t>
      </w:r>
      <w:r w:rsidR="00A55505" w:rsidRPr="000630C8">
        <w:rPr>
          <w:rFonts w:ascii="Verdana" w:hAnsi="Verdana" w:cs="Verdana"/>
          <w:bCs/>
          <w:color w:val="0070C0"/>
          <w:sz w:val="20"/>
          <w:szCs w:val="20"/>
        </w:rPr>
        <w:t>alii</w:t>
      </w:r>
      <w:r w:rsidRPr="000630C8">
        <w:rPr>
          <w:rFonts w:ascii="Verdana" w:hAnsi="Verdana" w:cs="Verdana"/>
          <w:bCs/>
          <w:color w:val="0070C0"/>
          <w:sz w:val="20"/>
          <w:szCs w:val="20"/>
        </w:rPr>
        <w:t xml:space="preserve"> w przedmiotowym czasie oraz ograniczony </w:t>
      </w:r>
      <w:r w:rsidR="00887194" w:rsidRPr="000630C8">
        <w:rPr>
          <w:rFonts w:ascii="Verdana" w:hAnsi="Verdana" w:cs="Verdana"/>
          <w:bCs/>
          <w:color w:val="0070C0"/>
          <w:sz w:val="20"/>
          <w:szCs w:val="20"/>
        </w:rPr>
        <w:t>i</w:t>
      </w:r>
      <w:r w:rsidRPr="000630C8">
        <w:rPr>
          <w:rFonts w:ascii="Verdana" w:hAnsi="Verdana" w:cs="Verdana"/>
          <w:bCs/>
          <w:color w:val="0070C0"/>
          <w:sz w:val="20"/>
          <w:szCs w:val="20"/>
        </w:rPr>
        <w:t xml:space="preserve"> tymczasowy charakter stosowania CES względem świadczenia skarżącej, stwierdził iż środki podjęte w Portugalii były proporcjonalne do </w:t>
      </w:r>
      <w:r w:rsidR="00A55505" w:rsidRPr="000630C8">
        <w:rPr>
          <w:rFonts w:ascii="Verdana" w:hAnsi="Verdana" w:cs="Verdana"/>
          <w:bCs/>
          <w:color w:val="0070C0"/>
          <w:sz w:val="20"/>
          <w:szCs w:val="20"/>
        </w:rPr>
        <w:t>uzasadnionego celu jakim było osiągnięcie ożywienia gospodarczego</w:t>
      </w:r>
      <w:r w:rsidRPr="000630C8">
        <w:rPr>
          <w:rFonts w:ascii="Verdana" w:hAnsi="Verdana" w:cs="Verdana"/>
          <w:bCs/>
          <w:color w:val="0070C0"/>
          <w:sz w:val="20"/>
          <w:szCs w:val="20"/>
        </w:rPr>
        <w:t>.</w:t>
      </w:r>
      <w:r w:rsidR="00A55505" w:rsidRPr="000630C8">
        <w:rPr>
          <w:rFonts w:ascii="Verdana" w:hAnsi="Verdana" w:cs="Verdana"/>
          <w:bCs/>
          <w:color w:val="0070C0"/>
          <w:sz w:val="20"/>
          <w:szCs w:val="20"/>
        </w:rPr>
        <w:t xml:space="preserve"> Ingerencja w prawo do własności skarżącej została przewidziana prze prawo, CES był przewidziany w ustawach budżetowych na lata 2013 i 2014 oraz uznany za zgodny z prawem przez Trybunał Konstytucyjny w</w:t>
      </w:r>
      <w:r w:rsidR="00A75088" w:rsidRPr="000630C8">
        <w:rPr>
          <w:rFonts w:ascii="Verdana" w:hAnsi="Verdana" w:cs="Verdana"/>
          <w:bCs/>
          <w:color w:val="0070C0"/>
          <w:sz w:val="20"/>
          <w:szCs w:val="20"/>
        </w:rPr>
        <w:t xml:space="preserve"> orzeczeniach z 2013 i 2014 r</w:t>
      </w:r>
      <w:r w:rsidR="00A55505" w:rsidRPr="000630C8">
        <w:rPr>
          <w:rFonts w:ascii="Verdana" w:hAnsi="Verdana" w:cs="Verdana"/>
          <w:bCs/>
          <w:color w:val="0070C0"/>
          <w:sz w:val="20"/>
          <w:szCs w:val="20"/>
        </w:rPr>
        <w:t xml:space="preserve">. </w:t>
      </w:r>
      <w:r w:rsidRPr="000630C8">
        <w:rPr>
          <w:rFonts w:ascii="Verdana" w:hAnsi="Verdana" w:cs="Verdana"/>
          <w:color w:val="0070C0"/>
          <w:sz w:val="20"/>
          <w:szCs w:val="20"/>
        </w:rPr>
        <w:t>Co więcej zast</w:t>
      </w:r>
      <w:r w:rsidR="00A55505" w:rsidRPr="000630C8">
        <w:rPr>
          <w:rFonts w:ascii="Verdana" w:hAnsi="Verdana" w:cs="Verdana"/>
          <w:color w:val="0070C0"/>
          <w:sz w:val="20"/>
          <w:szCs w:val="20"/>
        </w:rPr>
        <w:t xml:space="preserve">osowanie CES do świadczeń emerytalnych przewidziane w ustawach budżetowych z 2013 </w:t>
      </w:r>
      <w:r w:rsidR="00A75088" w:rsidRPr="000630C8">
        <w:rPr>
          <w:rFonts w:ascii="Verdana" w:hAnsi="Verdana" w:cs="Verdana"/>
          <w:color w:val="0070C0"/>
          <w:sz w:val="20"/>
          <w:szCs w:val="20"/>
        </w:rPr>
        <w:t>i 2014 r.</w:t>
      </w:r>
      <w:r w:rsidR="000B7878" w:rsidRPr="000630C8">
        <w:rPr>
          <w:rFonts w:ascii="Verdana" w:hAnsi="Verdana" w:cs="Verdana"/>
          <w:color w:val="0070C0"/>
          <w:sz w:val="20"/>
          <w:szCs w:val="20"/>
        </w:rPr>
        <w:t xml:space="preserve"> mające</w:t>
      </w:r>
      <w:r w:rsidR="00A55505" w:rsidRPr="000630C8">
        <w:rPr>
          <w:rFonts w:ascii="Verdana" w:hAnsi="Verdana" w:cs="Verdana"/>
          <w:color w:val="0070C0"/>
          <w:sz w:val="20"/>
          <w:szCs w:val="20"/>
        </w:rPr>
        <w:t xml:space="preserve"> na celu ograniczenie wydatków </w:t>
      </w:r>
      <w:r w:rsidR="00A55505" w:rsidRPr="000630C8">
        <w:rPr>
          <w:rFonts w:ascii="Verdana" w:hAnsi="Verdana" w:cs="Verdana"/>
          <w:bCs/>
          <w:color w:val="0070C0"/>
          <w:sz w:val="20"/>
          <w:szCs w:val="20"/>
        </w:rPr>
        <w:t>publicznych i poprawę sytuacji gospodarczej</w:t>
      </w:r>
      <w:r w:rsidR="000B7878" w:rsidRPr="000630C8">
        <w:rPr>
          <w:rFonts w:ascii="Verdana" w:hAnsi="Verdana" w:cs="Verdana"/>
          <w:bCs/>
          <w:color w:val="0070C0"/>
          <w:sz w:val="20"/>
          <w:szCs w:val="20"/>
        </w:rPr>
        <w:t xml:space="preserve"> zostało przyjęte w nadzwyczajnej sytuacji ekonomicznej jako środek przejściowy, zatem wyraźnie leżało w interesie publicznym zgodnie ze znaczeniem Artykułu 1 Protokołu nr 1. Trybunał uznał, iż środki wprowadzone w odniesieniu do świadczeń emerytalnych zachowały odpowiednią równowagę pomiędzy interesem publicznym a ochroną podstawowych praw skarżącej. Sama skarżąca nie doznała znacznego pozbawienia jej przychodu, łączna strata wynosiła 4.6% całkowitych rocznych świadczeń społecznych, które otrzymywała. Ponadto Trybunał Konstytucy</w:t>
      </w:r>
      <w:r w:rsidR="00A75088" w:rsidRPr="000630C8">
        <w:rPr>
          <w:rFonts w:ascii="Verdana" w:hAnsi="Verdana" w:cs="Verdana"/>
          <w:bCs/>
          <w:color w:val="0070C0"/>
          <w:sz w:val="20"/>
          <w:szCs w:val="20"/>
        </w:rPr>
        <w:t>jny orzekł w 2013 oraz 2014 r.</w:t>
      </w:r>
      <w:r w:rsidR="000B7878" w:rsidRPr="000630C8">
        <w:rPr>
          <w:rFonts w:ascii="Verdana" w:hAnsi="Verdana" w:cs="Verdana"/>
          <w:bCs/>
          <w:color w:val="0070C0"/>
          <w:sz w:val="20"/>
          <w:szCs w:val="20"/>
        </w:rPr>
        <w:t xml:space="preserve">, iż podjęte środki były proporcjonalne i nie istniały inne, alternatywne rozwiązania, które mogłyby realizować te same cele publiczne, a jednocześnie wpływać na osoby uprawnione do pobierania świadczeń socjalnych </w:t>
      </w:r>
      <w:r w:rsidR="009055C8" w:rsidRPr="000630C8">
        <w:rPr>
          <w:rFonts w:ascii="Verdana" w:hAnsi="Verdana" w:cs="Verdana"/>
          <w:bCs/>
          <w:color w:val="0070C0"/>
          <w:sz w:val="20"/>
          <w:szCs w:val="20"/>
        </w:rPr>
        <w:t>w tak ograniczonym stopniu. Mając na uwadze swobodę państwa („margines swobodnego uznania”) w kwestiach decydowania o ogólnych środkach polityki gospodarczej oraz społecznej państwa, nie należało do Trybunału rozstrzygniecie, czy można było zastosować środki alternatywne w celu zmniejszenia deficytu budżetowego państwa i przezwyciężenia kryzysu finansowego.</w:t>
      </w:r>
      <w:r w:rsidR="009055C8" w:rsidRPr="000630C8">
        <w:rPr>
          <w:rFonts w:ascii="Verdana" w:hAnsi="Verdana" w:cs="Verdana"/>
          <w:color w:val="0070C0"/>
          <w:sz w:val="20"/>
          <w:szCs w:val="20"/>
        </w:rPr>
        <w:t xml:space="preserve"> </w:t>
      </w:r>
    </w:p>
    <w:p w14:paraId="6BA3B8E0" w14:textId="77777777" w:rsidR="00AC56D5" w:rsidRPr="00EF4DD8" w:rsidRDefault="00AC56D5" w:rsidP="00F76DF1">
      <w:pPr>
        <w:widowControl w:val="0"/>
        <w:autoSpaceDE w:val="0"/>
        <w:autoSpaceDN w:val="0"/>
        <w:adjustRightInd w:val="0"/>
        <w:rPr>
          <w:rFonts w:ascii="Verdana" w:hAnsi="Verdana" w:cs="Verdana"/>
          <w:b/>
          <w:bCs/>
          <w:color w:val="0B5CAE"/>
          <w:sz w:val="20"/>
          <w:szCs w:val="20"/>
          <w:u w:val="single"/>
        </w:rPr>
      </w:pPr>
      <w:r w:rsidRPr="00EF4DD8">
        <w:rPr>
          <w:rFonts w:ascii="Verdana" w:hAnsi="Verdana" w:cs="Verdana"/>
          <w:b/>
          <w:bCs/>
          <w:color w:val="0B5CAE"/>
          <w:sz w:val="20"/>
          <w:szCs w:val="20"/>
          <w:u w:val="single"/>
        </w:rPr>
        <w:t>Mamatas i Inni przeciwko Grecji</w:t>
      </w:r>
    </w:p>
    <w:p w14:paraId="02F86C94" w14:textId="77777777" w:rsidR="00AC56D5" w:rsidRPr="00EF4DD8" w:rsidRDefault="00AC56D5" w:rsidP="00F76DF1">
      <w:pPr>
        <w:rPr>
          <w:rFonts w:ascii="Verdana" w:hAnsi="Verdana"/>
          <w:color w:val="767171" w:themeColor="background2" w:themeShade="80"/>
          <w:sz w:val="20"/>
          <w:szCs w:val="20"/>
        </w:rPr>
      </w:pPr>
      <w:r w:rsidRPr="00EF4DD8">
        <w:rPr>
          <w:rFonts w:ascii="Verdana" w:hAnsi="Verdana"/>
          <w:color w:val="767171" w:themeColor="background2" w:themeShade="80"/>
          <w:sz w:val="20"/>
          <w:szCs w:val="20"/>
        </w:rPr>
        <w:t>21 lipca 2016</w:t>
      </w:r>
      <w:r w:rsidR="00EF4DD8">
        <w:rPr>
          <w:rFonts w:ascii="Verdana" w:hAnsi="Verdana"/>
          <w:color w:val="767171" w:themeColor="background2" w:themeShade="80"/>
          <w:sz w:val="20"/>
          <w:szCs w:val="20"/>
        </w:rPr>
        <w:t>r.</w:t>
      </w:r>
      <w:r w:rsidRPr="00EF4DD8">
        <w:rPr>
          <w:rFonts w:ascii="Verdana" w:hAnsi="Verdana"/>
          <w:color w:val="767171" w:themeColor="background2" w:themeShade="80"/>
          <w:sz w:val="20"/>
          <w:szCs w:val="20"/>
        </w:rPr>
        <w:t xml:space="preserve"> (wyrok) </w:t>
      </w:r>
    </w:p>
    <w:p w14:paraId="0F6A1F58" w14:textId="77777777" w:rsidR="00F86AAF" w:rsidRPr="004A2C75" w:rsidRDefault="00AC56D5" w:rsidP="00F76DF1">
      <w:pPr>
        <w:widowControl w:val="0"/>
        <w:autoSpaceDE w:val="0"/>
        <w:autoSpaceDN w:val="0"/>
        <w:adjustRightInd w:val="0"/>
        <w:jc w:val="both"/>
        <w:rPr>
          <w:rFonts w:ascii="Verdana" w:hAnsi="Verdana" w:cs="Verdana"/>
          <w:bCs/>
          <w:color w:val="000000" w:themeColor="text1"/>
          <w:sz w:val="20"/>
          <w:szCs w:val="20"/>
        </w:rPr>
      </w:pPr>
      <w:r w:rsidRPr="004A2C75">
        <w:rPr>
          <w:rFonts w:ascii="Verdana" w:hAnsi="Verdana" w:cs="Verdana"/>
          <w:bCs/>
          <w:color w:val="000000" w:themeColor="text1"/>
          <w:sz w:val="20"/>
          <w:szCs w:val="20"/>
        </w:rPr>
        <w:t xml:space="preserve">Sprawa ta dotyczyła </w:t>
      </w:r>
      <w:r w:rsidR="00DE1577" w:rsidRPr="004A2C75">
        <w:rPr>
          <w:rFonts w:ascii="Verdana" w:hAnsi="Verdana" w:cs="Verdana"/>
          <w:bCs/>
          <w:color w:val="000000" w:themeColor="text1"/>
          <w:sz w:val="20"/>
          <w:szCs w:val="20"/>
        </w:rPr>
        <w:t xml:space="preserve">przymusowego udziału skarżących, którzy byli osobami fizycznym posiadającymi państwowe papiery wartościowe, </w:t>
      </w:r>
      <w:r w:rsidR="00EB3D9D" w:rsidRPr="004A2C75">
        <w:rPr>
          <w:rFonts w:ascii="Verdana" w:hAnsi="Verdana" w:cs="Verdana"/>
          <w:bCs/>
          <w:color w:val="000000" w:themeColor="text1"/>
          <w:sz w:val="20"/>
          <w:szCs w:val="20"/>
        </w:rPr>
        <w:t xml:space="preserve">w programie redukcji Greckiego długu publicznego poprzez wymianę obligacji na inne </w:t>
      </w:r>
      <w:r w:rsidR="006E4F47" w:rsidRPr="004A2C75">
        <w:rPr>
          <w:rFonts w:ascii="Verdana" w:hAnsi="Verdana" w:cs="Verdana"/>
          <w:bCs/>
          <w:color w:val="000000" w:themeColor="text1"/>
          <w:sz w:val="20"/>
          <w:szCs w:val="20"/>
        </w:rPr>
        <w:t>instrumenty dłużne o mniejszej wartości</w:t>
      </w:r>
      <w:r w:rsidR="006E4F47" w:rsidRPr="004A2C75">
        <w:rPr>
          <w:rStyle w:val="Odwoanieprzypisudolnego"/>
          <w:rFonts w:ascii="Verdana" w:hAnsi="Verdana" w:cs="Verdana"/>
          <w:bCs/>
          <w:color w:val="000000" w:themeColor="text1"/>
          <w:sz w:val="20"/>
          <w:szCs w:val="20"/>
        </w:rPr>
        <w:footnoteReference w:id="1"/>
      </w:r>
      <w:r w:rsidR="006E4F47" w:rsidRPr="004A2C75">
        <w:rPr>
          <w:rFonts w:ascii="Verdana" w:hAnsi="Verdana" w:cs="Verdana"/>
          <w:bCs/>
          <w:color w:val="000000" w:themeColor="text1"/>
          <w:sz w:val="20"/>
          <w:szCs w:val="20"/>
        </w:rPr>
        <w:t>. Skarżący zarzucili w szczególności,</w:t>
      </w:r>
      <w:r w:rsidR="009055C8" w:rsidRPr="004A2C75">
        <w:rPr>
          <w:rFonts w:ascii="Verdana" w:hAnsi="Verdana" w:cs="Verdana"/>
          <w:bCs/>
          <w:color w:val="000000" w:themeColor="text1"/>
          <w:sz w:val="20"/>
          <w:szCs w:val="20"/>
        </w:rPr>
        <w:t xml:space="preserve"> iż wymiana ich obligacji zgodn</w:t>
      </w:r>
      <w:r w:rsidR="006E4F47" w:rsidRPr="004A2C75">
        <w:rPr>
          <w:rFonts w:ascii="Verdana" w:hAnsi="Verdana" w:cs="Verdana"/>
          <w:bCs/>
          <w:color w:val="000000" w:themeColor="text1"/>
          <w:sz w:val="20"/>
          <w:szCs w:val="20"/>
        </w:rPr>
        <w:t>i</w:t>
      </w:r>
      <w:r w:rsidR="009055C8" w:rsidRPr="004A2C75">
        <w:rPr>
          <w:rFonts w:ascii="Verdana" w:hAnsi="Verdana" w:cs="Verdana"/>
          <w:bCs/>
          <w:color w:val="000000" w:themeColor="text1"/>
          <w:sz w:val="20"/>
          <w:szCs w:val="20"/>
        </w:rPr>
        <w:t>e</w:t>
      </w:r>
      <w:r w:rsidR="006E4F47" w:rsidRPr="004A2C75">
        <w:rPr>
          <w:rFonts w:ascii="Verdana" w:hAnsi="Verdana" w:cs="Verdana"/>
          <w:bCs/>
          <w:color w:val="000000" w:themeColor="text1"/>
          <w:sz w:val="20"/>
          <w:szCs w:val="20"/>
        </w:rPr>
        <w:t xml:space="preserve"> z wymogami ustawy nr 4050/2012 o przepisach zmieniających emisje państwowe lub </w:t>
      </w:r>
      <w:r w:rsidR="000A4D06" w:rsidRPr="004A2C75">
        <w:rPr>
          <w:rFonts w:ascii="Verdana" w:hAnsi="Verdana" w:cs="Verdana"/>
          <w:bCs/>
          <w:color w:val="000000" w:themeColor="text1"/>
          <w:sz w:val="20"/>
          <w:szCs w:val="20"/>
        </w:rPr>
        <w:t xml:space="preserve">gwarancje papierów wartościowych, de facto stanowiła </w:t>
      </w:r>
      <w:r w:rsidR="00F86AAF" w:rsidRPr="004A2C75">
        <w:rPr>
          <w:rFonts w:ascii="Verdana" w:hAnsi="Verdana" w:cs="Verdana"/>
          <w:bCs/>
          <w:color w:val="000000" w:themeColor="text1"/>
          <w:sz w:val="20"/>
          <w:szCs w:val="20"/>
        </w:rPr>
        <w:t xml:space="preserve">wywłaszczenie, które pozbawiło skarżących ich własności, lub alternatywnie, ingerencję w ich prawo do poszanowania własności. Niektórzy ze skarżących zarzucali również, iż doznali dyskryminacji </w:t>
      </w:r>
      <w:r w:rsidR="00A936E3" w:rsidRPr="004A2C75">
        <w:rPr>
          <w:rFonts w:ascii="Verdana" w:hAnsi="Verdana" w:cs="Verdana"/>
          <w:bCs/>
          <w:color w:val="000000" w:themeColor="text1"/>
          <w:sz w:val="20"/>
          <w:szCs w:val="20"/>
        </w:rPr>
        <w:t>wobec innych</w:t>
      </w:r>
      <w:r w:rsidR="00F86AAF" w:rsidRPr="004A2C75">
        <w:rPr>
          <w:rFonts w:ascii="Verdana" w:hAnsi="Verdana" w:cs="Verdana"/>
          <w:bCs/>
          <w:color w:val="000000" w:themeColor="text1"/>
          <w:sz w:val="20"/>
          <w:szCs w:val="20"/>
        </w:rPr>
        <w:t xml:space="preserve"> wierzyciel</w:t>
      </w:r>
      <w:r w:rsidR="00A936E3" w:rsidRPr="004A2C75">
        <w:rPr>
          <w:rFonts w:ascii="Verdana" w:hAnsi="Verdana" w:cs="Verdana"/>
          <w:bCs/>
          <w:color w:val="000000" w:themeColor="text1"/>
          <w:sz w:val="20"/>
          <w:szCs w:val="20"/>
        </w:rPr>
        <w:t>i</w:t>
      </w:r>
      <w:r w:rsidR="00F86AAF" w:rsidRPr="004A2C75">
        <w:rPr>
          <w:rFonts w:ascii="Verdana" w:hAnsi="Verdana" w:cs="Verdana"/>
          <w:bCs/>
          <w:color w:val="000000" w:themeColor="text1"/>
          <w:sz w:val="20"/>
          <w:szCs w:val="20"/>
        </w:rPr>
        <w:t xml:space="preserve">, w szczególności posiadający </w:t>
      </w:r>
      <w:r w:rsidR="00A936E3" w:rsidRPr="004A2C75">
        <w:rPr>
          <w:rFonts w:ascii="Verdana" w:hAnsi="Verdana" w:cs="Verdana"/>
          <w:bCs/>
          <w:color w:val="000000" w:themeColor="text1"/>
          <w:sz w:val="20"/>
          <w:szCs w:val="20"/>
        </w:rPr>
        <w:t xml:space="preserve">obligacje </w:t>
      </w:r>
      <w:r w:rsidR="00F86AAF" w:rsidRPr="004A2C75">
        <w:rPr>
          <w:rFonts w:ascii="Verdana" w:hAnsi="Verdana" w:cs="Verdana"/>
          <w:bCs/>
          <w:color w:val="000000" w:themeColor="text1"/>
          <w:sz w:val="20"/>
          <w:szCs w:val="20"/>
        </w:rPr>
        <w:t xml:space="preserve"> o łącznej wartości kilku miliardów euro.</w:t>
      </w:r>
    </w:p>
    <w:p w14:paraId="75412193" w14:textId="77777777" w:rsidR="00635358" w:rsidRPr="002001B7" w:rsidRDefault="00F86AAF" w:rsidP="00F76DF1">
      <w:pPr>
        <w:widowControl w:val="0"/>
        <w:autoSpaceDE w:val="0"/>
        <w:autoSpaceDN w:val="0"/>
        <w:adjustRightInd w:val="0"/>
        <w:spacing w:after="240"/>
        <w:jc w:val="both"/>
        <w:rPr>
          <w:rFonts w:ascii="Verdana" w:hAnsi="Verdana" w:cs="Times"/>
          <w:color w:val="0070C0"/>
          <w:sz w:val="20"/>
          <w:szCs w:val="20"/>
        </w:rPr>
      </w:pPr>
      <w:r w:rsidRPr="000630C8">
        <w:rPr>
          <w:rFonts w:ascii="Verdana" w:hAnsi="Verdana" w:cs="Verdana"/>
          <w:bCs/>
          <w:color w:val="0070C0"/>
          <w:sz w:val="20"/>
          <w:szCs w:val="20"/>
        </w:rPr>
        <w:t>Trybunał uzna</w:t>
      </w:r>
      <w:r w:rsidRPr="002001B7">
        <w:rPr>
          <w:rFonts w:ascii="Verdana" w:hAnsi="Verdana" w:cs="Verdana"/>
          <w:bCs/>
          <w:color w:val="0070C0"/>
          <w:sz w:val="20"/>
          <w:szCs w:val="20"/>
        </w:rPr>
        <w:t xml:space="preserve">ł, iż </w:t>
      </w:r>
      <w:r w:rsidRPr="002001B7">
        <w:rPr>
          <w:rFonts w:ascii="Verdana" w:hAnsi="Verdana" w:cs="Verdana"/>
          <w:b/>
          <w:bCs/>
          <w:color w:val="0070C0"/>
          <w:sz w:val="20"/>
          <w:szCs w:val="20"/>
        </w:rPr>
        <w:t>nie doszło do naruszenia Artykułu 1 Protokołu 1</w:t>
      </w:r>
      <w:r w:rsidRPr="002001B7">
        <w:rPr>
          <w:rFonts w:ascii="Verdana" w:hAnsi="Verdana" w:cs="Verdana"/>
          <w:bCs/>
          <w:color w:val="0070C0"/>
          <w:sz w:val="20"/>
          <w:szCs w:val="20"/>
        </w:rPr>
        <w:t xml:space="preserve">. </w:t>
      </w:r>
      <w:r w:rsidR="00465765" w:rsidRPr="002001B7">
        <w:rPr>
          <w:rFonts w:ascii="Verdana" w:hAnsi="Verdana" w:cs="Verdana"/>
          <w:bCs/>
          <w:color w:val="0070C0"/>
          <w:sz w:val="20"/>
          <w:szCs w:val="20"/>
        </w:rPr>
        <w:t>Zaznaczył w szczególności, iż wspomniany przymusowy udział</w:t>
      </w:r>
      <w:r w:rsidR="008C6C63">
        <w:rPr>
          <w:rFonts w:ascii="Verdana" w:hAnsi="Verdana" w:cs="Verdana"/>
          <w:bCs/>
          <w:color w:val="0070C0"/>
          <w:sz w:val="20"/>
          <w:szCs w:val="20"/>
        </w:rPr>
        <w:t xml:space="preserve"> w wymianie obligacji</w:t>
      </w:r>
      <w:r w:rsidR="00465765" w:rsidRPr="002001B7">
        <w:rPr>
          <w:rFonts w:ascii="Verdana" w:hAnsi="Verdana" w:cs="Verdana"/>
          <w:bCs/>
          <w:color w:val="0070C0"/>
          <w:sz w:val="20"/>
          <w:szCs w:val="20"/>
        </w:rPr>
        <w:t xml:space="preserve"> stanowił </w:t>
      </w:r>
      <w:r w:rsidR="00465765" w:rsidRPr="002001B7">
        <w:rPr>
          <w:rFonts w:ascii="Verdana" w:hAnsi="Verdana" w:cs="Verdana"/>
          <w:bCs/>
          <w:color w:val="0070C0"/>
          <w:sz w:val="20"/>
          <w:szCs w:val="20"/>
        </w:rPr>
        <w:lastRenderedPageBreak/>
        <w:t>ingerencję w prawo skarżących do poszanowania własności w zakresie Artykułu 1 Protokołu 1 niemniej jednak owa ingerencja realizowana była w interesie publicznym, to znaczy w</w:t>
      </w:r>
      <w:r w:rsidR="00AA29B2" w:rsidRPr="002001B7">
        <w:rPr>
          <w:rFonts w:ascii="Verdana" w:hAnsi="Verdana" w:cs="Verdana"/>
          <w:bCs/>
          <w:color w:val="0070C0"/>
          <w:sz w:val="20"/>
          <w:szCs w:val="20"/>
        </w:rPr>
        <w:t xml:space="preserve"> celu zachowania</w:t>
      </w:r>
      <w:r w:rsidR="00465765" w:rsidRPr="002001B7">
        <w:rPr>
          <w:rFonts w:ascii="Verdana" w:hAnsi="Verdana" w:cs="Verdana"/>
          <w:bCs/>
          <w:color w:val="0070C0"/>
          <w:sz w:val="20"/>
          <w:szCs w:val="20"/>
        </w:rPr>
        <w:t xml:space="preserve"> stabilno</w:t>
      </w:r>
      <w:r w:rsidR="00AA29B2" w:rsidRPr="002001B7">
        <w:rPr>
          <w:rFonts w:ascii="Verdana" w:hAnsi="Verdana" w:cs="Verdana"/>
          <w:bCs/>
          <w:color w:val="0070C0"/>
          <w:sz w:val="20"/>
          <w:szCs w:val="20"/>
        </w:rPr>
        <w:t xml:space="preserve">ści </w:t>
      </w:r>
      <w:r w:rsidR="00644B1E" w:rsidRPr="002001B7">
        <w:rPr>
          <w:rFonts w:ascii="Verdana" w:hAnsi="Verdana" w:cs="Verdana"/>
          <w:bCs/>
          <w:color w:val="0070C0"/>
          <w:sz w:val="20"/>
          <w:szCs w:val="20"/>
        </w:rPr>
        <w:t xml:space="preserve">ekonomicznej oraz restrukturyzacji długu krajowego w czasie, kiedy Grecja zmagała się z poważnym kryzysem gospodarczym. Trybunał orzekł, iż skarżący nie doznali szczególnego, czy nadmiernego obciążenia, w szczególności ze względu </w:t>
      </w:r>
      <w:r w:rsidR="002956D0" w:rsidRPr="002001B7">
        <w:rPr>
          <w:rFonts w:ascii="Verdana" w:hAnsi="Verdana" w:cs="Verdana"/>
          <w:bCs/>
          <w:color w:val="0070C0"/>
          <w:sz w:val="20"/>
          <w:szCs w:val="20"/>
        </w:rPr>
        <w:t xml:space="preserve">na szeroki margines uznania, jakim dysponują kraje w tej kwestii oraz na zmniejszenie wartości obligacji, na które i tak wpłynęła redukcja wypłacalności kraju, który prawdopodobnie nie byłby w stanie wywiązać się ze swoich zobowiązań </w:t>
      </w:r>
      <w:r w:rsidR="009D4FB1" w:rsidRPr="002001B7">
        <w:rPr>
          <w:rFonts w:ascii="Verdana" w:hAnsi="Verdana" w:cs="Verdana"/>
          <w:bCs/>
          <w:color w:val="0070C0"/>
          <w:sz w:val="20"/>
          <w:szCs w:val="20"/>
        </w:rPr>
        <w:t>zawartych w klauzulach starych papierach wartościowych przed wejściem w życie nowego prawa. Trybunał uznał również, iż klauzule wspólnego działania oraz restrukturyzacja długu publicznego stanowiły odpowiedni i konieczny środek redukcji długu publicznego i uchronienia kraju od bankructwa oraz że inwestowanie w papiery wartościowe nigdy nie było pozbawione ryzyka, a skarżący powinni być świadomi wahań na rynku finansowym i ryzyka ewentualnego spadku wartości obligacji zważając na deficyt i ogromne zadłużenie kraju je</w:t>
      </w:r>
      <w:r w:rsidR="00A75088" w:rsidRPr="002001B7">
        <w:rPr>
          <w:rFonts w:ascii="Verdana" w:hAnsi="Verdana" w:cs="Verdana"/>
          <w:bCs/>
          <w:color w:val="0070C0"/>
          <w:sz w:val="20"/>
          <w:szCs w:val="20"/>
        </w:rPr>
        <w:t>szcze przed kryzysem z 2009 r</w:t>
      </w:r>
      <w:r w:rsidR="009D4FB1" w:rsidRPr="002001B7">
        <w:rPr>
          <w:rFonts w:ascii="Verdana" w:hAnsi="Verdana" w:cs="Verdana"/>
          <w:bCs/>
          <w:color w:val="0070C0"/>
          <w:sz w:val="20"/>
          <w:szCs w:val="20"/>
        </w:rPr>
        <w:t xml:space="preserve">. Trybunał orzekł również, iż </w:t>
      </w:r>
      <w:r w:rsidR="009D4FB1" w:rsidRPr="002001B7">
        <w:rPr>
          <w:rFonts w:ascii="Verdana" w:hAnsi="Verdana" w:cs="Verdana"/>
          <w:b/>
          <w:bCs/>
          <w:color w:val="0070C0"/>
          <w:sz w:val="20"/>
          <w:szCs w:val="20"/>
        </w:rPr>
        <w:t>nie doszło do naruszenia Artykułu 14</w:t>
      </w:r>
      <w:r w:rsidR="009D4FB1" w:rsidRPr="002001B7">
        <w:rPr>
          <w:rFonts w:ascii="Verdana" w:hAnsi="Verdana" w:cs="Verdana"/>
          <w:bCs/>
          <w:color w:val="0070C0"/>
          <w:sz w:val="20"/>
          <w:szCs w:val="20"/>
        </w:rPr>
        <w:t xml:space="preserve"> (zakaz dyskryminacji) Konwencji </w:t>
      </w:r>
      <w:r w:rsidR="009D4FB1" w:rsidRPr="002001B7">
        <w:rPr>
          <w:rFonts w:ascii="Verdana" w:hAnsi="Verdana" w:cs="Verdana"/>
          <w:b/>
          <w:bCs/>
          <w:color w:val="0070C0"/>
          <w:sz w:val="20"/>
          <w:szCs w:val="20"/>
        </w:rPr>
        <w:t xml:space="preserve">w związku z Artykułem 1 </w:t>
      </w:r>
      <w:r w:rsidR="00634938" w:rsidRPr="002001B7">
        <w:rPr>
          <w:rFonts w:ascii="Verdana" w:hAnsi="Verdana" w:cs="Verdana"/>
          <w:b/>
          <w:bCs/>
          <w:color w:val="0070C0"/>
          <w:sz w:val="20"/>
          <w:szCs w:val="20"/>
        </w:rPr>
        <w:t>Protokołu nr 1</w:t>
      </w:r>
      <w:r w:rsidR="00634938" w:rsidRPr="002001B7">
        <w:rPr>
          <w:rFonts w:ascii="Verdana" w:hAnsi="Verdana" w:cs="Verdana"/>
          <w:bCs/>
          <w:color w:val="0070C0"/>
          <w:sz w:val="20"/>
          <w:szCs w:val="20"/>
        </w:rPr>
        <w:t xml:space="preserve"> w sprawie skarżących, stwierdzając, iż procedura wymiany obligacji nie była dyskryminująca, w szczególności ze względu na trudną pozycję osób posiadających obligacje na tak niestabilnym rynku, trudność wyznaczenia precyzyjnych kryteriów </w:t>
      </w:r>
      <w:r w:rsidR="005364EC" w:rsidRPr="002001B7">
        <w:rPr>
          <w:rFonts w:ascii="Verdana" w:hAnsi="Verdana" w:cs="Verdana"/>
          <w:bCs/>
          <w:color w:val="0070C0"/>
          <w:sz w:val="20"/>
          <w:szCs w:val="20"/>
        </w:rPr>
        <w:t xml:space="preserve">rozróżnienia przez posiadaczy obligacji, ryzyko całej operacji z </w:t>
      </w:r>
      <w:r w:rsidR="00F37940" w:rsidRPr="002001B7">
        <w:rPr>
          <w:rFonts w:ascii="Verdana" w:hAnsi="Verdana" w:cs="Verdana"/>
          <w:bCs/>
          <w:color w:val="0070C0"/>
          <w:sz w:val="20"/>
          <w:szCs w:val="20"/>
        </w:rPr>
        <w:t>katastrofalnymi skutkami dla gospodarki oraz potrzeba szybkiego</w:t>
      </w:r>
      <w:r w:rsidR="00A936E3" w:rsidRPr="002001B7">
        <w:rPr>
          <w:rFonts w:ascii="Verdana" w:hAnsi="Verdana" w:cs="Verdana"/>
          <w:bCs/>
          <w:color w:val="0070C0"/>
          <w:sz w:val="20"/>
          <w:szCs w:val="20"/>
        </w:rPr>
        <w:t xml:space="preserve"> działania w celu restrukturyza</w:t>
      </w:r>
      <w:r w:rsidR="00F37940" w:rsidRPr="002001B7">
        <w:rPr>
          <w:rFonts w:ascii="Verdana" w:hAnsi="Verdana" w:cs="Verdana"/>
          <w:bCs/>
          <w:color w:val="0070C0"/>
          <w:sz w:val="20"/>
          <w:szCs w:val="20"/>
        </w:rPr>
        <w:t>c</w:t>
      </w:r>
      <w:r w:rsidR="00A936E3" w:rsidRPr="002001B7">
        <w:rPr>
          <w:rFonts w:ascii="Verdana" w:hAnsi="Verdana" w:cs="Verdana"/>
          <w:bCs/>
          <w:color w:val="0070C0"/>
          <w:sz w:val="20"/>
          <w:szCs w:val="20"/>
        </w:rPr>
        <w:t>j</w:t>
      </w:r>
      <w:r w:rsidR="00F37940" w:rsidRPr="002001B7">
        <w:rPr>
          <w:rFonts w:ascii="Verdana" w:hAnsi="Verdana" w:cs="Verdana"/>
          <w:bCs/>
          <w:color w:val="0070C0"/>
          <w:sz w:val="20"/>
          <w:szCs w:val="20"/>
        </w:rPr>
        <w:t xml:space="preserve">i długu. </w:t>
      </w:r>
    </w:p>
    <w:p w14:paraId="5EB1F47E" w14:textId="77777777" w:rsidR="00F37940" w:rsidRPr="002001B7" w:rsidRDefault="00F37940" w:rsidP="00F76DF1">
      <w:pPr>
        <w:widowControl w:val="0"/>
        <w:autoSpaceDE w:val="0"/>
        <w:autoSpaceDN w:val="0"/>
        <w:adjustRightInd w:val="0"/>
        <w:rPr>
          <w:rFonts w:ascii="Verdana" w:hAnsi="Verdana" w:cs="Verdana"/>
          <w:b/>
          <w:bCs/>
          <w:color w:val="0B5CAE"/>
          <w:sz w:val="20"/>
          <w:szCs w:val="20"/>
          <w:u w:val="single"/>
        </w:rPr>
      </w:pPr>
      <w:r w:rsidRPr="002001B7">
        <w:rPr>
          <w:rFonts w:ascii="Verdana" w:hAnsi="Verdana" w:cs="Verdana"/>
          <w:b/>
          <w:bCs/>
          <w:color w:val="0B5CAE"/>
          <w:sz w:val="20"/>
          <w:szCs w:val="20"/>
          <w:u w:val="single"/>
        </w:rPr>
        <w:t xml:space="preserve">Mockienė przeciwko Litwie </w:t>
      </w:r>
    </w:p>
    <w:p w14:paraId="6BFD7BC8" w14:textId="77777777" w:rsidR="00F15D49" w:rsidRPr="004A2C75" w:rsidRDefault="00A936E3" w:rsidP="00F76DF1">
      <w:pPr>
        <w:rPr>
          <w:rFonts w:ascii="Verdana" w:hAnsi="Verdana"/>
          <w:color w:val="767171" w:themeColor="background2" w:themeShade="80"/>
          <w:sz w:val="20"/>
          <w:szCs w:val="20"/>
        </w:rPr>
      </w:pPr>
      <w:r w:rsidRPr="004A2C75">
        <w:rPr>
          <w:rFonts w:ascii="Verdana" w:hAnsi="Verdana"/>
          <w:color w:val="767171" w:themeColor="background2" w:themeShade="80"/>
          <w:sz w:val="20"/>
          <w:szCs w:val="20"/>
        </w:rPr>
        <w:t>4 lipca 2017 (decyzja w sprawie</w:t>
      </w:r>
      <w:r w:rsidR="00F37940" w:rsidRPr="004A2C75">
        <w:rPr>
          <w:rFonts w:ascii="Verdana" w:hAnsi="Verdana"/>
          <w:color w:val="767171" w:themeColor="background2" w:themeShade="80"/>
          <w:sz w:val="20"/>
          <w:szCs w:val="20"/>
        </w:rPr>
        <w:t xml:space="preserve"> dopuszczalności)</w:t>
      </w:r>
    </w:p>
    <w:p w14:paraId="7682AB14" w14:textId="77777777" w:rsidR="00B05940" w:rsidRPr="004A2C75" w:rsidRDefault="00F37940" w:rsidP="00F76DF1">
      <w:pPr>
        <w:jc w:val="both"/>
        <w:rPr>
          <w:rFonts w:ascii="Verdana" w:hAnsi="Verdana"/>
          <w:color w:val="000000" w:themeColor="text1"/>
          <w:sz w:val="20"/>
          <w:szCs w:val="20"/>
        </w:rPr>
      </w:pPr>
      <w:r w:rsidRPr="004A2C75">
        <w:rPr>
          <w:rFonts w:ascii="Verdana" w:hAnsi="Verdana"/>
          <w:color w:val="000000" w:themeColor="text1"/>
          <w:sz w:val="20"/>
          <w:szCs w:val="20"/>
        </w:rPr>
        <w:t>Sprawa ta dotyczy redukcji świadczeń s</w:t>
      </w:r>
      <w:r w:rsidR="00DD62B9" w:rsidRPr="004A2C75">
        <w:rPr>
          <w:rFonts w:ascii="Verdana" w:hAnsi="Verdana"/>
          <w:color w:val="000000" w:themeColor="text1"/>
          <w:sz w:val="20"/>
          <w:szCs w:val="20"/>
        </w:rPr>
        <w:t>połecznych</w:t>
      </w:r>
      <w:r w:rsidRPr="004A2C75">
        <w:rPr>
          <w:rFonts w:ascii="Verdana" w:hAnsi="Verdana"/>
          <w:color w:val="000000" w:themeColor="text1"/>
          <w:sz w:val="20"/>
          <w:szCs w:val="20"/>
        </w:rPr>
        <w:t xml:space="preserve"> podczas kryzysu go</w:t>
      </w:r>
      <w:r w:rsidR="00A936E3" w:rsidRPr="004A2C75">
        <w:rPr>
          <w:rFonts w:ascii="Verdana" w:hAnsi="Verdana"/>
          <w:color w:val="000000" w:themeColor="text1"/>
          <w:sz w:val="20"/>
          <w:szCs w:val="20"/>
        </w:rPr>
        <w:t>spodarczego na L</w:t>
      </w:r>
      <w:r w:rsidR="00E45E3F" w:rsidRPr="004A2C75">
        <w:rPr>
          <w:rFonts w:ascii="Verdana" w:hAnsi="Verdana"/>
          <w:color w:val="000000" w:themeColor="text1"/>
          <w:sz w:val="20"/>
          <w:szCs w:val="20"/>
        </w:rPr>
        <w:t>itwie. Skarż</w:t>
      </w:r>
      <w:r w:rsidR="00A936E3" w:rsidRPr="004A2C75">
        <w:rPr>
          <w:rFonts w:ascii="Verdana" w:hAnsi="Verdana"/>
          <w:color w:val="000000" w:themeColor="text1"/>
          <w:sz w:val="20"/>
          <w:szCs w:val="20"/>
        </w:rPr>
        <w:t>ąca, była urzędniczka Departamen</w:t>
      </w:r>
      <w:r w:rsidR="00E45E3F" w:rsidRPr="004A2C75">
        <w:rPr>
          <w:rFonts w:ascii="Verdana" w:hAnsi="Verdana"/>
          <w:color w:val="000000" w:themeColor="text1"/>
          <w:sz w:val="20"/>
          <w:szCs w:val="20"/>
        </w:rPr>
        <w:t xml:space="preserve">tu Więziennictwa, zarzucała, iż jej </w:t>
      </w:r>
      <w:r w:rsidR="00B05940" w:rsidRPr="004A2C75">
        <w:rPr>
          <w:rFonts w:ascii="Verdana" w:hAnsi="Verdana"/>
          <w:color w:val="000000" w:themeColor="text1"/>
          <w:sz w:val="20"/>
          <w:szCs w:val="20"/>
        </w:rPr>
        <w:t>świadczenie emerytalne zostało zredukowane o 15%  gdy na Litwie obowiązywała nowa ustawa, od stycznia 2010 do grudnia 2013</w:t>
      </w:r>
      <w:r w:rsidR="002001B7">
        <w:rPr>
          <w:rFonts w:ascii="Verdana" w:hAnsi="Verdana"/>
          <w:color w:val="000000" w:themeColor="text1"/>
          <w:sz w:val="20"/>
          <w:szCs w:val="20"/>
        </w:rPr>
        <w:t>r</w:t>
      </w:r>
      <w:r w:rsidR="00A936E3" w:rsidRPr="004A2C75">
        <w:rPr>
          <w:rFonts w:ascii="Verdana" w:hAnsi="Verdana"/>
          <w:color w:val="000000" w:themeColor="text1"/>
          <w:sz w:val="20"/>
          <w:szCs w:val="20"/>
        </w:rPr>
        <w:t xml:space="preserve">. Skarżyła również, iż została </w:t>
      </w:r>
      <w:r w:rsidR="00B05940" w:rsidRPr="004A2C75">
        <w:rPr>
          <w:rFonts w:ascii="Verdana" w:hAnsi="Verdana"/>
          <w:color w:val="000000" w:themeColor="text1"/>
          <w:sz w:val="20"/>
          <w:szCs w:val="20"/>
        </w:rPr>
        <w:t xml:space="preserve">dyskryminowana, ponieważ ci, którzy otrzymali emerytury mieli prawo do rekompensaty z tytułu redukcji świadczeń, podczas gdy ona takiej możliwości nie miała. </w:t>
      </w:r>
    </w:p>
    <w:p w14:paraId="0DEA0F30" w14:textId="77777777" w:rsidR="00805378" w:rsidRPr="006B17FF" w:rsidRDefault="00B05940" w:rsidP="00F76DF1">
      <w:pPr>
        <w:jc w:val="both"/>
        <w:rPr>
          <w:rFonts w:ascii="Verdana" w:hAnsi="Verdana"/>
          <w:color w:val="0070C0"/>
          <w:sz w:val="20"/>
          <w:szCs w:val="20"/>
        </w:rPr>
      </w:pPr>
      <w:r w:rsidRPr="006B17FF">
        <w:rPr>
          <w:rFonts w:ascii="Verdana" w:hAnsi="Verdana"/>
          <w:color w:val="0070C0"/>
          <w:sz w:val="20"/>
          <w:szCs w:val="20"/>
        </w:rPr>
        <w:t xml:space="preserve">Trybunał uznał skargi za </w:t>
      </w:r>
      <w:r w:rsidRPr="006B17FF">
        <w:rPr>
          <w:rFonts w:ascii="Verdana" w:hAnsi="Verdana"/>
          <w:b/>
          <w:color w:val="0070C0"/>
          <w:sz w:val="20"/>
          <w:szCs w:val="20"/>
        </w:rPr>
        <w:t>niedopuszczalne</w:t>
      </w:r>
      <w:r w:rsidRPr="006B17FF">
        <w:rPr>
          <w:rFonts w:ascii="Verdana" w:hAnsi="Verdana"/>
          <w:color w:val="0070C0"/>
          <w:sz w:val="20"/>
          <w:szCs w:val="20"/>
        </w:rPr>
        <w:t xml:space="preserve"> jako </w:t>
      </w:r>
      <w:r w:rsidR="00A936E3" w:rsidRPr="006B17FF">
        <w:rPr>
          <w:rFonts w:ascii="Verdana" w:hAnsi="Verdana"/>
          <w:color w:val="0070C0"/>
          <w:sz w:val="20"/>
          <w:szCs w:val="20"/>
        </w:rPr>
        <w:t>oczywiście</w:t>
      </w:r>
      <w:r w:rsidRPr="006B17FF">
        <w:rPr>
          <w:rFonts w:ascii="Verdana" w:hAnsi="Verdana"/>
          <w:color w:val="0070C0"/>
          <w:sz w:val="20"/>
          <w:szCs w:val="20"/>
        </w:rPr>
        <w:t xml:space="preserve"> bezzasadne. W tym przypadku nie było podstaw aby stwierdzić, iż władze litewskie nie dały rady ustanowić sprawiedliwej równowagi pomiędzy podstawowymi prawami skarżącej a ogólnym interesem społeczeństwa. Trybunał wziął pod uwagę w szczególności poważne problemy gospodarcze, z którymi zmagała się Litwa podczas światowego kryzysu gospodarczego,  jak również ograniczony zakres oraz tymczasowy charakter </w:t>
      </w:r>
      <w:r w:rsidR="00805378" w:rsidRPr="006B17FF">
        <w:rPr>
          <w:rFonts w:ascii="Verdana" w:hAnsi="Verdana"/>
          <w:color w:val="0070C0"/>
          <w:sz w:val="20"/>
          <w:szCs w:val="20"/>
        </w:rPr>
        <w:t xml:space="preserve">redukcji świadczenia emerytalnego, który był częścią szerszego programu środków oszczędnościowych. Trybunał stwierdził również, iż nowe </w:t>
      </w:r>
      <w:r w:rsidR="00A75088" w:rsidRPr="006B17FF">
        <w:rPr>
          <w:rFonts w:ascii="Verdana" w:hAnsi="Verdana"/>
          <w:color w:val="0070C0"/>
          <w:sz w:val="20"/>
          <w:szCs w:val="20"/>
        </w:rPr>
        <w:t>przepisy wprowadzone w 2010 r.</w:t>
      </w:r>
      <w:r w:rsidR="00805378" w:rsidRPr="006B17FF">
        <w:rPr>
          <w:rFonts w:ascii="Verdana" w:hAnsi="Verdana"/>
          <w:color w:val="0070C0"/>
          <w:sz w:val="20"/>
          <w:szCs w:val="20"/>
        </w:rPr>
        <w:t xml:space="preserve"> nie były dyskryminujące. W tym zakresie, zauważył on w szczególności, iż emerytury urzędnicze były uznaniowe oraz zależały od zasobów finansowych Państwa, podczas gdy świadczenia emerytalne były konstytucyjnym obowiązkiem państwa powiązanym z indywidualnym składkami ubezpieczenia społecznego. Te dwie grupy beneficjentów nie są porównywalne, co znaczy iż żadne różnice w traktowaniu pomiędzy nimi nie mogły stanowić dyskryminacji. </w:t>
      </w:r>
    </w:p>
    <w:p w14:paraId="67554DB9" w14:textId="77777777" w:rsidR="00661CDA" w:rsidRPr="004A2C75" w:rsidRDefault="00805378" w:rsidP="00F76DF1">
      <w:pPr>
        <w:rPr>
          <w:rFonts w:ascii="Verdana" w:hAnsi="Verdana"/>
          <w:sz w:val="20"/>
          <w:szCs w:val="20"/>
        </w:rPr>
      </w:pPr>
      <w:r w:rsidRPr="004A2C75">
        <w:rPr>
          <w:rFonts w:ascii="Verdana" w:hAnsi="Verdana"/>
          <w:sz w:val="20"/>
          <w:szCs w:val="20"/>
        </w:rPr>
        <w:t xml:space="preserve"> </w:t>
      </w:r>
    </w:p>
    <w:p w14:paraId="4E938F44" w14:textId="77777777" w:rsidR="00805378" w:rsidRPr="006A60BA" w:rsidRDefault="002C563C" w:rsidP="00F76DF1">
      <w:pPr>
        <w:widowControl w:val="0"/>
        <w:autoSpaceDE w:val="0"/>
        <w:autoSpaceDN w:val="0"/>
        <w:adjustRightInd w:val="0"/>
        <w:rPr>
          <w:rFonts w:ascii="Verdana" w:hAnsi="Verdana" w:cs="Verdana"/>
          <w:b/>
          <w:bCs/>
          <w:color w:val="0B5CAE"/>
          <w:sz w:val="20"/>
          <w:szCs w:val="20"/>
          <w:u w:val="single"/>
        </w:rPr>
      </w:pPr>
      <w:r w:rsidRPr="004A2C75">
        <w:rPr>
          <w:rFonts w:ascii="Verdana" w:hAnsi="Verdana"/>
          <w:sz w:val="20"/>
          <w:szCs w:val="20"/>
        </w:rPr>
        <w:t xml:space="preserve"> </w:t>
      </w:r>
      <w:r w:rsidR="00A936E3" w:rsidRPr="006A60BA">
        <w:rPr>
          <w:rFonts w:ascii="Verdana" w:hAnsi="Verdana" w:cs="Verdana"/>
          <w:b/>
          <w:bCs/>
          <w:color w:val="0B5CAE"/>
          <w:sz w:val="20"/>
          <w:szCs w:val="20"/>
          <w:u w:val="single"/>
        </w:rPr>
        <w:t xml:space="preserve">P. Plaisier B.V. przeciwko Holandii oraz dwie inne skargi </w:t>
      </w:r>
    </w:p>
    <w:p w14:paraId="0DEC1479" w14:textId="77777777" w:rsidR="00EF76BE" w:rsidRPr="004A2C75" w:rsidRDefault="00805378" w:rsidP="00F76DF1">
      <w:pPr>
        <w:jc w:val="both"/>
        <w:rPr>
          <w:rFonts w:ascii="Verdana" w:hAnsi="Verdana"/>
          <w:color w:val="767171" w:themeColor="background2" w:themeShade="80"/>
          <w:sz w:val="20"/>
          <w:szCs w:val="20"/>
        </w:rPr>
      </w:pPr>
      <w:r w:rsidRPr="004A2C75">
        <w:rPr>
          <w:rFonts w:ascii="Verdana" w:hAnsi="Verdana"/>
          <w:color w:val="767171" w:themeColor="background2" w:themeShade="80"/>
          <w:sz w:val="20"/>
          <w:szCs w:val="20"/>
        </w:rPr>
        <w:t xml:space="preserve">14 </w:t>
      </w:r>
      <w:r w:rsidR="00A936E3" w:rsidRPr="004A2C75">
        <w:rPr>
          <w:rFonts w:ascii="Verdana" w:hAnsi="Verdana"/>
          <w:color w:val="767171" w:themeColor="background2" w:themeShade="80"/>
          <w:sz w:val="20"/>
          <w:szCs w:val="20"/>
        </w:rPr>
        <w:t>listopada</w:t>
      </w:r>
      <w:r w:rsidRPr="004A2C75">
        <w:rPr>
          <w:rFonts w:ascii="Verdana" w:hAnsi="Verdana"/>
          <w:color w:val="767171" w:themeColor="background2" w:themeShade="80"/>
          <w:sz w:val="20"/>
          <w:szCs w:val="20"/>
        </w:rPr>
        <w:t xml:space="preserve"> 2017</w:t>
      </w:r>
      <w:r w:rsidR="006A60BA">
        <w:rPr>
          <w:rFonts w:ascii="Verdana" w:hAnsi="Verdana"/>
          <w:color w:val="767171" w:themeColor="background2" w:themeShade="80"/>
          <w:sz w:val="20"/>
          <w:szCs w:val="20"/>
        </w:rPr>
        <w:t>r.</w:t>
      </w:r>
      <w:r w:rsidRPr="004A2C75">
        <w:rPr>
          <w:rFonts w:ascii="Verdana" w:hAnsi="Verdana"/>
          <w:color w:val="767171" w:themeColor="background2" w:themeShade="80"/>
          <w:sz w:val="20"/>
          <w:szCs w:val="20"/>
        </w:rPr>
        <w:t xml:space="preserve"> (decyzja </w:t>
      </w:r>
      <w:r w:rsidR="00A936E3" w:rsidRPr="004A2C75">
        <w:rPr>
          <w:rFonts w:ascii="Verdana" w:hAnsi="Verdana"/>
          <w:color w:val="767171" w:themeColor="background2" w:themeShade="80"/>
          <w:sz w:val="20"/>
          <w:szCs w:val="20"/>
        </w:rPr>
        <w:t>w sprawie dopuszczalności</w:t>
      </w:r>
      <w:r w:rsidRPr="004A2C75">
        <w:rPr>
          <w:rFonts w:ascii="Verdana" w:hAnsi="Verdana"/>
          <w:color w:val="767171" w:themeColor="background2" w:themeShade="80"/>
          <w:sz w:val="20"/>
          <w:szCs w:val="20"/>
        </w:rPr>
        <w:t xml:space="preserve">) </w:t>
      </w:r>
    </w:p>
    <w:p w14:paraId="34DA2798" w14:textId="77777777" w:rsidR="00805378" w:rsidRPr="004A2C75" w:rsidRDefault="00805378" w:rsidP="00F76DF1">
      <w:pPr>
        <w:jc w:val="both"/>
        <w:rPr>
          <w:rFonts w:ascii="Verdana" w:hAnsi="Verdana"/>
          <w:sz w:val="20"/>
          <w:szCs w:val="20"/>
        </w:rPr>
      </w:pPr>
      <w:r w:rsidRPr="004A2C75">
        <w:rPr>
          <w:rFonts w:ascii="Verdana" w:hAnsi="Verdana"/>
          <w:sz w:val="20"/>
          <w:szCs w:val="20"/>
        </w:rPr>
        <w:t xml:space="preserve">Trzy przedsiębiorstwa, skarżyły dodatkowy podatek, który pracodawcy byli zobowiązani płacić od wynagrodzeń powyżej 150,000 euro, który był częścią środków oszczędnościowych przyjętych podczas kryzysu gospodarczego. </w:t>
      </w:r>
      <w:r w:rsidR="004907AA" w:rsidRPr="004A2C75">
        <w:rPr>
          <w:rFonts w:ascii="Verdana" w:hAnsi="Verdana"/>
          <w:sz w:val="20"/>
          <w:szCs w:val="20"/>
        </w:rPr>
        <w:t>Zarzucili oni, iż podatek przyjęty w 2013</w:t>
      </w:r>
      <w:r w:rsidR="00A75088" w:rsidRPr="004A2C75">
        <w:rPr>
          <w:rFonts w:ascii="Verdana" w:hAnsi="Verdana"/>
          <w:sz w:val="20"/>
          <w:szCs w:val="20"/>
        </w:rPr>
        <w:t xml:space="preserve"> r.</w:t>
      </w:r>
      <w:r w:rsidR="004907AA" w:rsidRPr="004A2C75">
        <w:rPr>
          <w:rFonts w:ascii="Verdana" w:hAnsi="Verdana"/>
          <w:sz w:val="20"/>
          <w:szCs w:val="20"/>
        </w:rPr>
        <w:t xml:space="preserve"> a stosowany do wynagrodzeń z 2012 był nieprzewid</w:t>
      </w:r>
      <w:r w:rsidR="00854B3A">
        <w:rPr>
          <w:rFonts w:ascii="Verdana" w:hAnsi="Verdana"/>
          <w:sz w:val="20"/>
          <w:szCs w:val="20"/>
        </w:rPr>
        <w:t xml:space="preserve">ywalny, </w:t>
      </w:r>
      <w:r w:rsidR="004907AA" w:rsidRPr="004A2C75">
        <w:rPr>
          <w:rFonts w:ascii="Verdana" w:hAnsi="Verdana"/>
          <w:sz w:val="20"/>
          <w:szCs w:val="20"/>
        </w:rPr>
        <w:t xml:space="preserve">niesprawiedliwy i dyskryminujący. </w:t>
      </w:r>
    </w:p>
    <w:p w14:paraId="302DD08E" w14:textId="7C01E039" w:rsidR="004907AA" w:rsidRDefault="004907AA" w:rsidP="00F76DF1">
      <w:pPr>
        <w:jc w:val="both"/>
        <w:rPr>
          <w:rFonts w:ascii="Verdana" w:hAnsi="Verdana"/>
          <w:color w:val="0070C0"/>
          <w:sz w:val="20"/>
          <w:szCs w:val="20"/>
        </w:rPr>
      </w:pPr>
      <w:r w:rsidRPr="006A60BA">
        <w:rPr>
          <w:rFonts w:ascii="Verdana" w:hAnsi="Verdana"/>
          <w:color w:val="0070C0"/>
          <w:sz w:val="20"/>
          <w:szCs w:val="20"/>
        </w:rPr>
        <w:t xml:space="preserve">Trybunał uznał skargę za </w:t>
      </w:r>
      <w:r w:rsidRPr="006A60BA">
        <w:rPr>
          <w:rFonts w:ascii="Verdana" w:hAnsi="Verdana"/>
          <w:b/>
          <w:color w:val="0070C0"/>
          <w:sz w:val="20"/>
          <w:szCs w:val="20"/>
        </w:rPr>
        <w:t>niedopuszc</w:t>
      </w:r>
      <w:r w:rsidR="00A936E3" w:rsidRPr="006A60BA">
        <w:rPr>
          <w:rFonts w:ascii="Verdana" w:hAnsi="Verdana"/>
          <w:b/>
          <w:color w:val="0070C0"/>
          <w:sz w:val="20"/>
          <w:szCs w:val="20"/>
        </w:rPr>
        <w:t>z</w:t>
      </w:r>
      <w:r w:rsidRPr="006A60BA">
        <w:rPr>
          <w:rFonts w:ascii="Verdana" w:hAnsi="Verdana"/>
          <w:b/>
          <w:color w:val="0070C0"/>
          <w:sz w:val="20"/>
          <w:szCs w:val="20"/>
        </w:rPr>
        <w:t>alną</w:t>
      </w:r>
      <w:r w:rsidRPr="006A60BA">
        <w:rPr>
          <w:rFonts w:ascii="Verdana" w:hAnsi="Verdana"/>
          <w:color w:val="0070C0"/>
          <w:sz w:val="20"/>
          <w:szCs w:val="20"/>
        </w:rPr>
        <w:t xml:space="preserve"> jako </w:t>
      </w:r>
      <w:r w:rsidR="00A936E3" w:rsidRPr="006A60BA">
        <w:rPr>
          <w:rFonts w:ascii="Verdana" w:hAnsi="Verdana"/>
          <w:color w:val="0070C0"/>
          <w:sz w:val="20"/>
          <w:szCs w:val="20"/>
        </w:rPr>
        <w:t>oczywiście</w:t>
      </w:r>
      <w:r w:rsidRPr="006A60BA">
        <w:rPr>
          <w:rFonts w:ascii="Verdana" w:hAnsi="Verdana"/>
          <w:color w:val="0070C0"/>
          <w:sz w:val="20"/>
          <w:szCs w:val="20"/>
        </w:rPr>
        <w:t xml:space="preserve"> bezzasadną. Stwierdził, iż decyzje</w:t>
      </w:r>
      <w:r w:rsidR="00A936E3" w:rsidRPr="006A60BA">
        <w:rPr>
          <w:rFonts w:ascii="Verdana" w:hAnsi="Verdana"/>
          <w:color w:val="0070C0"/>
          <w:sz w:val="20"/>
          <w:szCs w:val="20"/>
        </w:rPr>
        <w:t xml:space="preserve"> podjęte przez rząd Holandii</w:t>
      </w:r>
      <w:r w:rsidRPr="006A60BA">
        <w:rPr>
          <w:rFonts w:ascii="Verdana" w:hAnsi="Verdana"/>
          <w:color w:val="0070C0"/>
          <w:sz w:val="20"/>
          <w:szCs w:val="20"/>
        </w:rPr>
        <w:t xml:space="preserve"> </w:t>
      </w:r>
      <w:r w:rsidR="00A936E3" w:rsidRPr="006A60BA">
        <w:rPr>
          <w:rFonts w:ascii="Verdana" w:hAnsi="Verdana"/>
          <w:color w:val="0070C0"/>
          <w:sz w:val="20"/>
          <w:szCs w:val="20"/>
        </w:rPr>
        <w:t>n</w:t>
      </w:r>
      <w:r w:rsidRPr="006A60BA">
        <w:rPr>
          <w:rFonts w:ascii="Verdana" w:hAnsi="Verdana"/>
          <w:color w:val="0070C0"/>
          <w:sz w:val="20"/>
          <w:szCs w:val="20"/>
        </w:rPr>
        <w:t xml:space="preserve">ie wykraczały poza margines swobodnego uznania przyznany władzom w kwestiach podatkowych oraz nie naruszały równowagi pomiędzy interesem ogółu a ochroną praw przedsiębiorstw. Trybunał zauważył w szczególności, </w:t>
      </w:r>
      <w:r w:rsidRPr="006A60BA">
        <w:rPr>
          <w:rFonts w:ascii="Verdana" w:hAnsi="Verdana"/>
          <w:color w:val="0070C0"/>
          <w:sz w:val="20"/>
          <w:szCs w:val="20"/>
        </w:rPr>
        <w:lastRenderedPageBreak/>
        <w:t xml:space="preserve">iż zaakceptował różne środki oszczędnościowe stosowane przez państwa </w:t>
      </w:r>
      <w:r w:rsidR="00A936E3" w:rsidRPr="006A60BA">
        <w:rPr>
          <w:rFonts w:ascii="Verdana" w:hAnsi="Verdana"/>
          <w:color w:val="0070C0"/>
          <w:sz w:val="20"/>
          <w:szCs w:val="20"/>
        </w:rPr>
        <w:t>a</w:t>
      </w:r>
      <w:r w:rsidRPr="006A60BA">
        <w:rPr>
          <w:rFonts w:ascii="Verdana" w:hAnsi="Verdana"/>
          <w:color w:val="0070C0"/>
          <w:sz w:val="20"/>
          <w:szCs w:val="20"/>
        </w:rPr>
        <w:t xml:space="preserve"> kroki podjęte przez władze h</w:t>
      </w:r>
      <w:r w:rsidR="00A936E3" w:rsidRPr="006A60BA">
        <w:rPr>
          <w:rFonts w:ascii="Verdana" w:hAnsi="Verdana"/>
          <w:color w:val="0070C0"/>
          <w:sz w:val="20"/>
          <w:szCs w:val="20"/>
        </w:rPr>
        <w:t>olenderskie również były częścią celu do którego dążył kraj</w:t>
      </w:r>
      <w:r w:rsidRPr="006A60BA">
        <w:rPr>
          <w:rFonts w:ascii="Verdana" w:hAnsi="Verdana"/>
          <w:color w:val="0070C0"/>
          <w:sz w:val="20"/>
          <w:szCs w:val="20"/>
        </w:rPr>
        <w:t xml:space="preserve">, </w:t>
      </w:r>
      <w:r w:rsidR="00A936E3" w:rsidRPr="006A60BA">
        <w:rPr>
          <w:rFonts w:ascii="Verdana" w:hAnsi="Verdana"/>
          <w:color w:val="0070C0"/>
          <w:sz w:val="20"/>
          <w:szCs w:val="20"/>
        </w:rPr>
        <w:t>mianowicie</w:t>
      </w:r>
      <w:r w:rsidRPr="006A60BA">
        <w:rPr>
          <w:rFonts w:ascii="Verdana" w:hAnsi="Verdana"/>
          <w:color w:val="0070C0"/>
          <w:sz w:val="20"/>
          <w:szCs w:val="20"/>
        </w:rPr>
        <w:t xml:space="preserve"> wypełnieni</w:t>
      </w:r>
      <w:r w:rsidR="00A936E3" w:rsidRPr="006A60BA">
        <w:rPr>
          <w:rFonts w:ascii="Verdana" w:hAnsi="Verdana"/>
          <w:color w:val="0070C0"/>
          <w:sz w:val="20"/>
          <w:szCs w:val="20"/>
        </w:rPr>
        <w:t>a</w:t>
      </w:r>
      <w:r w:rsidRPr="006A60BA">
        <w:rPr>
          <w:rFonts w:ascii="Verdana" w:hAnsi="Verdana"/>
          <w:color w:val="0070C0"/>
          <w:sz w:val="20"/>
          <w:szCs w:val="20"/>
        </w:rPr>
        <w:t xml:space="preserve"> zobowiązań wynikających z przepisów budżetowych Unii Europejskiej. </w:t>
      </w:r>
    </w:p>
    <w:p w14:paraId="6F03E284" w14:textId="0315CCE1" w:rsidR="00677A5C" w:rsidRDefault="00677A5C" w:rsidP="00F76DF1">
      <w:pPr>
        <w:jc w:val="both"/>
        <w:rPr>
          <w:rFonts w:ascii="Verdana" w:hAnsi="Verdana"/>
          <w:color w:val="0070C0"/>
          <w:sz w:val="20"/>
          <w:szCs w:val="20"/>
        </w:rPr>
      </w:pPr>
    </w:p>
    <w:p w14:paraId="57D948E1" w14:textId="4A7C00F3" w:rsidR="00677A5C" w:rsidRPr="0051213E" w:rsidRDefault="00677A5C" w:rsidP="00F76DF1">
      <w:pPr>
        <w:jc w:val="both"/>
        <w:rPr>
          <w:rFonts w:ascii="Verdana" w:hAnsi="Verdana"/>
          <w:b/>
          <w:bCs/>
          <w:color w:val="0070C0"/>
          <w:sz w:val="20"/>
          <w:szCs w:val="20"/>
          <w:u w:val="single"/>
        </w:rPr>
      </w:pPr>
      <w:r w:rsidRPr="0051213E">
        <w:rPr>
          <w:rFonts w:ascii="Verdana" w:hAnsi="Verdana"/>
          <w:b/>
          <w:bCs/>
          <w:color w:val="0070C0"/>
          <w:sz w:val="20"/>
          <w:szCs w:val="20"/>
          <w:u w:val="single"/>
        </w:rPr>
        <w:t xml:space="preserve">Aielli i Inni praz Arboit i Inni przeciwko Włochom </w:t>
      </w:r>
    </w:p>
    <w:p w14:paraId="7E92F93E" w14:textId="77777777" w:rsidR="00B04800" w:rsidRPr="0051213E" w:rsidRDefault="00677A5C" w:rsidP="00F76DF1">
      <w:pPr>
        <w:jc w:val="both"/>
        <w:rPr>
          <w:rFonts w:ascii="Verdana" w:hAnsi="Verdana"/>
          <w:sz w:val="20"/>
          <w:szCs w:val="20"/>
        </w:rPr>
      </w:pPr>
      <w:r w:rsidRPr="0051213E">
        <w:rPr>
          <w:rFonts w:ascii="Verdana" w:hAnsi="Verdana"/>
          <w:sz w:val="20"/>
          <w:szCs w:val="20"/>
        </w:rPr>
        <w:t xml:space="preserve">10 lipca 2018r. (decyzja o niedopuszczalności) </w:t>
      </w:r>
    </w:p>
    <w:p w14:paraId="7874150E" w14:textId="507DD4B2" w:rsidR="00B04800" w:rsidRPr="0051213E" w:rsidRDefault="007A55CB" w:rsidP="00F76DF1">
      <w:pPr>
        <w:pStyle w:val="Bezodstpw"/>
        <w:jc w:val="both"/>
        <w:rPr>
          <w:rFonts w:ascii="Verdana" w:hAnsi="Verdana"/>
          <w:sz w:val="20"/>
          <w:szCs w:val="20"/>
        </w:rPr>
      </w:pPr>
      <w:r w:rsidRPr="0051213E">
        <w:rPr>
          <w:rStyle w:val="tlid-translation"/>
          <w:rFonts w:ascii="Verdana" w:hAnsi="Verdana"/>
          <w:sz w:val="20"/>
          <w:szCs w:val="20"/>
        </w:rPr>
        <w:t xml:space="preserve">Sprawa dotyczyła reformy podwyższenia krajowych emerytur i rent </w:t>
      </w:r>
      <w:r w:rsidR="00B04800" w:rsidRPr="0051213E">
        <w:rPr>
          <w:rStyle w:val="tlid-translation"/>
          <w:rFonts w:ascii="Verdana" w:hAnsi="Verdana"/>
          <w:sz w:val="20"/>
          <w:szCs w:val="20"/>
        </w:rPr>
        <w:t>w latach</w:t>
      </w:r>
      <w:r w:rsidRPr="0051213E">
        <w:rPr>
          <w:rStyle w:val="tlid-translation"/>
          <w:rFonts w:ascii="Verdana" w:hAnsi="Verdana"/>
          <w:sz w:val="20"/>
          <w:szCs w:val="20"/>
        </w:rPr>
        <w:t xml:space="preserve"> 2012 i 2013 </w:t>
      </w:r>
      <w:r w:rsidR="00B04800" w:rsidRPr="0051213E">
        <w:rPr>
          <w:rStyle w:val="tlid-translation"/>
          <w:rFonts w:ascii="Verdana" w:hAnsi="Verdana"/>
          <w:sz w:val="20"/>
          <w:szCs w:val="20"/>
        </w:rPr>
        <w:br/>
      </w:r>
      <w:r w:rsidRPr="0051213E">
        <w:rPr>
          <w:rStyle w:val="tlid-translation"/>
          <w:rFonts w:ascii="Verdana" w:hAnsi="Verdana"/>
          <w:sz w:val="20"/>
          <w:szCs w:val="20"/>
        </w:rPr>
        <w:t xml:space="preserve">w </w:t>
      </w:r>
      <w:r w:rsidR="00F3765B" w:rsidRPr="0051213E">
        <w:rPr>
          <w:rStyle w:val="tlid-translation"/>
          <w:rFonts w:ascii="Verdana" w:hAnsi="Verdana"/>
          <w:sz w:val="20"/>
          <w:szCs w:val="20"/>
        </w:rPr>
        <w:t>sytuacji</w:t>
      </w:r>
      <w:r w:rsidRPr="0051213E">
        <w:rPr>
          <w:rStyle w:val="tlid-translation"/>
          <w:rFonts w:ascii="Verdana" w:hAnsi="Verdana"/>
          <w:sz w:val="20"/>
          <w:szCs w:val="20"/>
        </w:rPr>
        <w:t xml:space="preserve"> kryzysu deficytu budżetowego i jego konsekwencji. Skarżący, którzy byli emerytami i rencistami otrzymującymi </w:t>
      </w:r>
      <w:r w:rsidR="00F3765B" w:rsidRPr="0051213E">
        <w:rPr>
          <w:rStyle w:val="tlid-translation"/>
          <w:rFonts w:ascii="Verdana" w:hAnsi="Verdana"/>
          <w:sz w:val="20"/>
          <w:szCs w:val="20"/>
        </w:rPr>
        <w:t>uposażenie w ponad t</w:t>
      </w:r>
      <w:r w:rsidRPr="0051213E">
        <w:rPr>
          <w:rStyle w:val="tlid-translation"/>
          <w:rFonts w:ascii="Verdana" w:hAnsi="Verdana"/>
          <w:sz w:val="20"/>
          <w:szCs w:val="20"/>
        </w:rPr>
        <w:t>rzykrotn</w:t>
      </w:r>
      <w:r w:rsidR="00F3765B" w:rsidRPr="0051213E">
        <w:rPr>
          <w:rStyle w:val="tlid-translation"/>
          <w:rFonts w:ascii="Verdana" w:hAnsi="Verdana"/>
          <w:sz w:val="20"/>
          <w:szCs w:val="20"/>
        </w:rPr>
        <w:t>ej wysokości</w:t>
      </w:r>
      <w:r w:rsidRPr="0051213E">
        <w:rPr>
          <w:rStyle w:val="tlid-translation"/>
          <w:rFonts w:ascii="Verdana" w:hAnsi="Verdana"/>
          <w:sz w:val="20"/>
          <w:szCs w:val="20"/>
        </w:rPr>
        <w:t xml:space="preserve">  emerytur</w:t>
      </w:r>
      <w:r w:rsidR="00F3765B" w:rsidRPr="0051213E">
        <w:rPr>
          <w:rStyle w:val="tlid-translation"/>
          <w:rFonts w:ascii="Verdana" w:hAnsi="Verdana"/>
          <w:sz w:val="20"/>
          <w:szCs w:val="20"/>
        </w:rPr>
        <w:t>y</w:t>
      </w:r>
      <w:r w:rsidRPr="0051213E">
        <w:rPr>
          <w:rStyle w:val="tlid-translation"/>
          <w:rFonts w:ascii="Verdana" w:hAnsi="Verdana"/>
          <w:sz w:val="20"/>
          <w:szCs w:val="20"/>
        </w:rPr>
        <w:t xml:space="preserve"> minimaln</w:t>
      </w:r>
      <w:r w:rsidR="00F3765B" w:rsidRPr="0051213E">
        <w:rPr>
          <w:rStyle w:val="tlid-translation"/>
          <w:rFonts w:ascii="Verdana" w:hAnsi="Verdana"/>
          <w:sz w:val="20"/>
          <w:szCs w:val="20"/>
        </w:rPr>
        <w:t>ej</w:t>
      </w:r>
      <w:r w:rsidRPr="0051213E">
        <w:rPr>
          <w:rStyle w:val="tlid-translation"/>
          <w:rFonts w:ascii="Verdana" w:hAnsi="Verdana"/>
          <w:sz w:val="20"/>
          <w:szCs w:val="20"/>
        </w:rPr>
        <w:t xml:space="preserve">, skarżyli się na ponowne </w:t>
      </w:r>
      <w:r w:rsidR="00F3765B" w:rsidRPr="0051213E">
        <w:rPr>
          <w:rStyle w:val="tlid-translation"/>
          <w:rFonts w:ascii="Verdana" w:hAnsi="Verdana"/>
          <w:sz w:val="20"/>
          <w:szCs w:val="20"/>
        </w:rPr>
        <w:t>przeliczenie</w:t>
      </w:r>
      <w:r w:rsidRPr="0051213E">
        <w:rPr>
          <w:rStyle w:val="tlid-translation"/>
          <w:rFonts w:ascii="Verdana" w:hAnsi="Verdana"/>
          <w:sz w:val="20"/>
          <w:szCs w:val="20"/>
        </w:rPr>
        <w:t xml:space="preserve"> ich emerytur.</w:t>
      </w:r>
    </w:p>
    <w:p w14:paraId="68A6A55C" w14:textId="43B8AA5E" w:rsidR="004907AA" w:rsidRPr="0051213E" w:rsidRDefault="007A55CB" w:rsidP="00F76DF1">
      <w:pPr>
        <w:pStyle w:val="Bezodstpw"/>
        <w:jc w:val="both"/>
        <w:rPr>
          <w:rFonts w:ascii="Verdana" w:hAnsi="Verdana"/>
          <w:color w:val="0070C0"/>
          <w:sz w:val="20"/>
          <w:szCs w:val="20"/>
        </w:rPr>
      </w:pPr>
      <w:r w:rsidRPr="0051213E">
        <w:rPr>
          <w:rStyle w:val="tlid-translation"/>
          <w:rFonts w:ascii="Verdana" w:hAnsi="Verdana"/>
          <w:color w:val="0070C0"/>
          <w:sz w:val="20"/>
          <w:szCs w:val="20"/>
        </w:rPr>
        <w:t xml:space="preserve">Trybunał uznał skargę za niedopuszczalną jako oczywiście bezzasadną. Zauważył </w:t>
      </w:r>
      <w:r w:rsidR="00F3765B" w:rsidRPr="0051213E">
        <w:rPr>
          <w:rStyle w:val="tlid-translation"/>
          <w:rFonts w:ascii="Verdana" w:hAnsi="Verdana"/>
          <w:color w:val="0070C0"/>
          <w:sz w:val="20"/>
          <w:szCs w:val="20"/>
        </w:rPr>
        <w:br/>
      </w:r>
      <w:r w:rsidRPr="0051213E">
        <w:rPr>
          <w:rStyle w:val="tlid-translation"/>
          <w:rFonts w:ascii="Verdana" w:hAnsi="Verdana"/>
          <w:color w:val="0070C0"/>
          <w:sz w:val="20"/>
          <w:szCs w:val="20"/>
        </w:rPr>
        <w:t>w szczególności, że włoski ustawodawca był zobowiązany do interwencji w trudn</w:t>
      </w:r>
      <w:r w:rsidR="00F3765B" w:rsidRPr="0051213E">
        <w:rPr>
          <w:rStyle w:val="tlid-translation"/>
          <w:rFonts w:ascii="Verdana" w:hAnsi="Verdana"/>
          <w:color w:val="0070C0"/>
          <w:sz w:val="20"/>
          <w:szCs w:val="20"/>
        </w:rPr>
        <w:t>ej</w:t>
      </w:r>
      <w:r w:rsidRPr="0051213E">
        <w:rPr>
          <w:rStyle w:val="tlid-translation"/>
          <w:rFonts w:ascii="Verdana" w:hAnsi="Verdana"/>
          <w:color w:val="0070C0"/>
          <w:sz w:val="20"/>
          <w:szCs w:val="20"/>
        </w:rPr>
        <w:t xml:space="preserve"> </w:t>
      </w:r>
      <w:r w:rsidR="00F3765B" w:rsidRPr="0051213E">
        <w:rPr>
          <w:rStyle w:val="tlid-translation"/>
          <w:rFonts w:ascii="Verdana" w:hAnsi="Verdana"/>
          <w:color w:val="0070C0"/>
          <w:sz w:val="20"/>
          <w:szCs w:val="20"/>
        </w:rPr>
        <w:t>sytuacji</w:t>
      </w:r>
      <w:r w:rsidRPr="0051213E">
        <w:rPr>
          <w:rStyle w:val="tlid-translation"/>
          <w:rFonts w:ascii="Verdana" w:hAnsi="Verdana"/>
          <w:color w:val="0070C0"/>
          <w:sz w:val="20"/>
          <w:szCs w:val="20"/>
        </w:rPr>
        <w:t xml:space="preserve"> gospodarcz</w:t>
      </w:r>
      <w:r w:rsidR="00F3765B" w:rsidRPr="0051213E">
        <w:rPr>
          <w:rStyle w:val="tlid-translation"/>
          <w:rFonts w:ascii="Verdana" w:hAnsi="Verdana"/>
          <w:color w:val="0070C0"/>
          <w:sz w:val="20"/>
          <w:szCs w:val="20"/>
        </w:rPr>
        <w:t>ej</w:t>
      </w:r>
      <w:r w:rsidRPr="0051213E">
        <w:rPr>
          <w:rStyle w:val="tlid-translation"/>
          <w:rFonts w:ascii="Verdana" w:hAnsi="Verdana"/>
          <w:color w:val="0070C0"/>
          <w:sz w:val="20"/>
          <w:szCs w:val="20"/>
        </w:rPr>
        <w:t xml:space="preserve">. Przedmiotowy dekret legislacyjny miał na celu zapewnienie redystrybucji na rzecz niższych emerytur przy jednoczesnym zachowaniu stabilności systemu zabezpieczenia społecznego dla przyszłych pokoleń. </w:t>
      </w:r>
      <w:r w:rsidR="00866D65">
        <w:rPr>
          <w:rStyle w:val="tlid-translation"/>
          <w:rFonts w:ascii="Verdana" w:hAnsi="Verdana"/>
          <w:color w:val="0070C0"/>
          <w:sz w:val="20"/>
          <w:szCs w:val="20"/>
        </w:rPr>
        <w:t>P</w:t>
      </w:r>
      <w:r w:rsidRPr="0051213E">
        <w:rPr>
          <w:rStyle w:val="tlid-translation"/>
          <w:rFonts w:ascii="Verdana" w:hAnsi="Verdana"/>
          <w:color w:val="0070C0"/>
          <w:sz w:val="20"/>
          <w:szCs w:val="20"/>
        </w:rPr>
        <w:t xml:space="preserve">ole manewru włoskiego rządu </w:t>
      </w:r>
      <w:r w:rsidR="00866D65">
        <w:rPr>
          <w:rStyle w:val="tlid-translation"/>
          <w:rFonts w:ascii="Verdana" w:hAnsi="Verdana"/>
          <w:color w:val="0070C0"/>
          <w:sz w:val="20"/>
          <w:szCs w:val="20"/>
        </w:rPr>
        <w:t xml:space="preserve">było ograniczone </w:t>
      </w:r>
      <w:r w:rsidRPr="0051213E">
        <w:rPr>
          <w:rStyle w:val="tlid-translation"/>
          <w:rFonts w:ascii="Verdana" w:hAnsi="Verdana"/>
          <w:color w:val="0070C0"/>
          <w:sz w:val="20"/>
          <w:szCs w:val="20"/>
        </w:rPr>
        <w:t xml:space="preserve">ze względu na ograniczone zasoby i ryzyko, że Komisja Europejska może podjąć działania na rzecz nadmiernego deficytu budżetowego. Podsumowując, Trybunał uznał, że skutki reformy nie były tak poważne, że groziłyby </w:t>
      </w:r>
      <w:r w:rsidR="00866D65">
        <w:rPr>
          <w:rStyle w:val="tlid-translation"/>
          <w:rFonts w:ascii="Verdana" w:hAnsi="Verdana"/>
          <w:color w:val="0070C0"/>
          <w:sz w:val="20"/>
          <w:szCs w:val="20"/>
        </w:rPr>
        <w:t>powstaniem w przypadku</w:t>
      </w:r>
      <w:r w:rsidRPr="0051213E">
        <w:rPr>
          <w:rStyle w:val="tlid-translation"/>
          <w:rFonts w:ascii="Verdana" w:hAnsi="Verdana"/>
          <w:color w:val="0070C0"/>
          <w:sz w:val="20"/>
          <w:szCs w:val="20"/>
        </w:rPr>
        <w:t xml:space="preserve"> skarżących trudności w pokryciu kosztów utrzymania </w:t>
      </w:r>
      <w:r w:rsidR="00866D65">
        <w:rPr>
          <w:rStyle w:val="tlid-translation"/>
          <w:rFonts w:ascii="Verdana" w:hAnsi="Verdana"/>
          <w:color w:val="0070C0"/>
          <w:sz w:val="20"/>
          <w:szCs w:val="20"/>
        </w:rPr>
        <w:br/>
      </w:r>
      <w:r w:rsidRPr="0051213E">
        <w:rPr>
          <w:rStyle w:val="tlid-translation"/>
          <w:rFonts w:ascii="Verdana" w:hAnsi="Verdana"/>
          <w:color w:val="0070C0"/>
          <w:sz w:val="20"/>
          <w:szCs w:val="20"/>
        </w:rPr>
        <w:t>w stopniu, który byłby niezgodny z art. 1 protokołu nr 1.</w:t>
      </w:r>
    </w:p>
    <w:p w14:paraId="5C22A917" w14:textId="77777777" w:rsidR="004907AA" w:rsidRPr="004A2C75" w:rsidRDefault="004907AA" w:rsidP="00F76DF1">
      <w:pPr>
        <w:jc w:val="both"/>
        <w:rPr>
          <w:rFonts w:ascii="Verdana" w:hAnsi="Verdana"/>
          <w:sz w:val="20"/>
          <w:szCs w:val="20"/>
        </w:rPr>
      </w:pPr>
    </w:p>
    <w:p w14:paraId="38BDBC0F" w14:textId="53B5B1E2" w:rsidR="003303D9" w:rsidRPr="000630C8" w:rsidRDefault="00F76DF1" w:rsidP="00F76DF1">
      <w:pPr>
        <w:spacing w:after="240"/>
        <w:rPr>
          <w:rFonts w:ascii="Verdana" w:eastAsia="Times New Roman" w:hAnsi="Verdana" w:cs="Times New Roman"/>
          <w:color w:val="2E74B5" w:themeColor="accent5" w:themeShade="BF"/>
          <w:sz w:val="28"/>
          <w:szCs w:val="28"/>
          <w:lang w:eastAsia="pl-PL"/>
        </w:rPr>
      </w:pPr>
      <w:r w:rsidRPr="006A60BA">
        <w:rPr>
          <w:rFonts w:ascii="Verdana" w:eastAsia="Times New Roman" w:hAnsi="Verdana" w:cs="Times New Roman"/>
          <w:color w:val="2E74B5" w:themeColor="accent5" w:themeShade="BF"/>
          <w:sz w:val="28"/>
          <w:szCs w:val="28"/>
          <w:lang w:eastAsia="pl-PL"/>
        </w:rPr>
        <w:t xml:space="preserve">Prawo do </w:t>
      </w:r>
      <w:r>
        <w:rPr>
          <w:rFonts w:ascii="Verdana" w:eastAsia="Times New Roman" w:hAnsi="Verdana" w:cs="Times New Roman"/>
          <w:color w:val="2E74B5" w:themeColor="accent5" w:themeShade="BF"/>
          <w:sz w:val="28"/>
          <w:szCs w:val="28"/>
          <w:lang w:eastAsia="pl-PL"/>
        </w:rPr>
        <w:t>rzetelnego</w:t>
      </w:r>
      <w:r w:rsidRPr="006A60BA">
        <w:rPr>
          <w:rFonts w:ascii="Verdana" w:eastAsia="Times New Roman" w:hAnsi="Verdana" w:cs="Times New Roman"/>
          <w:color w:val="2E74B5" w:themeColor="accent5" w:themeShade="BF"/>
          <w:sz w:val="28"/>
          <w:szCs w:val="28"/>
          <w:lang w:eastAsia="pl-PL"/>
        </w:rPr>
        <w:t xml:space="preserve"> procesu </w:t>
      </w:r>
      <w:r w:rsidR="004907AA" w:rsidRPr="006A60BA">
        <w:rPr>
          <w:rFonts w:ascii="Verdana" w:eastAsia="Times New Roman" w:hAnsi="Verdana" w:cs="Times New Roman"/>
          <w:color w:val="2E74B5" w:themeColor="accent5" w:themeShade="BF"/>
          <w:sz w:val="28"/>
          <w:szCs w:val="28"/>
          <w:lang w:eastAsia="pl-PL"/>
        </w:rPr>
        <w:t>(</w:t>
      </w:r>
      <w:r w:rsidRPr="006A60BA">
        <w:rPr>
          <w:rFonts w:ascii="Verdana" w:eastAsia="Times New Roman" w:hAnsi="Verdana" w:cs="Times New Roman"/>
          <w:color w:val="2E74B5" w:themeColor="accent5" w:themeShade="BF"/>
          <w:sz w:val="28"/>
          <w:szCs w:val="28"/>
          <w:lang w:eastAsia="pl-PL"/>
        </w:rPr>
        <w:t>Artykuł 6 Konwencji</w:t>
      </w:r>
      <w:r w:rsidR="004907AA" w:rsidRPr="006A60BA">
        <w:rPr>
          <w:rFonts w:ascii="Verdana" w:eastAsia="Times New Roman" w:hAnsi="Verdana" w:cs="Times New Roman"/>
          <w:color w:val="2E74B5" w:themeColor="accent5" w:themeShade="BF"/>
          <w:sz w:val="28"/>
          <w:szCs w:val="28"/>
          <w:lang w:eastAsia="pl-PL"/>
        </w:rPr>
        <w:t>)</w:t>
      </w:r>
    </w:p>
    <w:p w14:paraId="61E46A15" w14:textId="40F037A4" w:rsidR="004907AA" w:rsidRPr="004A2C75" w:rsidRDefault="003303D9" w:rsidP="00F76DF1">
      <w:pPr>
        <w:widowControl w:val="0"/>
        <w:autoSpaceDE w:val="0"/>
        <w:autoSpaceDN w:val="0"/>
        <w:adjustRightInd w:val="0"/>
        <w:rPr>
          <w:rFonts w:ascii="Verdana" w:hAnsi="Verdana" w:cs="Times"/>
          <w:color w:val="000000"/>
          <w:sz w:val="20"/>
          <w:szCs w:val="20"/>
        </w:rPr>
      </w:pPr>
      <w:r w:rsidRPr="006A60BA">
        <w:rPr>
          <w:rFonts w:ascii="Verdana" w:hAnsi="Verdana" w:cs="Verdana"/>
          <w:b/>
          <w:bCs/>
          <w:color w:val="0B5CAE"/>
          <w:sz w:val="20"/>
          <w:szCs w:val="20"/>
          <w:u w:val="single"/>
        </w:rPr>
        <w:t>Adorisio i Inni przeciwko Holandii</w:t>
      </w:r>
      <w:r w:rsidRPr="004A2C75">
        <w:rPr>
          <w:rFonts w:ascii="Verdana" w:hAnsi="Verdana" w:cs="Verdana"/>
          <w:b/>
          <w:bCs/>
          <w:color w:val="0B5CAE"/>
          <w:sz w:val="20"/>
          <w:szCs w:val="20"/>
        </w:rPr>
        <w:t xml:space="preserve"> </w:t>
      </w:r>
    </w:p>
    <w:p w14:paraId="12C69148" w14:textId="77777777" w:rsidR="004907AA" w:rsidRPr="004A2C75" w:rsidRDefault="004907AA" w:rsidP="00F76DF1">
      <w:pPr>
        <w:jc w:val="both"/>
        <w:rPr>
          <w:rFonts w:ascii="Verdana" w:hAnsi="Verdana"/>
          <w:sz w:val="20"/>
          <w:szCs w:val="20"/>
        </w:rPr>
      </w:pPr>
      <w:r w:rsidRPr="006A60BA">
        <w:rPr>
          <w:rFonts w:ascii="Verdana" w:hAnsi="Verdana"/>
          <w:color w:val="767171" w:themeColor="background2" w:themeShade="80"/>
          <w:sz w:val="20"/>
          <w:szCs w:val="20"/>
        </w:rPr>
        <w:t>17 marca 2015 (decyzja w sprawie dopuszczalności)</w:t>
      </w:r>
      <w:r w:rsidRPr="004A2C75">
        <w:rPr>
          <w:rFonts w:ascii="Verdana" w:hAnsi="Verdana"/>
          <w:sz w:val="20"/>
          <w:szCs w:val="20"/>
        </w:rPr>
        <w:t xml:space="preserve"> </w:t>
      </w:r>
    </w:p>
    <w:p w14:paraId="66C02EFA" w14:textId="77777777" w:rsidR="004907AA" w:rsidRPr="004A2C75" w:rsidRDefault="004907AA" w:rsidP="00F76DF1">
      <w:pPr>
        <w:jc w:val="both"/>
        <w:rPr>
          <w:rFonts w:ascii="Verdana" w:hAnsi="Verdana"/>
          <w:sz w:val="20"/>
          <w:szCs w:val="20"/>
        </w:rPr>
      </w:pPr>
      <w:r w:rsidRPr="004A2C75">
        <w:rPr>
          <w:rFonts w:ascii="Verdana" w:hAnsi="Verdana"/>
          <w:sz w:val="20"/>
          <w:szCs w:val="20"/>
        </w:rPr>
        <w:t xml:space="preserve">Sprawa ta dotyczyła </w:t>
      </w:r>
      <w:r w:rsidR="00D878D8" w:rsidRPr="004A2C75">
        <w:rPr>
          <w:rFonts w:ascii="Verdana" w:hAnsi="Verdana"/>
          <w:sz w:val="20"/>
          <w:szCs w:val="20"/>
        </w:rPr>
        <w:t>przyspieszonego postępowania umożliwiającego posiadaczom papierów wartościowych zakwestionowanie zgodności z prawem wywłas</w:t>
      </w:r>
      <w:r w:rsidR="003303D9" w:rsidRPr="004A2C75">
        <w:rPr>
          <w:rFonts w:ascii="Verdana" w:hAnsi="Verdana"/>
          <w:sz w:val="20"/>
          <w:szCs w:val="20"/>
        </w:rPr>
        <w:t>z</w:t>
      </w:r>
      <w:r w:rsidR="00D878D8" w:rsidRPr="004A2C75">
        <w:rPr>
          <w:rFonts w:ascii="Verdana" w:hAnsi="Verdana"/>
          <w:sz w:val="20"/>
          <w:szCs w:val="20"/>
        </w:rPr>
        <w:t>czeń przez rząd holenderski aktywów, które ci posiadali w SNS Reaal konglomeracji bankowej i ubezp</w:t>
      </w:r>
      <w:r w:rsidR="00632231" w:rsidRPr="004A2C75">
        <w:rPr>
          <w:rFonts w:ascii="Verdana" w:hAnsi="Verdana"/>
          <w:sz w:val="20"/>
          <w:szCs w:val="20"/>
        </w:rPr>
        <w:t>ieczeniowej. SNS Reaal wpadł w kłopoty</w:t>
      </w:r>
      <w:r w:rsidR="00D878D8" w:rsidRPr="004A2C75">
        <w:rPr>
          <w:rFonts w:ascii="Verdana" w:hAnsi="Verdana"/>
          <w:sz w:val="20"/>
          <w:szCs w:val="20"/>
        </w:rPr>
        <w:t xml:space="preserve"> w wyniku kryzysu fina</w:t>
      </w:r>
      <w:r w:rsidR="00632231" w:rsidRPr="004A2C75">
        <w:rPr>
          <w:rFonts w:ascii="Verdana" w:hAnsi="Verdana"/>
          <w:sz w:val="20"/>
          <w:szCs w:val="20"/>
        </w:rPr>
        <w:t>n</w:t>
      </w:r>
      <w:r w:rsidR="00A75088" w:rsidRPr="004A2C75">
        <w:rPr>
          <w:rFonts w:ascii="Verdana" w:hAnsi="Verdana"/>
          <w:sz w:val="20"/>
          <w:szCs w:val="20"/>
        </w:rPr>
        <w:t>sowego z 2008 r.</w:t>
      </w:r>
      <w:r w:rsidR="003E4205" w:rsidRPr="004A2C75">
        <w:rPr>
          <w:rFonts w:ascii="Verdana" w:hAnsi="Verdana"/>
          <w:sz w:val="20"/>
          <w:szCs w:val="20"/>
        </w:rPr>
        <w:t xml:space="preserve"> a Rząd postanowił chronić </w:t>
      </w:r>
      <w:r w:rsidR="00542B95" w:rsidRPr="004A2C75">
        <w:rPr>
          <w:rFonts w:ascii="Verdana" w:hAnsi="Verdana"/>
          <w:sz w:val="20"/>
          <w:szCs w:val="20"/>
        </w:rPr>
        <w:t xml:space="preserve">krajowy sektor bankowy </w:t>
      </w:r>
      <w:r w:rsidR="00632231" w:rsidRPr="004A2C75">
        <w:rPr>
          <w:rFonts w:ascii="Verdana" w:hAnsi="Verdana"/>
          <w:sz w:val="20"/>
          <w:szCs w:val="20"/>
        </w:rPr>
        <w:t>oraz oszczędnośc</w:t>
      </w:r>
      <w:r w:rsidR="00542B95" w:rsidRPr="004A2C75">
        <w:rPr>
          <w:rFonts w:ascii="Verdana" w:hAnsi="Verdana"/>
          <w:sz w:val="20"/>
          <w:szCs w:val="20"/>
        </w:rPr>
        <w:t>i</w:t>
      </w:r>
      <w:r w:rsidR="00632231" w:rsidRPr="004A2C75">
        <w:rPr>
          <w:rFonts w:ascii="Verdana" w:hAnsi="Verdana"/>
          <w:sz w:val="20"/>
          <w:szCs w:val="20"/>
        </w:rPr>
        <w:t xml:space="preserve"> klientów poprzez nacjonalizacj</w:t>
      </w:r>
      <w:r w:rsidR="00542B95" w:rsidRPr="004A2C75">
        <w:rPr>
          <w:rFonts w:ascii="Verdana" w:hAnsi="Verdana"/>
          <w:sz w:val="20"/>
          <w:szCs w:val="20"/>
        </w:rPr>
        <w:t>e konglomeratu. Skarżący zarzucili, iż okres dziesięciu dni jaki mieli aby odwołać się od wywłaszczenia decyzją rządu był za krótki, iż nie mieli oni wystarczająco czasu aby przeanalizować oświadczenie Ministra Finansów (otrzymane późnym południem w dniu poprzedzającym rozprawę w  ich sprawie.) oraz iż otrzymali dostęp do niekompletnych wersji raportów dotyczących banku i jego aktywów</w:t>
      </w:r>
      <w:r w:rsidR="00542B95" w:rsidRPr="004A2C75">
        <w:rPr>
          <w:rStyle w:val="Odwoanieprzypisudolnego"/>
          <w:rFonts w:ascii="Verdana" w:hAnsi="Verdana"/>
          <w:sz w:val="20"/>
          <w:szCs w:val="20"/>
        </w:rPr>
        <w:footnoteReference w:id="2"/>
      </w:r>
      <w:r w:rsidR="00542B95" w:rsidRPr="004A2C75">
        <w:rPr>
          <w:rFonts w:ascii="Verdana" w:hAnsi="Verdana"/>
          <w:sz w:val="20"/>
          <w:szCs w:val="20"/>
        </w:rPr>
        <w:t xml:space="preserve">. </w:t>
      </w:r>
    </w:p>
    <w:p w14:paraId="75D71305" w14:textId="77777777" w:rsidR="00E550FB" w:rsidRPr="004A2C75" w:rsidRDefault="00DE0F5A" w:rsidP="00F76DF1">
      <w:pPr>
        <w:jc w:val="both"/>
        <w:rPr>
          <w:rFonts w:ascii="Verdana" w:hAnsi="Verdana"/>
          <w:sz w:val="20"/>
          <w:szCs w:val="20"/>
        </w:rPr>
      </w:pPr>
      <w:r w:rsidRPr="006A60BA">
        <w:rPr>
          <w:rFonts w:ascii="Verdana" w:hAnsi="Verdana"/>
          <w:color w:val="0070C0"/>
          <w:sz w:val="20"/>
          <w:szCs w:val="20"/>
        </w:rPr>
        <w:t xml:space="preserve">Po rozpatrzeniu skargi Trybunał uznał ją za </w:t>
      </w:r>
      <w:r w:rsidRPr="006A60BA">
        <w:rPr>
          <w:rFonts w:ascii="Verdana" w:hAnsi="Verdana"/>
          <w:b/>
          <w:color w:val="0070C0"/>
          <w:sz w:val="20"/>
          <w:szCs w:val="20"/>
        </w:rPr>
        <w:t>niedopuszczalną</w:t>
      </w:r>
      <w:r w:rsidR="00542B95" w:rsidRPr="006A60BA">
        <w:rPr>
          <w:rFonts w:ascii="Verdana" w:hAnsi="Verdana"/>
          <w:color w:val="0070C0"/>
          <w:sz w:val="20"/>
          <w:szCs w:val="20"/>
        </w:rPr>
        <w:t>,</w:t>
      </w:r>
      <w:r w:rsidRPr="006A60BA">
        <w:rPr>
          <w:rFonts w:ascii="Verdana" w:hAnsi="Verdana"/>
          <w:color w:val="0070C0"/>
          <w:sz w:val="20"/>
          <w:szCs w:val="20"/>
        </w:rPr>
        <w:t xml:space="preserve"> stwierdzając iż ograniczenia czasowe nałożone na posiadaczy obligacji w toku postępowania w sprawie stwierdzenia niezgodności z prawem wywłaszczenia nie postawiły ich w niekorzystnej sytuacji </w:t>
      </w:r>
      <w:r w:rsidR="00E550FB" w:rsidRPr="006A60BA">
        <w:rPr>
          <w:rFonts w:ascii="Verdana" w:hAnsi="Verdana"/>
          <w:color w:val="0070C0"/>
          <w:sz w:val="20"/>
          <w:szCs w:val="20"/>
        </w:rPr>
        <w:t>oraz, że ograniczony dostęp do raportów finansowych dotyczących banku i jego</w:t>
      </w:r>
      <w:r w:rsidR="006A60BA">
        <w:rPr>
          <w:rFonts w:ascii="Verdana" w:hAnsi="Verdana"/>
          <w:color w:val="0070C0"/>
          <w:sz w:val="20"/>
          <w:szCs w:val="20"/>
        </w:rPr>
        <w:t xml:space="preserve"> aktywów był konieczny. Odnosz</w:t>
      </w:r>
      <w:r w:rsidR="00E550FB" w:rsidRPr="006A60BA">
        <w:rPr>
          <w:rFonts w:ascii="Verdana" w:hAnsi="Verdana"/>
          <w:color w:val="0070C0"/>
          <w:sz w:val="20"/>
          <w:szCs w:val="20"/>
        </w:rPr>
        <w:t>ąc się w</w:t>
      </w:r>
      <w:r w:rsidR="00632231" w:rsidRPr="006A60BA">
        <w:rPr>
          <w:rFonts w:ascii="Verdana" w:hAnsi="Verdana"/>
          <w:color w:val="0070C0"/>
          <w:sz w:val="20"/>
          <w:szCs w:val="20"/>
        </w:rPr>
        <w:t xml:space="preserve"> szczególności do dziesięcio</w:t>
      </w:r>
      <w:r w:rsidR="00E550FB" w:rsidRPr="006A60BA">
        <w:rPr>
          <w:rFonts w:ascii="Verdana" w:hAnsi="Verdana"/>
          <w:color w:val="0070C0"/>
          <w:sz w:val="20"/>
          <w:szCs w:val="20"/>
        </w:rPr>
        <w:t xml:space="preserve">dniowego terminu na wniesienie apelacji Trybunał przyjął, iż </w:t>
      </w:r>
      <w:r w:rsidR="00542B95" w:rsidRPr="006A60BA">
        <w:rPr>
          <w:rFonts w:ascii="Verdana" w:hAnsi="Verdana"/>
          <w:color w:val="0070C0"/>
          <w:sz w:val="20"/>
          <w:szCs w:val="20"/>
        </w:rPr>
        <w:t xml:space="preserve"> </w:t>
      </w:r>
      <w:r w:rsidR="00E550FB" w:rsidRPr="006A60BA">
        <w:rPr>
          <w:rFonts w:ascii="Verdana" w:hAnsi="Verdana"/>
          <w:color w:val="0070C0"/>
          <w:sz w:val="20"/>
          <w:szCs w:val="20"/>
        </w:rPr>
        <w:t>rząd holenderski musiał niezwłocznie zainterweniować w sprawie SNS Reaal w celu zapobiegnięcia poważnym szkodom dla gospodarki krajowej. Dziesięciodniowy termin na wniesienie odwołania był wprawdzie bardzo krótki</w:t>
      </w:r>
      <w:r w:rsidR="00632231" w:rsidRPr="006A60BA">
        <w:rPr>
          <w:rFonts w:ascii="Verdana" w:hAnsi="Verdana"/>
          <w:color w:val="0070C0"/>
          <w:sz w:val="20"/>
          <w:szCs w:val="20"/>
        </w:rPr>
        <w:t>,</w:t>
      </w:r>
      <w:r w:rsidR="00E550FB" w:rsidRPr="006A60BA">
        <w:rPr>
          <w:rFonts w:ascii="Verdana" w:hAnsi="Verdana"/>
          <w:color w:val="0070C0"/>
          <w:sz w:val="20"/>
          <w:szCs w:val="20"/>
        </w:rPr>
        <w:t xml:space="preserve"> aczkolwiek nie uniemożliwił skarżącym wniesienia skutecznego odwołania. Ponadto, w toku apelacji skarżący mieli możliwość przedłożyć dalsze dokumenty oraz materiały do dnia poprzedzającego rozprawę. Na rozprawie również posiadali możliwość przedstawienia dalszych argumentów, w tym także tych, na które do tej pory się nie powołali. W związku z powyższym Trybunał nie mógł stwierdzić, iż dziesięciodniowy termin do wniesienia apelacji był za krótki i sprawił, że postępowanie było niesprawiedliwe. </w:t>
      </w:r>
    </w:p>
    <w:p w14:paraId="57019DBA" w14:textId="77777777" w:rsidR="00542B95" w:rsidRPr="004A2C75" w:rsidRDefault="00E550FB" w:rsidP="00F76DF1">
      <w:pPr>
        <w:jc w:val="both"/>
        <w:rPr>
          <w:rFonts w:ascii="Verdana" w:hAnsi="Verdana"/>
          <w:color w:val="2E74B5" w:themeColor="accent5" w:themeShade="BF"/>
          <w:sz w:val="20"/>
          <w:szCs w:val="20"/>
        </w:rPr>
      </w:pPr>
      <w:r w:rsidRPr="004A2C75">
        <w:rPr>
          <w:rFonts w:ascii="Verdana" w:hAnsi="Verdana"/>
          <w:sz w:val="20"/>
          <w:szCs w:val="20"/>
        </w:rPr>
        <w:t xml:space="preserve">  </w:t>
      </w:r>
    </w:p>
    <w:p w14:paraId="1ED6E4D2" w14:textId="77777777" w:rsidR="000630C8" w:rsidRDefault="000630C8" w:rsidP="00F76DF1">
      <w:pPr>
        <w:spacing w:after="240"/>
        <w:rPr>
          <w:rFonts w:ascii="Verdana" w:eastAsia="Times New Roman" w:hAnsi="Verdana" w:cs="Times New Roman"/>
          <w:color w:val="2E74B5" w:themeColor="accent5" w:themeShade="BF"/>
          <w:sz w:val="28"/>
          <w:szCs w:val="28"/>
          <w:lang w:eastAsia="pl-PL"/>
        </w:rPr>
      </w:pPr>
    </w:p>
    <w:p w14:paraId="740CCC99" w14:textId="7AE2AEFE" w:rsidR="00632231" w:rsidRPr="006A60BA" w:rsidRDefault="000630C8" w:rsidP="00F76DF1">
      <w:pPr>
        <w:spacing w:after="240"/>
        <w:rPr>
          <w:rFonts w:ascii="Verdana" w:eastAsia="Times New Roman" w:hAnsi="Verdana" w:cs="Times New Roman"/>
          <w:color w:val="2E74B5" w:themeColor="accent5" w:themeShade="BF"/>
          <w:sz w:val="28"/>
          <w:szCs w:val="28"/>
          <w:lang w:eastAsia="pl-PL"/>
        </w:rPr>
      </w:pPr>
      <w:bookmarkStart w:id="0" w:name="_GoBack"/>
      <w:bookmarkEnd w:id="0"/>
      <w:r w:rsidRPr="006A60BA">
        <w:rPr>
          <w:rFonts w:ascii="Verdana" w:eastAsia="Times New Roman" w:hAnsi="Verdana" w:cs="Times New Roman"/>
          <w:color w:val="2E74B5" w:themeColor="accent5" w:themeShade="BF"/>
          <w:sz w:val="28"/>
          <w:szCs w:val="28"/>
          <w:lang w:eastAsia="pl-PL"/>
        </w:rPr>
        <w:lastRenderedPageBreak/>
        <w:t xml:space="preserve">Prawo do poszanowania życia prywatnego </w:t>
      </w:r>
      <w:r w:rsidR="006859B4" w:rsidRPr="006A60BA">
        <w:rPr>
          <w:rFonts w:ascii="Verdana" w:eastAsia="Times New Roman" w:hAnsi="Verdana" w:cs="Times New Roman"/>
          <w:color w:val="2E74B5" w:themeColor="accent5" w:themeShade="BF"/>
          <w:sz w:val="28"/>
          <w:szCs w:val="28"/>
          <w:lang w:eastAsia="pl-PL"/>
        </w:rPr>
        <w:t>(</w:t>
      </w:r>
      <w:r w:rsidRPr="006A60BA">
        <w:rPr>
          <w:rFonts w:ascii="Verdana" w:eastAsia="Times New Roman" w:hAnsi="Verdana" w:cs="Times New Roman"/>
          <w:color w:val="2E74B5" w:themeColor="accent5" w:themeShade="BF"/>
          <w:sz w:val="28"/>
          <w:szCs w:val="28"/>
          <w:lang w:eastAsia="pl-PL"/>
        </w:rPr>
        <w:t xml:space="preserve">Artykuł </w:t>
      </w:r>
      <w:r w:rsidR="006859B4" w:rsidRPr="006A60BA">
        <w:rPr>
          <w:rFonts w:ascii="Verdana" w:eastAsia="Times New Roman" w:hAnsi="Verdana" w:cs="Times New Roman"/>
          <w:color w:val="2E74B5" w:themeColor="accent5" w:themeShade="BF"/>
          <w:sz w:val="28"/>
          <w:szCs w:val="28"/>
          <w:lang w:eastAsia="pl-PL"/>
        </w:rPr>
        <w:t xml:space="preserve">8 </w:t>
      </w:r>
      <w:r w:rsidRPr="006A60BA">
        <w:rPr>
          <w:rFonts w:ascii="Verdana" w:eastAsia="Times New Roman" w:hAnsi="Verdana" w:cs="Times New Roman"/>
          <w:color w:val="2E74B5" w:themeColor="accent5" w:themeShade="BF"/>
          <w:sz w:val="28"/>
          <w:szCs w:val="28"/>
          <w:lang w:eastAsia="pl-PL"/>
        </w:rPr>
        <w:t>Konwencji</w:t>
      </w:r>
      <w:r w:rsidR="006859B4" w:rsidRPr="006A60BA">
        <w:rPr>
          <w:rFonts w:ascii="Verdana" w:eastAsia="Times New Roman" w:hAnsi="Verdana" w:cs="Times New Roman"/>
          <w:color w:val="2E74B5" w:themeColor="accent5" w:themeShade="BF"/>
          <w:sz w:val="28"/>
          <w:szCs w:val="28"/>
          <w:lang w:eastAsia="pl-PL"/>
        </w:rPr>
        <w:t xml:space="preserve">) </w:t>
      </w:r>
    </w:p>
    <w:p w14:paraId="2A11F63B" w14:textId="77777777" w:rsidR="006859B4" w:rsidRPr="006A60BA" w:rsidRDefault="006859B4" w:rsidP="00F76DF1">
      <w:pPr>
        <w:widowControl w:val="0"/>
        <w:autoSpaceDE w:val="0"/>
        <w:autoSpaceDN w:val="0"/>
        <w:adjustRightInd w:val="0"/>
        <w:rPr>
          <w:rFonts w:ascii="Verdana" w:hAnsi="Verdana" w:cs="Verdana"/>
          <w:b/>
          <w:bCs/>
          <w:color w:val="0B5CAE"/>
          <w:sz w:val="20"/>
          <w:szCs w:val="20"/>
          <w:u w:val="single"/>
        </w:rPr>
      </w:pPr>
      <w:r w:rsidRPr="006A60BA">
        <w:rPr>
          <w:rFonts w:ascii="Verdana" w:hAnsi="Verdana" w:cs="Verdana"/>
          <w:b/>
          <w:bCs/>
          <w:color w:val="0B5CAE"/>
          <w:sz w:val="20"/>
          <w:szCs w:val="20"/>
          <w:u w:val="single"/>
        </w:rPr>
        <w:t xml:space="preserve">McDonald przeciwko Wielkiej Brytanii </w:t>
      </w:r>
    </w:p>
    <w:p w14:paraId="0E1FF799" w14:textId="77777777" w:rsidR="006859B4" w:rsidRPr="006A60BA" w:rsidRDefault="006859B4" w:rsidP="00F76DF1">
      <w:pPr>
        <w:jc w:val="both"/>
        <w:rPr>
          <w:rFonts w:ascii="Verdana" w:hAnsi="Verdana"/>
          <w:color w:val="767171" w:themeColor="background2" w:themeShade="80"/>
          <w:sz w:val="20"/>
          <w:szCs w:val="20"/>
        </w:rPr>
      </w:pPr>
      <w:r w:rsidRPr="006A60BA">
        <w:rPr>
          <w:rFonts w:ascii="Verdana" w:hAnsi="Verdana"/>
          <w:color w:val="767171" w:themeColor="background2" w:themeShade="80"/>
          <w:sz w:val="20"/>
          <w:szCs w:val="20"/>
        </w:rPr>
        <w:t>20 maj 2014</w:t>
      </w:r>
      <w:r w:rsidR="00A75088" w:rsidRPr="006A60BA">
        <w:rPr>
          <w:rFonts w:ascii="Verdana" w:hAnsi="Verdana"/>
          <w:color w:val="767171" w:themeColor="background2" w:themeShade="80"/>
          <w:sz w:val="20"/>
          <w:szCs w:val="20"/>
        </w:rPr>
        <w:t>r.</w:t>
      </w:r>
      <w:r w:rsidRPr="006A60BA">
        <w:rPr>
          <w:rFonts w:ascii="Verdana" w:hAnsi="Verdana"/>
          <w:color w:val="767171" w:themeColor="background2" w:themeShade="80"/>
          <w:sz w:val="20"/>
          <w:szCs w:val="20"/>
        </w:rPr>
        <w:t xml:space="preserve"> (wyrok)</w:t>
      </w:r>
    </w:p>
    <w:p w14:paraId="7B6A6AF7" w14:textId="77777777" w:rsidR="006859B4" w:rsidRPr="004A2C75" w:rsidRDefault="006859B4" w:rsidP="00F76DF1">
      <w:pPr>
        <w:widowControl w:val="0"/>
        <w:autoSpaceDE w:val="0"/>
        <w:autoSpaceDN w:val="0"/>
        <w:adjustRightInd w:val="0"/>
        <w:jc w:val="both"/>
        <w:rPr>
          <w:rFonts w:ascii="Verdana" w:hAnsi="Verdana" w:cs="Verdana"/>
          <w:bCs/>
          <w:color w:val="000000" w:themeColor="text1"/>
          <w:sz w:val="20"/>
          <w:szCs w:val="20"/>
        </w:rPr>
      </w:pPr>
      <w:r w:rsidRPr="004A2C75">
        <w:rPr>
          <w:rFonts w:ascii="Verdana" w:hAnsi="Verdana" w:cs="Verdana"/>
          <w:bCs/>
          <w:color w:val="000000" w:themeColor="text1"/>
          <w:sz w:val="20"/>
          <w:szCs w:val="20"/>
        </w:rPr>
        <w:t>Przedmiotowa sprawa dotyczy kobiety o ograniczonej sprawności, która skarżyła na redukcję przez władze lokalne kwoty przyznanej jej na cotygodniową opiekę. Redukcji dokonano na pod</w:t>
      </w:r>
      <w:r w:rsidR="00632231" w:rsidRPr="004A2C75">
        <w:rPr>
          <w:rFonts w:ascii="Verdana" w:hAnsi="Verdana" w:cs="Verdana"/>
          <w:bCs/>
          <w:color w:val="000000" w:themeColor="text1"/>
          <w:sz w:val="20"/>
          <w:szCs w:val="20"/>
        </w:rPr>
        <w:t>s</w:t>
      </w:r>
      <w:r w:rsidRPr="004A2C75">
        <w:rPr>
          <w:rFonts w:ascii="Verdana" w:hAnsi="Verdana" w:cs="Verdana"/>
          <w:bCs/>
          <w:color w:val="000000" w:themeColor="text1"/>
          <w:sz w:val="20"/>
          <w:szCs w:val="20"/>
        </w:rPr>
        <w:t>tawie decyzji władz lokalnych, iż nocne potrzeby w zakresie toalety mogą zostać zaspokojone poprzez zastosowanie wkładów dla osób nietrzymających moczu oraz arkuszy absorpcyjnych, a nie opiekuna, który w porach nocnych pomagał kobiecie korzystać z</w:t>
      </w:r>
      <w:r w:rsidR="00632231" w:rsidRPr="004A2C75">
        <w:rPr>
          <w:rFonts w:ascii="Verdana" w:hAnsi="Verdana" w:cs="Verdana"/>
          <w:bCs/>
          <w:color w:val="000000" w:themeColor="text1"/>
          <w:sz w:val="20"/>
          <w:szCs w:val="20"/>
        </w:rPr>
        <w:t xml:space="preserve"> przenośn</w:t>
      </w:r>
      <w:r w:rsidRPr="004A2C75">
        <w:rPr>
          <w:rFonts w:ascii="Verdana" w:hAnsi="Verdana" w:cs="Verdana"/>
          <w:bCs/>
          <w:color w:val="000000" w:themeColor="text1"/>
          <w:sz w:val="20"/>
          <w:szCs w:val="20"/>
        </w:rPr>
        <w:t xml:space="preserve">ej toalety.  Skarżąca zarzuciła, iż decyzja w sprawie redukcji zasiłku opiekuńczego na podstawie uznania, iż może korzystać ona z wkładów dla osób mających problemy z </w:t>
      </w:r>
      <w:r w:rsidR="00854B3A">
        <w:rPr>
          <w:rFonts w:ascii="Verdana" w:hAnsi="Verdana" w:cs="Verdana"/>
          <w:bCs/>
          <w:color w:val="000000" w:themeColor="text1"/>
          <w:sz w:val="20"/>
          <w:szCs w:val="20"/>
        </w:rPr>
        <w:t>nietrzymaniem moczu</w:t>
      </w:r>
      <w:r w:rsidRPr="004A2C75">
        <w:rPr>
          <w:rFonts w:ascii="Verdana" w:hAnsi="Verdana" w:cs="Verdana"/>
          <w:bCs/>
          <w:color w:val="000000" w:themeColor="text1"/>
          <w:sz w:val="20"/>
          <w:szCs w:val="20"/>
        </w:rPr>
        <w:t>, mimo iż problemu tego nie miała</w:t>
      </w:r>
      <w:r w:rsidR="000D053A" w:rsidRPr="004A2C75">
        <w:rPr>
          <w:rFonts w:ascii="Verdana" w:hAnsi="Verdana" w:cs="Verdana"/>
          <w:bCs/>
          <w:color w:val="000000" w:themeColor="text1"/>
          <w:sz w:val="20"/>
          <w:szCs w:val="20"/>
        </w:rPr>
        <w:t xml:space="preserve">, stanowiła nieuzasadnioną i dysproporcjonalną ingerencję w jej prawo do poszanowania życia prywatnego oraz znacznie ją poniżyło. </w:t>
      </w:r>
    </w:p>
    <w:p w14:paraId="3C968363" w14:textId="6965ED5F" w:rsidR="00596711" w:rsidRPr="00595AFC" w:rsidRDefault="000D053A" w:rsidP="00F76DF1">
      <w:pPr>
        <w:widowControl w:val="0"/>
        <w:autoSpaceDE w:val="0"/>
        <w:autoSpaceDN w:val="0"/>
        <w:adjustRightInd w:val="0"/>
        <w:spacing w:after="240"/>
        <w:jc w:val="both"/>
        <w:rPr>
          <w:rFonts w:ascii="Verdana" w:hAnsi="Verdana" w:cs="Verdana"/>
          <w:bCs/>
          <w:color w:val="0070C0"/>
          <w:sz w:val="20"/>
          <w:szCs w:val="20"/>
        </w:rPr>
      </w:pPr>
      <w:r w:rsidRPr="00595AFC">
        <w:rPr>
          <w:rFonts w:ascii="Verdana" w:hAnsi="Verdana" w:cs="Verdana"/>
          <w:bCs/>
          <w:color w:val="0070C0"/>
          <w:sz w:val="20"/>
          <w:szCs w:val="20"/>
        </w:rPr>
        <w:t xml:space="preserve">Trybunał </w:t>
      </w:r>
      <w:r w:rsidR="00E1702C" w:rsidRPr="00595AFC">
        <w:rPr>
          <w:rFonts w:ascii="Verdana" w:hAnsi="Verdana" w:cs="Verdana"/>
          <w:bCs/>
          <w:color w:val="0070C0"/>
          <w:sz w:val="20"/>
          <w:szCs w:val="20"/>
        </w:rPr>
        <w:t>stwierdził, iż decyzja dotycząca zmniejszenia kwoty przyznanej skarżącej na opiekę wpły</w:t>
      </w:r>
      <w:r w:rsidR="00632231" w:rsidRPr="00595AFC">
        <w:rPr>
          <w:rFonts w:ascii="Verdana" w:hAnsi="Verdana" w:cs="Verdana"/>
          <w:bCs/>
          <w:color w:val="0070C0"/>
          <w:sz w:val="20"/>
          <w:szCs w:val="20"/>
        </w:rPr>
        <w:t>nę</w:t>
      </w:r>
      <w:r w:rsidR="00E1702C" w:rsidRPr="00595AFC">
        <w:rPr>
          <w:rFonts w:ascii="Verdana" w:hAnsi="Verdana" w:cs="Verdana"/>
          <w:bCs/>
          <w:color w:val="0070C0"/>
          <w:sz w:val="20"/>
          <w:szCs w:val="20"/>
        </w:rPr>
        <w:t xml:space="preserve">ła na jej prawo do poszanowania życia prywatnego, jako iż wymagano od niej używania wkładów dla osób </w:t>
      </w:r>
      <w:r w:rsidR="00854B3A">
        <w:rPr>
          <w:rFonts w:ascii="Verdana" w:hAnsi="Verdana" w:cs="Verdana"/>
          <w:bCs/>
          <w:color w:val="0070C0"/>
          <w:sz w:val="20"/>
          <w:szCs w:val="20"/>
        </w:rPr>
        <w:t xml:space="preserve">mających </w:t>
      </w:r>
      <w:r w:rsidR="00DA2624">
        <w:rPr>
          <w:rFonts w:ascii="Verdana" w:hAnsi="Verdana" w:cs="Verdana"/>
          <w:bCs/>
          <w:color w:val="0070C0"/>
          <w:sz w:val="20"/>
          <w:szCs w:val="20"/>
        </w:rPr>
        <w:t>problemy z</w:t>
      </w:r>
      <w:r w:rsidR="00854B3A">
        <w:rPr>
          <w:rFonts w:ascii="Verdana" w:hAnsi="Verdana" w:cs="Verdana"/>
          <w:bCs/>
          <w:color w:val="0070C0"/>
          <w:sz w:val="20"/>
          <w:szCs w:val="20"/>
        </w:rPr>
        <w:t xml:space="preserve"> nietrzymaniem moczu</w:t>
      </w:r>
      <w:r w:rsidR="00E1702C" w:rsidRPr="00595AFC">
        <w:rPr>
          <w:rFonts w:ascii="Verdana" w:hAnsi="Verdana" w:cs="Verdana"/>
          <w:bCs/>
          <w:color w:val="0070C0"/>
          <w:sz w:val="20"/>
          <w:szCs w:val="20"/>
        </w:rPr>
        <w:t xml:space="preserve">, gdy ona sama nie miała takiego problemu. Trybunał uznał, iż doszło do </w:t>
      </w:r>
      <w:r w:rsidR="00E1702C" w:rsidRPr="000E3BFB">
        <w:rPr>
          <w:rFonts w:ascii="Verdana" w:hAnsi="Verdana" w:cs="Verdana"/>
          <w:b/>
          <w:bCs/>
          <w:color w:val="0070C0"/>
          <w:sz w:val="20"/>
          <w:szCs w:val="20"/>
        </w:rPr>
        <w:t>naruszenia Artykułu 8 Konwencji</w:t>
      </w:r>
      <w:r w:rsidR="00E1702C" w:rsidRPr="00595AFC">
        <w:rPr>
          <w:rFonts w:ascii="Verdana" w:hAnsi="Verdana" w:cs="Verdana"/>
          <w:bCs/>
          <w:color w:val="0070C0"/>
          <w:sz w:val="20"/>
          <w:szCs w:val="20"/>
        </w:rPr>
        <w:t xml:space="preserve"> w odniesieniu do okresu między 21 listopada 2008 a 4 listopada 2009</w:t>
      </w:r>
      <w:r w:rsidR="00A75088" w:rsidRPr="00595AFC">
        <w:rPr>
          <w:rFonts w:ascii="Verdana" w:hAnsi="Verdana" w:cs="Verdana"/>
          <w:bCs/>
          <w:color w:val="0070C0"/>
          <w:sz w:val="20"/>
          <w:szCs w:val="20"/>
        </w:rPr>
        <w:t xml:space="preserve"> </w:t>
      </w:r>
      <w:r w:rsidR="00E1702C" w:rsidRPr="00595AFC">
        <w:rPr>
          <w:rFonts w:ascii="Verdana" w:hAnsi="Verdana" w:cs="Verdana"/>
          <w:bCs/>
          <w:color w:val="0070C0"/>
          <w:sz w:val="20"/>
          <w:szCs w:val="20"/>
        </w:rPr>
        <w:t>r</w:t>
      </w:r>
      <w:r w:rsidR="00A75088" w:rsidRPr="00595AFC">
        <w:rPr>
          <w:rFonts w:ascii="Verdana" w:hAnsi="Verdana" w:cs="Verdana"/>
          <w:bCs/>
          <w:color w:val="0070C0"/>
          <w:sz w:val="20"/>
          <w:szCs w:val="20"/>
        </w:rPr>
        <w:t>.</w:t>
      </w:r>
      <w:r w:rsidR="00E1702C" w:rsidRPr="00595AFC">
        <w:rPr>
          <w:rFonts w:ascii="Verdana" w:hAnsi="Verdana" w:cs="Verdana"/>
          <w:bCs/>
          <w:color w:val="0070C0"/>
          <w:sz w:val="20"/>
          <w:szCs w:val="20"/>
        </w:rPr>
        <w:t>, ponieważ ingerencja w prawa skarżącej była niezgodna z obowiązującym w tamtym czasie prawem krajowym. Jednakże Trybunał ustalił, iż od 4 listopada, decyzja władz lokalnych stanowiąca o nieprzyznaniu opieki na czas nocny w celu zaspokojenia potrzeb skarżącej była już zgodna z prawem krajowym. Ingerencja ta dążyła do prawego celu, mianowicie dobrobytu gospodarczego państwa i inter</w:t>
      </w:r>
      <w:r w:rsidR="00632231" w:rsidRPr="00595AFC">
        <w:rPr>
          <w:rFonts w:ascii="Verdana" w:hAnsi="Verdana" w:cs="Verdana"/>
          <w:bCs/>
          <w:color w:val="0070C0"/>
          <w:sz w:val="20"/>
          <w:szCs w:val="20"/>
        </w:rPr>
        <w:t>e</w:t>
      </w:r>
      <w:r w:rsidR="00E1702C" w:rsidRPr="00595AFC">
        <w:rPr>
          <w:rFonts w:ascii="Verdana" w:hAnsi="Verdana" w:cs="Verdana"/>
          <w:bCs/>
          <w:color w:val="0070C0"/>
          <w:sz w:val="20"/>
          <w:szCs w:val="20"/>
        </w:rPr>
        <w:t xml:space="preserve">sów innych beneficjentów systemu opiekuńczego. W tej sprawie </w:t>
      </w:r>
      <w:r w:rsidR="00AE01B4" w:rsidRPr="00595AFC">
        <w:rPr>
          <w:rFonts w:ascii="Verdana" w:hAnsi="Verdana" w:cs="Verdana"/>
          <w:bCs/>
          <w:color w:val="0070C0"/>
          <w:sz w:val="20"/>
          <w:szCs w:val="20"/>
        </w:rPr>
        <w:t>powstało pytanie, czy ingerencja ta była „konieczna w demokratycznym społeczeństwie”, zwłaszcza w kontekście dobrobytu ekonomiczne</w:t>
      </w:r>
      <w:r w:rsidR="00D7410D" w:rsidRPr="00595AFC">
        <w:rPr>
          <w:rFonts w:ascii="Verdana" w:hAnsi="Verdana" w:cs="Verdana"/>
          <w:bCs/>
          <w:color w:val="0070C0"/>
          <w:sz w:val="20"/>
          <w:szCs w:val="20"/>
        </w:rPr>
        <w:t xml:space="preserve">go państwa. Rozważając tę kwestię Trybunał miał na uwadze, iż państwo posiada znaczną swobodę uznania („szeroki margines uznania”) w sprawach dotyczących polityki socjalnej, ekonomicznej i zdrowotnej, w szczególności przy podejmowaniu decyzji w zakresie przydzielenia środków z ograniczonych zasobów. Do Trybunału nie należało zastępowanie </w:t>
      </w:r>
      <w:r w:rsidR="00596711" w:rsidRPr="00595AFC">
        <w:rPr>
          <w:rFonts w:ascii="Verdana" w:hAnsi="Verdana" w:cs="Verdana"/>
          <w:bCs/>
          <w:color w:val="0070C0"/>
          <w:sz w:val="20"/>
          <w:szCs w:val="20"/>
        </w:rPr>
        <w:t>oceny merytorycznej zaskarżonego aktu, poczynionej przez kompetentny organ państwowy własną oceną. W tym zakresie Trybunał stwierdził, iż zarówno władze lokalne (poprzez regularną ocenę opieki) o</w:t>
      </w:r>
      <w:r w:rsidR="00632231" w:rsidRPr="00595AFC">
        <w:rPr>
          <w:rFonts w:ascii="Verdana" w:hAnsi="Verdana" w:cs="Verdana"/>
          <w:bCs/>
          <w:color w:val="0070C0"/>
          <w:sz w:val="20"/>
          <w:szCs w:val="20"/>
        </w:rPr>
        <w:t>raz sądy krajowe (</w:t>
      </w:r>
      <w:r w:rsidR="00596711" w:rsidRPr="00595AFC">
        <w:rPr>
          <w:rFonts w:ascii="Verdana" w:hAnsi="Verdana" w:cs="Verdana"/>
          <w:bCs/>
          <w:color w:val="0070C0"/>
          <w:sz w:val="20"/>
          <w:szCs w:val="20"/>
        </w:rPr>
        <w:t xml:space="preserve">w tym Sąd Apelacyjny oraz Sąd Najwyższy) zrównoważyły potrzebę skarżącej do opieki ze społeczną odpowiedzialnością za dobro innych osób korzystających ze świadczeń opiekuńczych. W związku z powyższym pomimo bardzo trudnej </w:t>
      </w:r>
      <w:r w:rsidR="00DA2624" w:rsidRPr="00595AFC">
        <w:rPr>
          <w:rFonts w:ascii="Verdana" w:hAnsi="Verdana" w:cs="Verdana"/>
          <w:bCs/>
          <w:color w:val="0070C0"/>
          <w:sz w:val="20"/>
          <w:szCs w:val="20"/>
        </w:rPr>
        <w:t>sytuacji, z jaką</w:t>
      </w:r>
      <w:r w:rsidR="00596711" w:rsidRPr="00595AFC">
        <w:rPr>
          <w:rFonts w:ascii="Verdana" w:hAnsi="Verdana" w:cs="Verdana"/>
          <w:bCs/>
          <w:color w:val="0070C0"/>
          <w:sz w:val="20"/>
          <w:szCs w:val="20"/>
        </w:rPr>
        <w:t xml:space="preserve"> musiała zmierzyć się skarżąca Trybunał Europejski orzekł, </w:t>
      </w:r>
      <w:r w:rsidR="00A75088" w:rsidRPr="00595AFC">
        <w:rPr>
          <w:rFonts w:ascii="Verdana" w:hAnsi="Verdana" w:cs="Verdana"/>
          <w:bCs/>
          <w:color w:val="0070C0"/>
          <w:sz w:val="20"/>
          <w:szCs w:val="20"/>
        </w:rPr>
        <w:t>iż od dnia 4 listopada 2009 r.</w:t>
      </w:r>
      <w:r w:rsidR="00596711" w:rsidRPr="00595AFC">
        <w:rPr>
          <w:rFonts w:ascii="Verdana" w:hAnsi="Verdana" w:cs="Verdana"/>
          <w:bCs/>
          <w:color w:val="0070C0"/>
          <w:sz w:val="20"/>
          <w:szCs w:val="20"/>
        </w:rPr>
        <w:t xml:space="preserve"> ingerencja w prawo do poszanowania życia prywatnego skarżącej była zarów</w:t>
      </w:r>
      <w:r w:rsidR="00632231" w:rsidRPr="00595AFC">
        <w:rPr>
          <w:rFonts w:ascii="Verdana" w:hAnsi="Verdana" w:cs="Verdana"/>
          <w:bCs/>
          <w:color w:val="0070C0"/>
          <w:sz w:val="20"/>
          <w:szCs w:val="20"/>
        </w:rPr>
        <w:t>n</w:t>
      </w:r>
      <w:r w:rsidR="00596711" w:rsidRPr="00595AFC">
        <w:rPr>
          <w:rFonts w:ascii="Verdana" w:hAnsi="Verdana" w:cs="Verdana"/>
          <w:bCs/>
          <w:color w:val="0070C0"/>
          <w:sz w:val="20"/>
          <w:szCs w:val="20"/>
        </w:rPr>
        <w:t xml:space="preserve">o </w:t>
      </w:r>
      <w:r w:rsidR="00380022">
        <w:rPr>
          <w:rFonts w:ascii="Verdana" w:hAnsi="Verdana" w:cs="Verdana"/>
          <w:bCs/>
          <w:color w:val="0070C0"/>
          <w:sz w:val="20"/>
          <w:szCs w:val="20"/>
        </w:rPr>
        <w:t>usprawiedliwiona</w:t>
      </w:r>
      <w:r w:rsidR="00596711" w:rsidRPr="00595AFC">
        <w:rPr>
          <w:rFonts w:ascii="Verdana" w:hAnsi="Verdana" w:cs="Verdana"/>
          <w:bCs/>
          <w:color w:val="0070C0"/>
          <w:sz w:val="20"/>
          <w:szCs w:val="20"/>
        </w:rPr>
        <w:t xml:space="preserve"> jak i uzasadniona jako „konieczna w demokratycznym społeczeństwie” oraz odrzucił tę część skargi uznając ją za </w:t>
      </w:r>
      <w:r w:rsidR="00596711" w:rsidRPr="000E3BFB">
        <w:rPr>
          <w:rFonts w:ascii="Verdana" w:hAnsi="Verdana" w:cs="Verdana"/>
          <w:b/>
          <w:bCs/>
          <w:color w:val="0070C0"/>
          <w:sz w:val="20"/>
          <w:szCs w:val="20"/>
        </w:rPr>
        <w:t>niedopuszczalną</w:t>
      </w:r>
      <w:r w:rsidR="00596711" w:rsidRPr="00595AFC">
        <w:rPr>
          <w:rFonts w:ascii="Verdana" w:hAnsi="Verdana" w:cs="Verdana"/>
          <w:bCs/>
          <w:color w:val="0070C0"/>
          <w:sz w:val="20"/>
          <w:szCs w:val="20"/>
        </w:rPr>
        <w:t xml:space="preserve">. </w:t>
      </w:r>
    </w:p>
    <w:p w14:paraId="753B37F7" w14:textId="6D5F16F3" w:rsidR="000D053A" w:rsidRPr="000E3BFB" w:rsidRDefault="00F76DF1" w:rsidP="00F76DF1">
      <w:pPr>
        <w:spacing w:after="240"/>
        <w:rPr>
          <w:rFonts w:ascii="Verdana" w:eastAsia="Times New Roman" w:hAnsi="Verdana" w:cs="Times New Roman"/>
          <w:color w:val="2E74B5" w:themeColor="accent5" w:themeShade="BF"/>
          <w:sz w:val="28"/>
          <w:szCs w:val="28"/>
          <w:lang w:eastAsia="pl-PL"/>
        </w:rPr>
      </w:pPr>
      <w:r w:rsidRPr="000E3BFB">
        <w:rPr>
          <w:rFonts w:ascii="Verdana" w:eastAsia="Times New Roman" w:hAnsi="Verdana" w:cs="Times New Roman"/>
          <w:color w:val="2E74B5" w:themeColor="accent5" w:themeShade="BF"/>
          <w:sz w:val="28"/>
          <w:szCs w:val="28"/>
          <w:lang w:eastAsia="pl-PL"/>
        </w:rPr>
        <w:t xml:space="preserve">Zakaz dyskryminacji </w:t>
      </w:r>
      <w:r w:rsidR="00596711" w:rsidRPr="000E3BFB">
        <w:rPr>
          <w:rFonts w:ascii="Verdana" w:eastAsia="Times New Roman" w:hAnsi="Verdana" w:cs="Times New Roman"/>
          <w:color w:val="2E74B5" w:themeColor="accent5" w:themeShade="BF"/>
          <w:sz w:val="28"/>
          <w:szCs w:val="28"/>
          <w:lang w:eastAsia="pl-PL"/>
        </w:rPr>
        <w:t>(</w:t>
      </w:r>
      <w:r w:rsidRPr="000E3BFB">
        <w:rPr>
          <w:rFonts w:ascii="Verdana" w:eastAsia="Times New Roman" w:hAnsi="Verdana" w:cs="Times New Roman"/>
          <w:color w:val="2E74B5" w:themeColor="accent5" w:themeShade="BF"/>
          <w:sz w:val="28"/>
          <w:szCs w:val="28"/>
          <w:lang w:eastAsia="pl-PL"/>
        </w:rPr>
        <w:t xml:space="preserve">Artykuł </w:t>
      </w:r>
      <w:r w:rsidR="00596711" w:rsidRPr="000E3BFB">
        <w:rPr>
          <w:rFonts w:ascii="Verdana" w:eastAsia="Times New Roman" w:hAnsi="Verdana" w:cs="Times New Roman"/>
          <w:color w:val="2E74B5" w:themeColor="accent5" w:themeShade="BF"/>
          <w:sz w:val="28"/>
          <w:szCs w:val="28"/>
          <w:lang w:eastAsia="pl-PL"/>
        </w:rPr>
        <w:t xml:space="preserve">14 </w:t>
      </w:r>
      <w:r w:rsidRPr="000E3BFB">
        <w:rPr>
          <w:rFonts w:ascii="Verdana" w:eastAsia="Times New Roman" w:hAnsi="Verdana" w:cs="Times New Roman"/>
          <w:color w:val="2E74B5" w:themeColor="accent5" w:themeShade="BF"/>
          <w:sz w:val="28"/>
          <w:szCs w:val="28"/>
          <w:lang w:eastAsia="pl-PL"/>
        </w:rPr>
        <w:t>Konwencji</w:t>
      </w:r>
      <w:r w:rsidR="00596711" w:rsidRPr="000E3BFB">
        <w:rPr>
          <w:rFonts w:ascii="Verdana" w:eastAsia="Times New Roman" w:hAnsi="Verdana" w:cs="Times New Roman"/>
          <w:color w:val="2E74B5" w:themeColor="accent5" w:themeShade="BF"/>
          <w:sz w:val="28"/>
          <w:szCs w:val="28"/>
          <w:lang w:eastAsia="pl-PL"/>
        </w:rPr>
        <w:t xml:space="preserve">) </w:t>
      </w:r>
    </w:p>
    <w:p w14:paraId="7BDEF81C" w14:textId="77777777" w:rsidR="00785847" w:rsidRPr="000E3BFB" w:rsidRDefault="006C00BA" w:rsidP="00F76DF1">
      <w:pPr>
        <w:widowControl w:val="0"/>
        <w:autoSpaceDE w:val="0"/>
        <w:autoSpaceDN w:val="0"/>
        <w:adjustRightInd w:val="0"/>
        <w:rPr>
          <w:rFonts w:ascii="Verdana" w:hAnsi="Verdana" w:cs="Verdana"/>
          <w:b/>
          <w:bCs/>
          <w:color w:val="0B5CAE"/>
          <w:sz w:val="20"/>
          <w:szCs w:val="20"/>
          <w:u w:val="single"/>
        </w:rPr>
      </w:pPr>
      <w:r w:rsidRPr="000E3BFB">
        <w:rPr>
          <w:rFonts w:ascii="Verdana" w:hAnsi="Verdana" w:cs="Verdana"/>
          <w:b/>
          <w:bCs/>
          <w:color w:val="0B5CAE"/>
          <w:sz w:val="20"/>
          <w:szCs w:val="20"/>
          <w:u w:val="single"/>
        </w:rPr>
        <w:t xml:space="preserve">Valkov i Inni przeciwko Bułgarii </w:t>
      </w:r>
    </w:p>
    <w:p w14:paraId="33E15444" w14:textId="77777777" w:rsidR="00785847" w:rsidRPr="004A2C75" w:rsidRDefault="00785847" w:rsidP="00F76DF1">
      <w:pPr>
        <w:widowControl w:val="0"/>
        <w:autoSpaceDE w:val="0"/>
        <w:autoSpaceDN w:val="0"/>
        <w:adjustRightInd w:val="0"/>
        <w:rPr>
          <w:rFonts w:ascii="Verdana" w:hAnsi="Verdana" w:cs="Times"/>
          <w:color w:val="000000"/>
          <w:sz w:val="20"/>
          <w:szCs w:val="20"/>
        </w:rPr>
      </w:pPr>
      <w:r w:rsidRPr="004A2C75">
        <w:rPr>
          <w:rFonts w:ascii="Verdana" w:hAnsi="Verdana" w:cs="Verdana"/>
          <w:color w:val="6D6D6D"/>
          <w:sz w:val="20"/>
          <w:szCs w:val="20"/>
        </w:rPr>
        <w:t xml:space="preserve">25 </w:t>
      </w:r>
      <w:r w:rsidR="006C00BA" w:rsidRPr="004A2C75">
        <w:rPr>
          <w:rFonts w:ascii="Verdana" w:hAnsi="Verdana" w:cs="Verdana"/>
          <w:color w:val="6D6D6D"/>
          <w:sz w:val="20"/>
          <w:szCs w:val="20"/>
        </w:rPr>
        <w:t>październik 2011 (wyrok</w:t>
      </w:r>
      <w:r w:rsidRPr="004A2C75">
        <w:rPr>
          <w:rFonts w:ascii="Verdana" w:hAnsi="Verdana" w:cs="Verdana"/>
          <w:color w:val="6D6D6D"/>
          <w:sz w:val="20"/>
          <w:szCs w:val="20"/>
        </w:rPr>
        <w:t xml:space="preserve">) </w:t>
      </w:r>
    </w:p>
    <w:p w14:paraId="666A858C" w14:textId="77777777" w:rsidR="00785847" w:rsidRPr="004A2C75" w:rsidRDefault="00785847" w:rsidP="00F76DF1">
      <w:pPr>
        <w:widowControl w:val="0"/>
        <w:autoSpaceDE w:val="0"/>
        <w:autoSpaceDN w:val="0"/>
        <w:adjustRightInd w:val="0"/>
        <w:spacing w:after="240"/>
        <w:rPr>
          <w:rFonts w:ascii="Verdana" w:hAnsi="Verdana" w:cs="Verdana"/>
          <w:color w:val="000000"/>
          <w:sz w:val="20"/>
          <w:szCs w:val="20"/>
        </w:rPr>
      </w:pPr>
      <w:r w:rsidRPr="004A2C75">
        <w:rPr>
          <w:rFonts w:ascii="Verdana" w:hAnsi="Verdana" w:cs="Verdana"/>
          <w:color w:val="000000"/>
          <w:sz w:val="20"/>
          <w:szCs w:val="20"/>
        </w:rPr>
        <w:t>Patrz wyżej w sekcji „ochrona własności”</w:t>
      </w:r>
    </w:p>
    <w:p w14:paraId="1F924BB0" w14:textId="77777777" w:rsidR="00785847" w:rsidRPr="000E3BFB" w:rsidRDefault="006C00BA" w:rsidP="00F76DF1">
      <w:pPr>
        <w:widowControl w:val="0"/>
        <w:autoSpaceDE w:val="0"/>
        <w:autoSpaceDN w:val="0"/>
        <w:adjustRightInd w:val="0"/>
        <w:rPr>
          <w:rFonts w:ascii="Verdana" w:hAnsi="Verdana" w:cs="Verdana"/>
          <w:b/>
          <w:bCs/>
          <w:color w:val="0B5CAE"/>
          <w:sz w:val="20"/>
          <w:szCs w:val="20"/>
          <w:u w:val="single"/>
        </w:rPr>
      </w:pPr>
      <w:r w:rsidRPr="000E3BFB">
        <w:rPr>
          <w:rFonts w:ascii="Verdana" w:hAnsi="Verdana" w:cs="Verdana"/>
          <w:b/>
          <w:bCs/>
          <w:color w:val="0B5CAE"/>
          <w:sz w:val="20"/>
          <w:szCs w:val="20"/>
          <w:u w:val="single"/>
        </w:rPr>
        <w:t>Mamatas i Inni przeciwko Grecji</w:t>
      </w:r>
      <w:r w:rsidR="00785847" w:rsidRPr="000E3BFB">
        <w:rPr>
          <w:rFonts w:ascii="Verdana" w:hAnsi="Verdana" w:cs="Verdana"/>
          <w:b/>
          <w:bCs/>
          <w:color w:val="0B5CAE"/>
          <w:sz w:val="20"/>
          <w:szCs w:val="20"/>
          <w:u w:val="single"/>
        </w:rPr>
        <w:t xml:space="preserve"> </w:t>
      </w:r>
    </w:p>
    <w:p w14:paraId="4A6E7421" w14:textId="77777777" w:rsidR="00785847" w:rsidRPr="004A2C75" w:rsidRDefault="006C00BA" w:rsidP="00F76DF1">
      <w:pPr>
        <w:widowControl w:val="0"/>
        <w:autoSpaceDE w:val="0"/>
        <w:autoSpaceDN w:val="0"/>
        <w:adjustRightInd w:val="0"/>
        <w:rPr>
          <w:rFonts w:ascii="Verdana" w:hAnsi="Verdana" w:cs="Times"/>
          <w:color w:val="000000"/>
          <w:sz w:val="20"/>
          <w:szCs w:val="20"/>
        </w:rPr>
      </w:pPr>
      <w:r w:rsidRPr="004A2C75">
        <w:rPr>
          <w:rFonts w:ascii="Verdana" w:hAnsi="Verdana" w:cs="Verdana"/>
          <w:color w:val="6D6D6D"/>
          <w:sz w:val="20"/>
          <w:szCs w:val="20"/>
        </w:rPr>
        <w:t>21 lica 2016 (wyrok</w:t>
      </w:r>
      <w:r w:rsidR="00785847" w:rsidRPr="004A2C75">
        <w:rPr>
          <w:rFonts w:ascii="Verdana" w:hAnsi="Verdana" w:cs="Verdana"/>
          <w:color w:val="6D6D6D"/>
          <w:sz w:val="20"/>
          <w:szCs w:val="20"/>
        </w:rPr>
        <w:t xml:space="preserve">) </w:t>
      </w:r>
    </w:p>
    <w:p w14:paraId="0A6A03FD" w14:textId="77777777" w:rsidR="006C00BA" w:rsidRPr="004A2C75" w:rsidRDefault="006C00BA" w:rsidP="00F76DF1">
      <w:pPr>
        <w:widowControl w:val="0"/>
        <w:autoSpaceDE w:val="0"/>
        <w:autoSpaceDN w:val="0"/>
        <w:adjustRightInd w:val="0"/>
        <w:spacing w:after="240"/>
        <w:rPr>
          <w:rFonts w:ascii="Verdana" w:hAnsi="Verdana" w:cs="Verdana"/>
          <w:color w:val="000000"/>
          <w:sz w:val="20"/>
          <w:szCs w:val="20"/>
        </w:rPr>
      </w:pPr>
      <w:r w:rsidRPr="004A2C75">
        <w:rPr>
          <w:rFonts w:ascii="Verdana" w:hAnsi="Verdana" w:cs="Verdana"/>
          <w:color w:val="000000"/>
          <w:sz w:val="20"/>
          <w:szCs w:val="20"/>
        </w:rPr>
        <w:t>Patrz wyżej w sekcji „ochrona własności”</w:t>
      </w:r>
    </w:p>
    <w:p w14:paraId="2027A6E7" w14:textId="77777777" w:rsidR="00785847" w:rsidRPr="000E3BFB" w:rsidRDefault="00785847" w:rsidP="00F76DF1">
      <w:pPr>
        <w:widowControl w:val="0"/>
        <w:autoSpaceDE w:val="0"/>
        <w:autoSpaceDN w:val="0"/>
        <w:adjustRightInd w:val="0"/>
        <w:rPr>
          <w:rFonts w:ascii="Verdana" w:hAnsi="Verdana" w:cs="Verdana"/>
          <w:b/>
          <w:bCs/>
          <w:color w:val="0B5CAE"/>
          <w:sz w:val="20"/>
          <w:szCs w:val="20"/>
          <w:u w:val="single"/>
        </w:rPr>
      </w:pPr>
      <w:r w:rsidRPr="000E3BFB">
        <w:rPr>
          <w:rFonts w:ascii="Verdana" w:hAnsi="Verdana" w:cs="Verdana"/>
          <w:b/>
          <w:bCs/>
          <w:color w:val="0B5CAE"/>
          <w:sz w:val="20"/>
          <w:szCs w:val="20"/>
          <w:u w:val="single"/>
        </w:rPr>
        <w:t xml:space="preserve">Mockienė </w:t>
      </w:r>
      <w:r w:rsidR="006C00BA" w:rsidRPr="000E3BFB">
        <w:rPr>
          <w:rFonts w:ascii="Verdana" w:hAnsi="Verdana" w:cs="Verdana"/>
          <w:b/>
          <w:bCs/>
          <w:color w:val="0B5CAE"/>
          <w:sz w:val="20"/>
          <w:szCs w:val="20"/>
          <w:u w:val="single"/>
        </w:rPr>
        <w:t>przeciwko Litwie</w:t>
      </w:r>
      <w:r w:rsidRPr="000E3BFB">
        <w:rPr>
          <w:rFonts w:ascii="Verdana" w:hAnsi="Verdana" w:cs="Verdana"/>
          <w:b/>
          <w:bCs/>
          <w:color w:val="0B5CAE"/>
          <w:sz w:val="20"/>
          <w:szCs w:val="20"/>
          <w:u w:val="single"/>
        </w:rPr>
        <w:t xml:space="preserve"> </w:t>
      </w:r>
    </w:p>
    <w:p w14:paraId="2C3AA2EB" w14:textId="77777777" w:rsidR="00785847" w:rsidRPr="004A2C75" w:rsidRDefault="00785847" w:rsidP="00F76DF1">
      <w:pPr>
        <w:widowControl w:val="0"/>
        <w:autoSpaceDE w:val="0"/>
        <w:autoSpaceDN w:val="0"/>
        <w:adjustRightInd w:val="0"/>
        <w:rPr>
          <w:rFonts w:ascii="Verdana" w:hAnsi="Verdana" w:cs="Times"/>
          <w:color w:val="000000"/>
          <w:sz w:val="20"/>
          <w:szCs w:val="20"/>
        </w:rPr>
      </w:pPr>
      <w:r w:rsidRPr="004A2C75">
        <w:rPr>
          <w:rFonts w:ascii="Verdana" w:hAnsi="Verdana" w:cs="Verdana"/>
          <w:color w:val="6D6D6D"/>
          <w:sz w:val="20"/>
          <w:szCs w:val="20"/>
        </w:rPr>
        <w:t xml:space="preserve">4 </w:t>
      </w:r>
      <w:r w:rsidR="006C00BA" w:rsidRPr="004A2C75">
        <w:rPr>
          <w:rFonts w:ascii="Verdana" w:hAnsi="Verdana" w:cs="Verdana"/>
          <w:color w:val="6D6D6D"/>
          <w:sz w:val="20"/>
          <w:szCs w:val="20"/>
        </w:rPr>
        <w:t>lipca</w:t>
      </w:r>
      <w:r w:rsidRPr="004A2C75">
        <w:rPr>
          <w:rFonts w:ascii="Verdana" w:hAnsi="Verdana" w:cs="Verdana"/>
          <w:color w:val="6D6D6D"/>
          <w:sz w:val="20"/>
          <w:szCs w:val="20"/>
        </w:rPr>
        <w:t xml:space="preserve"> 2017 (</w:t>
      </w:r>
      <w:r w:rsidR="006C00BA" w:rsidRPr="004A2C75">
        <w:rPr>
          <w:rFonts w:ascii="Verdana" w:hAnsi="Verdana" w:cs="Verdana"/>
          <w:color w:val="6D6D6D"/>
          <w:sz w:val="20"/>
          <w:szCs w:val="20"/>
        </w:rPr>
        <w:t>decyzja w sprawie dopuszczalności</w:t>
      </w:r>
      <w:r w:rsidRPr="004A2C75">
        <w:rPr>
          <w:rFonts w:ascii="Verdana" w:hAnsi="Verdana" w:cs="Verdana"/>
          <w:color w:val="6D6D6D"/>
          <w:sz w:val="20"/>
          <w:szCs w:val="20"/>
        </w:rPr>
        <w:t xml:space="preserve">) </w:t>
      </w:r>
    </w:p>
    <w:p w14:paraId="6088D149" w14:textId="77777777" w:rsidR="00785847" w:rsidRPr="004A2C75" w:rsidRDefault="006C00BA" w:rsidP="00F76DF1">
      <w:pPr>
        <w:widowControl w:val="0"/>
        <w:autoSpaceDE w:val="0"/>
        <w:autoSpaceDN w:val="0"/>
        <w:adjustRightInd w:val="0"/>
        <w:spacing w:after="240"/>
        <w:rPr>
          <w:rFonts w:ascii="Verdana" w:hAnsi="Verdana"/>
          <w:sz w:val="20"/>
          <w:szCs w:val="20"/>
        </w:rPr>
      </w:pPr>
      <w:r w:rsidRPr="004A2C75">
        <w:rPr>
          <w:rFonts w:ascii="Verdana" w:hAnsi="Verdana" w:cs="Verdana"/>
          <w:color w:val="000000"/>
          <w:sz w:val="20"/>
          <w:szCs w:val="20"/>
        </w:rPr>
        <w:t>Patrz wyżej w sekcji „ochrona własności”</w:t>
      </w:r>
    </w:p>
    <w:p w14:paraId="7BD1B508" w14:textId="5F1C6FB5" w:rsidR="00555EEB" w:rsidRPr="000E3BFB" w:rsidRDefault="00F76DF1" w:rsidP="00F76DF1">
      <w:pPr>
        <w:spacing w:after="240"/>
        <w:rPr>
          <w:rFonts w:ascii="Verdana" w:eastAsia="Times New Roman" w:hAnsi="Verdana" w:cs="Times New Roman"/>
          <w:color w:val="2E74B5" w:themeColor="accent5" w:themeShade="BF"/>
          <w:sz w:val="28"/>
          <w:szCs w:val="28"/>
          <w:lang w:eastAsia="pl-PL"/>
        </w:rPr>
      </w:pPr>
      <w:r w:rsidRPr="000E3BFB">
        <w:rPr>
          <w:rFonts w:ascii="Verdana" w:eastAsia="Times New Roman" w:hAnsi="Verdana" w:cs="Times New Roman"/>
          <w:color w:val="2E74B5" w:themeColor="accent5" w:themeShade="BF"/>
          <w:sz w:val="28"/>
          <w:szCs w:val="28"/>
          <w:lang w:eastAsia="pl-PL"/>
        </w:rPr>
        <w:lastRenderedPageBreak/>
        <w:t xml:space="preserve">Dalsza lektura </w:t>
      </w:r>
    </w:p>
    <w:p w14:paraId="371AFA1B" w14:textId="77777777" w:rsidR="00555EEB" w:rsidRPr="004A2C75" w:rsidRDefault="000E3BFB" w:rsidP="00F76DF1">
      <w:pPr>
        <w:widowControl w:val="0"/>
        <w:autoSpaceDE w:val="0"/>
        <w:autoSpaceDN w:val="0"/>
        <w:adjustRightInd w:val="0"/>
        <w:spacing w:after="240"/>
        <w:rPr>
          <w:rFonts w:ascii="Verdana" w:hAnsi="Verdana"/>
          <w:sz w:val="20"/>
          <w:szCs w:val="20"/>
        </w:rPr>
      </w:pPr>
      <w:r w:rsidRPr="004A2C75">
        <w:rPr>
          <w:rFonts w:ascii="Verdana" w:hAnsi="Verdana"/>
          <w:sz w:val="20"/>
          <w:szCs w:val="20"/>
        </w:rPr>
        <w:t>Zobacz</w:t>
      </w:r>
      <w:r w:rsidR="00555EEB" w:rsidRPr="004A2C75">
        <w:rPr>
          <w:rFonts w:ascii="Verdana" w:hAnsi="Verdana"/>
          <w:sz w:val="20"/>
          <w:szCs w:val="20"/>
        </w:rPr>
        <w:t xml:space="preserve"> w szczególności:</w:t>
      </w:r>
    </w:p>
    <w:p w14:paraId="20F99D93" w14:textId="77777777" w:rsidR="00555EEB" w:rsidRPr="004A2C75" w:rsidRDefault="00F177AF" w:rsidP="00F76DF1">
      <w:pPr>
        <w:widowControl w:val="0"/>
        <w:autoSpaceDE w:val="0"/>
        <w:autoSpaceDN w:val="0"/>
        <w:adjustRightInd w:val="0"/>
        <w:rPr>
          <w:rFonts w:ascii="Verdana" w:hAnsi="Verdana"/>
          <w:sz w:val="20"/>
          <w:szCs w:val="20"/>
        </w:rPr>
      </w:pPr>
      <w:r w:rsidRPr="004A2C75">
        <w:rPr>
          <w:rFonts w:ascii="Verdana" w:hAnsi="Verdana"/>
          <w:sz w:val="20"/>
          <w:szCs w:val="20"/>
        </w:rPr>
        <w:t xml:space="preserve">- </w:t>
      </w:r>
      <w:r w:rsidR="000E3BFB">
        <w:rPr>
          <w:rFonts w:ascii="Verdana" w:hAnsi="Verdana"/>
          <w:sz w:val="20"/>
          <w:szCs w:val="20"/>
        </w:rPr>
        <w:t xml:space="preserve"> </w:t>
      </w:r>
      <w:r w:rsidRPr="000E3BFB">
        <w:rPr>
          <w:rFonts w:ascii="Verdana" w:hAnsi="Verdana" w:cs="Verdana"/>
          <w:b/>
          <w:bCs/>
          <w:color w:val="0B5CAE"/>
          <w:sz w:val="20"/>
          <w:szCs w:val="20"/>
          <w:u w:val="single"/>
        </w:rPr>
        <w:t>materiały</w:t>
      </w:r>
      <w:r w:rsidRPr="004A2C75">
        <w:rPr>
          <w:rFonts w:ascii="Verdana" w:hAnsi="Verdana"/>
          <w:sz w:val="20"/>
          <w:szCs w:val="20"/>
        </w:rPr>
        <w:t xml:space="preserve"> i </w:t>
      </w:r>
      <w:r w:rsidRPr="000E3BFB">
        <w:rPr>
          <w:rFonts w:ascii="Verdana" w:hAnsi="Verdana" w:cs="Verdana"/>
          <w:b/>
          <w:bCs/>
          <w:color w:val="0B5CAE"/>
          <w:sz w:val="20"/>
          <w:szCs w:val="20"/>
          <w:u w:val="single"/>
        </w:rPr>
        <w:t>nagrania wideo</w:t>
      </w:r>
      <w:r w:rsidRPr="004A2C75">
        <w:rPr>
          <w:rFonts w:ascii="Verdana" w:hAnsi="Verdana"/>
          <w:sz w:val="20"/>
          <w:szCs w:val="20"/>
        </w:rPr>
        <w:t xml:space="preserve"> z seminarium „Zastosowanie Europejskiej Konwencji Praw Człowieka w czasach kryzysu gospodarczego” przeprowadzonego podczas otwarcia roku sądowego</w:t>
      </w:r>
      <w:r w:rsidR="00A75088" w:rsidRPr="004A2C75">
        <w:rPr>
          <w:rFonts w:ascii="Verdana" w:hAnsi="Verdana"/>
          <w:sz w:val="20"/>
          <w:szCs w:val="20"/>
        </w:rPr>
        <w:t xml:space="preserve"> Trybunału 25 stycznia 2013 r</w:t>
      </w:r>
      <w:r w:rsidRPr="004A2C75">
        <w:rPr>
          <w:rFonts w:ascii="Verdana" w:hAnsi="Verdana"/>
          <w:sz w:val="20"/>
          <w:szCs w:val="20"/>
        </w:rPr>
        <w:t xml:space="preserve">. </w:t>
      </w:r>
    </w:p>
    <w:p w14:paraId="231ED9FC" w14:textId="77777777" w:rsidR="00F177AF" w:rsidRPr="004A2C75" w:rsidRDefault="00F177AF" w:rsidP="00F76DF1">
      <w:pPr>
        <w:widowControl w:val="0"/>
        <w:autoSpaceDE w:val="0"/>
        <w:autoSpaceDN w:val="0"/>
        <w:adjustRightInd w:val="0"/>
        <w:jc w:val="both"/>
        <w:rPr>
          <w:rFonts w:ascii="Verdana" w:hAnsi="Verdana"/>
          <w:sz w:val="20"/>
          <w:szCs w:val="20"/>
        </w:rPr>
      </w:pPr>
      <w:r w:rsidRPr="004A2C75">
        <w:rPr>
          <w:rFonts w:ascii="Verdana" w:hAnsi="Verdana"/>
          <w:sz w:val="20"/>
          <w:szCs w:val="20"/>
        </w:rPr>
        <w:t>-</w:t>
      </w:r>
      <w:r w:rsidR="000E3BFB">
        <w:rPr>
          <w:rFonts w:ascii="Verdana" w:hAnsi="Verdana"/>
          <w:sz w:val="20"/>
          <w:szCs w:val="20"/>
        </w:rPr>
        <w:t xml:space="preserve"> </w:t>
      </w:r>
      <w:r w:rsidRPr="004A2C75">
        <w:rPr>
          <w:rFonts w:ascii="Verdana" w:hAnsi="Verdana"/>
          <w:sz w:val="20"/>
          <w:szCs w:val="20"/>
        </w:rPr>
        <w:t xml:space="preserve">Komitet Rady Europu ds. Praw Człowieka, </w:t>
      </w:r>
      <w:r w:rsidR="000E3BFB">
        <w:rPr>
          <w:rFonts w:ascii="Verdana" w:hAnsi="Verdana" w:cs="Verdana"/>
          <w:b/>
          <w:bCs/>
          <w:color w:val="0B5CAE"/>
          <w:sz w:val="20"/>
          <w:szCs w:val="20"/>
          <w:u w:val="single"/>
        </w:rPr>
        <w:t>W</w:t>
      </w:r>
      <w:r w:rsidRPr="000E3BFB">
        <w:rPr>
          <w:rFonts w:ascii="Verdana" w:hAnsi="Verdana" w:cs="Verdana"/>
          <w:b/>
          <w:bCs/>
          <w:color w:val="0B5CAE"/>
          <w:sz w:val="20"/>
          <w:szCs w:val="20"/>
          <w:u w:val="single"/>
        </w:rPr>
        <w:t xml:space="preserve">pływ kryzysu gospodarczego i środków oszczędnościowych na prawa człowieka w Europie </w:t>
      </w:r>
      <w:r w:rsidR="00D508EA" w:rsidRPr="000E3BFB">
        <w:rPr>
          <w:rFonts w:ascii="Verdana" w:hAnsi="Verdana" w:cs="Verdana"/>
          <w:b/>
          <w:bCs/>
          <w:color w:val="0B5CAE"/>
          <w:sz w:val="20"/>
          <w:szCs w:val="20"/>
          <w:u w:val="single"/>
        </w:rPr>
        <w:t>–</w:t>
      </w:r>
      <w:r w:rsidRPr="000E3BFB">
        <w:rPr>
          <w:rFonts w:ascii="Verdana" w:hAnsi="Verdana" w:cs="Verdana"/>
          <w:b/>
          <w:bCs/>
          <w:color w:val="0B5CAE"/>
          <w:sz w:val="20"/>
          <w:szCs w:val="20"/>
          <w:u w:val="single"/>
        </w:rPr>
        <w:t xml:space="preserve"> </w:t>
      </w:r>
      <w:r w:rsidR="00D508EA" w:rsidRPr="000E3BFB">
        <w:rPr>
          <w:rFonts w:ascii="Verdana" w:hAnsi="Verdana" w:cs="Verdana"/>
          <w:b/>
          <w:bCs/>
          <w:color w:val="0B5CAE"/>
          <w:sz w:val="20"/>
          <w:szCs w:val="20"/>
          <w:u w:val="single"/>
        </w:rPr>
        <w:t>badanie wykonalności</w:t>
      </w:r>
      <w:r w:rsidR="00D508EA" w:rsidRPr="004A2C75">
        <w:rPr>
          <w:rFonts w:ascii="Verdana" w:hAnsi="Verdana"/>
          <w:sz w:val="20"/>
          <w:szCs w:val="20"/>
        </w:rPr>
        <w:t>, CDDH(2015)R84 Addendum IV, 11 grudnia 2015</w:t>
      </w:r>
      <w:r w:rsidR="000E3BFB">
        <w:rPr>
          <w:rFonts w:ascii="Verdana" w:hAnsi="Verdana"/>
          <w:sz w:val="20"/>
          <w:szCs w:val="20"/>
        </w:rPr>
        <w:t>r.</w:t>
      </w:r>
    </w:p>
    <w:p w14:paraId="719D5A42" w14:textId="77777777" w:rsidR="00D508EA" w:rsidRPr="004A2C75" w:rsidRDefault="000E3BFB" w:rsidP="00F76DF1">
      <w:pPr>
        <w:widowControl w:val="0"/>
        <w:autoSpaceDE w:val="0"/>
        <w:autoSpaceDN w:val="0"/>
        <w:adjustRightInd w:val="0"/>
        <w:jc w:val="both"/>
        <w:rPr>
          <w:rFonts w:ascii="Verdana" w:hAnsi="Verdana"/>
          <w:sz w:val="20"/>
          <w:szCs w:val="20"/>
        </w:rPr>
      </w:pPr>
      <w:r>
        <w:rPr>
          <w:rFonts w:ascii="Verdana" w:hAnsi="Verdana"/>
          <w:sz w:val="20"/>
          <w:szCs w:val="20"/>
        </w:rPr>
        <w:t xml:space="preserve">- </w:t>
      </w:r>
      <w:r w:rsidR="00D508EA" w:rsidRPr="000E3BFB">
        <w:rPr>
          <w:rFonts w:ascii="Verdana" w:hAnsi="Verdana" w:cs="Verdana"/>
          <w:b/>
          <w:bCs/>
          <w:color w:val="0B5CAE"/>
          <w:sz w:val="20"/>
          <w:szCs w:val="20"/>
          <w:u w:val="single"/>
        </w:rPr>
        <w:t>Strona internetowa</w:t>
      </w:r>
      <w:r w:rsidR="00D508EA" w:rsidRPr="004A2C75">
        <w:rPr>
          <w:rFonts w:ascii="Verdana" w:hAnsi="Verdana"/>
          <w:sz w:val="20"/>
          <w:szCs w:val="20"/>
        </w:rPr>
        <w:t xml:space="preserve"> Komisarza Praw Człowieka Rady Europy – praca tematyczna „Kryzys gospodarczy i prawa człowieka”. </w:t>
      </w:r>
    </w:p>
    <w:p w14:paraId="6CDDFAA2" w14:textId="77777777" w:rsidR="00F76DF1" w:rsidRPr="004A2C75" w:rsidRDefault="00F76DF1">
      <w:pPr>
        <w:widowControl w:val="0"/>
        <w:autoSpaceDE w:val="0"/>
        <w:autoSpaceDN w:val="0"/>
        <w:adjustRightInd w:val="0"/>
        <w:jc w:val="both"/>
        <w:rPr>
          <w:rFonts w:ascii="Verdana" w:hAnsi="Verdana"/>
          <w:sz w:val="20"/>
          <w:szCs w:val="20"/>
        </w:rPr>
      </w:pPr>
    </w:p>
    <w:sectPr w:rsidR="00F76DF1" w:rsidRPr="004A2C75" w:rsidSect="00F76DF1">
      <w:headerReference w:type="default" r:id="rId8"/>
      <w:foot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9AA66" w14:textId="77777777" w:rsidR="00F30CA6" w:rsidRDefault="00F30CA6" w:rsidP="006E4F47">
      <w:r>
        <w:separator/>
      </w:r>
    </w:p>
  </w:endnote>
  <w:endnote w:type="continuationSeparator" w:id="0">
    <w:p w14:paraId="530E0356" w14:textId="77777777" w:rsidR="00F30CA6" w:rsidRDefault="00F30CA6" w:rsidP="006E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182767"/>
      <w:docPartObj>
        <w:docPartGallery w:val="Page Numbers (Bottom of Page)"/>
        <w:docPartUnique/>
      </w:docPartObj>
    </w:sdtPr>
    <w:sdtContent>
      <w:p w14:paraId="3E04D9F2" w14:textId="703F0B38" w:rsidR="000630C8" w:rsidRDefault="000630C8">
        <w:pPr>
          <w:pStyle w:val="Stopka"/>
          <w:jc w:val="center"/>
        </w:pPr>
        <w:r>
          <w:fldChar w:fldCharType="begin"/>
        </w:r>
        <w:r>
          <w:instrText>PAGE   \* MERGEFORMAT</w:instrText>
        </w:r>
        <w:r>
          <w:fldChar w:fldCharType="separate"/>
        </w:r>
        <w:r w:rsidR="00DA2624">
          <w:rPr>
            <w:noProof/>
          </w:rPr>
          <w:t>2</w:t>
        </w:r>
        <w:r>
          <w:fldChar w:fldCharType="end"/>
        </w:r>
      </w:p>
    </w:sdtContent>
  </w:sdt>
  <w:p w14:paraId="3EACB0E9" w14:textId="77777777" w:rsidR="000630C8" w:rsidRDefault="000630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344DF" w14:textId="77777777" w:rsidR="00F30CA6" w:rsidRDefault="00F30CA6" w:rsidP="006E4F47">
      <w:r>
        <w:separator/>
      </w:r>
    </w:p>
  </w:footnote>
  <w:footnote w:type="continuationSeparator" w:id="0">
    <w:p w14:paraId="31BD93AA" w14:textId="77777777" w:rsidR="00F30CA6" w:rsidRDefault="00F30CA6" w:rsidP="006E4F47">
      <w:r>
        <w:continuationSeparator/>
      </w:r>
    </w:p>
  </w:footnote>
  <w:footnote w:id="1">
    <w:p w14:paraId="658A8C01" w14:textId="35DCF8FB" w:rsidR="006E4F47" w:rsidRPr="00F76DF1" w:rsidRDefault="006E4F47" w:rsidP="00F76DF1">
      <w:pPr>
        <w:pStyle w:val="NormalnyWeb"/>
        <w:jc w:val="both"/>
        <w:rPr>
          <w:rFonts w:ascii="Verdana" w:hAnsi="Verdana"/>
          <w:sz w:val="16"/>
          <w:szCs w:val="16"/>
        </w:rPr>
      </w:pPr>
      <w:r w:rsidRPr="00F76DF1">
        <w:rPr>
          <w:rStyle w:val="Odwoanieprzypisudolnego"/>
          <w:rFonts w:ascii="Verdana" w:hAnsi="Verdana"/>
          <w:sz w:val="16"/>
          <w:szCs w:val="16"/>
        </w:rPr>
        <w:footnoteRef/>
      </w:r>
      <w:r w:rsidRPr="00F76DF1">
        <w:rPr>
          <w:rFonts w:ascii="Verdana" w:hAnsi="Verdana"/>
          <w:sz w:val="16"/>
          <w:szCs w:val="16"/>
        </w:rPr>
        <w:t xml:space="preserve"> </w:t>
      </w:r>
      <w:r w:rsidR="009055C8" w:rsidRPr="00F76DF1">
        <w:rPr>
          <w:rFonts w:ascii="Verdana" w:hAnsi="Verdana"/>
          <w:sz w:val="16"/>
          <w:szCs w:val="16"/>
        </w:rPr>
        <w:t xml:space="preserve">W 2012 roku nowa ustawa zmieniła warunki dotyczące obligacji skarbowych za sprawą klauzuli akcji zbiorowe, które uniemożliwiły posiadaczom obligacji zawieranie z państwem porozumienia za pomocą większości kwalifikowanej.  </w:t>
      </w:r>
      <w:r w:rsidR="00EF4DD8" w:rsidRPr="00F76DF1">
        <w:rPr>
          <w:rFonts w:ascii="Verdana" w:hAnsi="Verdana"/>
          <w:sz w:val="16"/>
          <w:szCs w:val="16"/>
        </w:rPr>
        <w:t>Większość</w:t>
      </w:r>
      <w:r w:rsidR="000B392B" w:rsidRPr="00F76DF1">
        <w:rPr>
          <w:rFonts w:ascii="Verdana" w:hAnsi="Verdana"/>
          <w:sz w:val="16"/>
          <w:szCs w:val="16"/>
        </w:rPr>
        <w:t xml:space="preserve"> ta została w tym przypadku uzyskana </w:t>
      </w:r>
      <w:r w:rsidR="00EF4DD8" w:rsidRPr="00F76DF1">
        <w:rPr>
          <w:rFonts w:ascii="Verdana" w:hAnsi="Verdana"/>
          <w:sz w:val="16"/>
          <w:szCs w:val="16"/>
        </w:rPr>
        <w:t>dzięki</w:t>
      </w:r>
      <w:r w:rsidR="000B392B" w:rsidRPr="00F76DF1">
        <w:rPr>
          <w:rFonts w:ascii="Verdana" w:hAnsi="Verdana"/>
          <w:sz w:val="16"/>
          <w:szCs w:val="16"/>
        </w:rPr>
        <w:t xml:space="preserve"> udziałowi w </w:t>
      </w:r>
      <w:r w:rsidR="00EF4DD8" w:rsidRPr="00F76DF1">
        <w:rPr>
          <w:rFonts w:ascii="Verdana" w:hAnsi="Verdana"/>
          <w:sz w:val="16"/>
          <w:szCs w:val="16"/>
        </w:rPr>
        <w:t>szczególności</w:t>
      </w:r>
      <w:r w:rsidR="000B392B" w:rsidRPr="00F76DF1">
        <w:rPr>
          <w:rFonts w:ascii="Verdana" w:hAnsi="Verdana"/>
          <w:sz w:val="16"/>
          <w:szCs w:val="16"/>
        </w:rPr>
        <w:t xml:space="preserve"> </w:t>
      </w:r>
      <w:r w:rsidR="00EF4DD8" w:rsidRPr="00F76DF1">
        <w:rPr>
          <w:rFonts w:ascii="Verdana" w:hAnsi="Verdana"/>
          <w:sz w:val="16"/>
          <w:szCs w:val="16"/>
        </w:rPr>
        <w:t>inwestorów</w:t>
      </w:r>
      <w:r w:rsidR="000B392B" w:rsidRPr="00F76DF1">
        <w:rPr>
          <w:rFonts w:ascii="Verdana" w:hAnsi="Verdana"/>
          <w:sz w:val="16"/>
          <w:szCs w:val="16"/>
        </w:rPr>
        <w:t xml:space="preserve"> instytucjonalnych (</w:t>
      </w:r>
      <w:r w:rsidR="00EF4DD8" w:rsidRPr="00F76DF1">
        <w:rPr>
          <w:rFonts w:ascii="Verdana" w:hAnsi="Verdana"/>
          <w:sz w:val="16"/>
          <w:szCs w:val="16"/>
        </w:rPr>
        <w:t>banków</w:t>
      </w:r>
      <w:r w:rsidR="000B392B" w:rsidRPr="00F76DF1">
        <w:rPr>
          <w:rFonts w:ascii="Verdana" w:hAnsi="Verdana"/>
          <w:sz w:val="16"/>
          <w:szCs w:val="16"/>
        </w:rPr>
        <w:t xml:space="preserve"> i instytucji kredytowych). Nowe warunki </w:t>
      </w:r>
      <w:r w:rsidR="00EF4DD8" w:rsidRPr="00F76DF1">
        <w:rPr>
          <w:rFonts w:ascii="Verdana" w:hAnsi="Verdana"/>
          <w:sz w:val="16"/>
          <w:szCs w:val="16"/>
        </w:rPr>
        <w:t>obowiązywały</w:t>
      </w:r>
      <w:r w:rsidR="000B392B" w:rsidRPr="00F76DF1">
        <w:rPr>
          <w:rFonts w:ascii="Verdana" w:hAnsi="Verdana"/>
          <w:sz w:val="16"/>
          <w:szCs w:val="16"/>
        </w:rPr>
        <w:t xml:space="preserve"> wszystkich posiadaczy, w tym, </w:t>
      </w:r>
      <w:r w:rsidR="00EF4DD8" w:rsidRPr="00F76DF1">
        <w:rPr>
          <w:rFonts w:ascii="Verdana" w:hAnsi="Verdana"/>
          <w:sz w:val="16"/>
          <w:szCs w:val="16"/>
        </w:rPr>
        <w:t>skarżących</w:t>
      </w:r>
      <w:r w:rsidR="000B392B" w:rsidRPr="00F76DF1">
        <w:rPr>
          <w:rFonts w:ascii="Verdana" w:hAnsi="Verdana"/>
          <w:sz w:val="16"/>
          <w:szCs w:val="16"/>
        </w:rPr>
        <w:t xml:space="preserve">, mimo ich odmowy. Stare obligacje zostały wymienione na nowe o </w:t>
      </w:r>
      <w:r w:rsidR="00EF4DD8" w:rsidRPr="00F76DF1">
        <w:rPr>
          <w:rFonts w:ascii="Verdana" w:hAnsi="Verdana"/>
          <w:sz w:val="16"/>
          <w:szCs w:val="16"/>
        </w:rPr>
        <w:t>wartości</w:t>
      </w:r>
      <w:r w:rsidR="000B392B" w:rsidRPr="00F76DF1">
        <w:rPr>
          <w:rFonts w:ascii="Verdana" w:hAnsi="Verdana"/>
          <w:sz w:val="16"/>
          <w:szCs w:val="16"/>
        </w:rPr>
        <w:t xml:space="preserve"> o 53,5 proc. </w:t>
      </w:r>
      <w:r w:rsidR="00EF4DD8" w:rsidRPr="00F76DF1">
        <w:rPr>
          <w:rFonts w:ascii="Verdana" w:hAnsi="Verdana"/>
          <w:sz w:val="16"/>
          <w:szCs w:val="16"/>
        </w:rPr>
        <w:t>niższej</w:t>
      </w:r>
      <w:r w:rsidR="000B392B" w:rsidRPr="00F76DF1">
        <w:rPr>
          <w:rFonts w:ascii="Verdana" w:hAnsi="Verdana"/>
          <w:sz w:val="16"/>
          <w:szCs w:val="16"/>
        </w:rPr>
        <w:t xml:space="preserve"> </w:t>
      </w:r>
      <w:r w:rsidR="00EF4DD8" w:rsidRPr="00F76DF1">
        <w:rPr>
          <w:rFonts w:ascii="Verdana" w:hAnsi="Verdana"/>
          <w:sz w:val="16"/>
          <w:szCs w:val="16"/>
        </w:rPr>
        <w:t>niż</w:t>
      </w:r>
      <w:r w:rsidR="000B392B" w:rsidRPr="00F76DF1">
        <w:rPr>
          <w:rFonts w:ascii="Verdana" w:hAnsi="Verdana"/>
          <w:sz w:val="16"/>
          <w:szCs w:val="16"/>
        </w:rPr>
        <w:t xml:space="preserve"> nominalna. </w:t>
      </w:r>
    </w:p>
  </w:footnote>
  <w:footnote w:id="2">
    <w:p w14:paraId="0F29F2FC" w14:textId="77777777" w:rsidR="00542B95" w:rsidRPr="00F76DF1" w:rsidRDefault="00542B95">
      <w:pPr>
        <w:pStyle w:val="Tekstprzypisudolnego"/>
        <w:rPr>
          <w:rFonts w:ascii="Verdana" w:hAnsi="Verdana" w:cs="Times New Roman"/>
          <w:sz w:val="16"/>
          <w:szCs w:val="16"/>
        </w:rPr>
      </w:pPr>
      <w:r w:rsidRPr="00F76DF1">
        <w:rPr>
          <w:rStyle w:val="Odwoanieprzypisudolnego"/>
          <w:rFonts w:ascii="Verdana" w:hAnsi="Verdana" w:cs="Times New Roman"/>
          <w:sz w:val="16"/>
          <w:szCs w:val="16"/>
        </w:rPr>
        <w:footnoteRef/>
      </w:r>
      <w:r w:rsidRPr="00F76DF1">
        <w:rPr>
          <w:rFonts w:ascii="Verdana" w:hAnsi="Verdana" w:cs="Times New Roman"/>
          <w:sz w:val="16"/>
          <w:szCs w:val="16"/>
        </w:rPr>
        <w:t xml:space="preserve"> </w:t>
      </w:r>
      <w:r w:rsidR="00E550FB" w:rsidRPr="00F76DF1">
        <w:rPr>
          <w:rFonts w:ascii="Verdana" w:hAnsi="Verdana" w:cs="Times New Roman"/>
          <w:sz w:val="16"/>
          <w:szCs w:val="16"/>
        </w:rPr>
        <w:t xml:space="preserve">Sprawa nie dotyczyła kwestii odszkodowania. </w:t>
      </w:r>
      <w:r w:rsidR="00510C84" w:rsidRPr="00F76DF1">
        <w:rPr>
          <w:rFonts w:ascii="Verdana" w:hAnsi="Verdana" w:cs="Times New Roman"/>
          <w:sz w:val="16"/>
          <w:szCs w:val="16"/>
        </w:rPr>
        <w:t xml:space="preserve">Postepowania odszkodowawcze wciąż toczyły się w </w:t>
      </w:r>
      <w:r w:rsidR="00595AFC" w:rsidRPr="00F76DF1">
        <w:rPr>
          <w:rFonts w:ascii="Verdana" w:hAnsi="Verdana" w:cs="Times New Roman"/>
          <w:sz w:val="16"/>
          <w:szCs w:val="16"/>
        </w:rPr>
        <w:t>Holandii</w:t>
      </w:r>
      <w:r w:rsidR="00510C84" w:rsidRPr="00F76DF1">
        <w:rPr>
          <w:rFonts w:ascii="Verdana" w:hAnsi="Verdana"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680AD" w14:textId="739D47EB" w:rsidR="00F76DF1" w:rsidRDefault="00F76DF1" w:rsidP="00F76DF1">
    <w:r w:rsidRPr="004A2C75">
      <w:rPr>
        <w:rFonts w:ascii="Verdana" w:hAnsi="Verdana"/>
        <w:sz w:val="20"/>
        <w:szCs w:val="20"/>
      </w:rPr>
      <w:t>Zestawienie – środki oszczędnościowe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1AB64" w14:textId="77777777" w:rsidR="00F76DF1" w:rsidRDefault="00F76DF1" w:rsidP="00F76DF1">
    <w:pPr>
      <w:pStyle w:val="Nagwek"/>
    </w:pPr>
    <w:r>
      <w:rPr>
        <w:rFonts w:ascii="Times New Roman" w:hAnsi="Times New Roman" w:cs="Times New Roman"/>
        <w:noProof/>
        <w:lang w:eastAsia="pl-PL"/>
      </w:rPr>
      <w:drawing>
        <wp:anchor distT="0" distB="0" distL="0" distR="0" simplePos="0" relativeHeight="251661312" behindDoc="0" locked="0" layoutInCell="1" allowOverlap="1" wp14:anchorId="00A1D879" wp14:editId="5BFA43D7">
          <wp:simplePos x="0" y="0"/>
          <wp:positionH relativeFrom="page">
            <wp:posOffset>872490</wp:posOffset>
          </wp:positionH>
          <wp:positionV relativeFrom="paragraph">
            <wp:posOffset>-163830</wp:posOffset>
          </wp:positionV>
          <wp:extent cx="2391410" cy="888365"/>
          <wp:effectExtent l="0" t="0" r="8890" b="698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410" cy="888365"/>
                  </a:xfrm>
                  <a:prstGeom prst="rect">
                    <a:avLst/>
                  </a:prstGeom>
                  <a:noFill/>
                </pic:spPr>
              </pic:pic>
            </a:graphicData>
          </a:graphic>
          <wp14:sizeRelH relativeFrom="page">
            <wp14:pctWidth>0</wp14:pctWidth>
          </wp14:sizeRelH>
          <wp14:sizeRelV relativeFrom="page">
            <wp14:pctHeight>0</wp14:pctHeight>
          </wp14:sizeRelV>
        </wp:anchor>
      </w:drawing>
    </w:r>
  </w:p>
  <w:p w14:paraId="7378E97A" w14:textId="77777777" w:rsidR="00F76DF1" w:rsidRDefault="00F76DF1" w:rsidP="00F76DF1">
    <w:pPr>
      <w:pStyle w:val="Nagwek"/>
      <w:jc w:val="right"/>
    </w:pPr>
    <w:r>
      <w:rPr>
        <w:rFonts w:ascii="Times New Roman" w:hAnsi="Times New Roman"/>
        <w:noProof/>
        <w:lang w:eastAsia="pl-PL"/>
      </w:rPr>
      <w:drawing>
        <wp:inline distT="0" distB="0" distL="0" distR="0" wp14:anchorId="2B097D8D" wp14:editId="2622657D">
          <wp:extent cx="1409700" cy="3657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365760"/>
                  </a:xfrm>
                  <a:prstGeom prst="rect">
                    <a:avLst/>
                  </a:prstGeom>
                  <a:noFill/>
                  <a:ln>
                    <a:noFill/>
                  </a:ln>
                </pic:spPr>
              </pic:pic>
            </a:graphicData>
          </a:graphic>
        </wp:inline>
      </w:drawing>
    </w:r>
  </w:p>
  <w:p w14:paraId="57947225" w14:textId="77777777" w:rsidR="00F76DF1" w:rsidRDefault="00F76DF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C8"/>
    <w:rsid w:val="0001091D"/>
    <w:rsid w:val="000244A1"/>
    <w:rsid w:val="000630C8"/>
    <w:rsid w:val="0007470D"/>
    <w:rsid w:val="000A4D06"/>
    <w:rsid w:val="000B392B"/>
    <w:rsid w:val="000B61BF"/>
    <w:rsid w:val="000B7878"/>
    <w:rsid w:val="000C127D"/>
    <w:rsid w:val="000D053A"/>
    <w:rsid w:val="000E3BFB"/>
    <w:rsid w:val="00174C7D"/>
    <w:rsid w:val="001803B2"/>
    <w:rsid w:val="001A3227"/>
    <w:rsid w:val="001D0F76"/>
    <w:rsid w:val="001E0059"/>
    <w:rsid w:val="001E2796"/>
    <w:rsid w:val="001F1CA7"/>
    <w:rsid w:val="002001B7"/>
    <w:rsid w:val="00222CB1"/>
    <w:rsid w:val="00223E41"/>
    <w:rsid w:val="002512AE"/>
    <w:rsid w:val="0027448B"/>
    <w:rsid w:val="002956D0"/>
    <w:rsid w:val="002C563C"/>
    <w:rsid w:val="00303B5F"/>
    <w:rsid w:val="0031666C"/>
    <w:rsid w:val="003303D9"/>
    <w:rsid w:val="00345337"/>
    <w:rsid w:val="00380022"/>
    <w:rsid w:val="003B4DA6"/>
    <w:rsid w:val="003B5881"/>
    <w:rsid w:val="003B785A"/>
    <w:rsid w:val="003D0C73"/>
    <w:rsid w:val="003E4205"/>
    <w:rsid w:val="003F75D0"/>
    <w:rsid w:val="00453EF4"/>
    <w:rsid w:val="00465765"/>
    <w:rsid w:val="004907AA"/>
    <w:rsid w:val="004972EE"/>
    <w:rsid w:val="004A2C75"/>
    <w:rsid w:val="004B1554"/>
    <w:rsid w:val="004B5DE9"/>
    <w:rsid w:val="004E2996"/>
    <w:rsid w:val="004E419F"/>
    <w:rsid w:val="00503441"/>
    <w:rsid w:val="00510C84"/>
    <w:rsid w:val="0051213E"/>
    <w:rsid w:val="005364EC"/>
    <w:rsid w:val="00542B95"/>
    <w:rsid w:val="005501EA"/>
    <w:rsid w:val="00555EEB"/>
    <w:rsid w:val="00577CBC"/>
    <w:rsid w:val="00595AFC"/>
    <w:rsid w:val="00596711"/>
    <w:rsid w:val="0060545B"/>
    <w:rsid w:val="0062128A"/>
    <w:rsid w:val="00623C50"/>
    <w:rsid w:val="00632231"/>
    <w:rsid w:val="00634938"/>
    <w:rsid w:val="00635358"/>
    <w:rsid w:val="00644B1E"/>
    <w:rsid w:val="00661CDA"/>
    <w:rsid w:val="00666946"/>
    <w:rsid w:val="00677A5C"/>
    <w:rsid w:val="006859B4"/>
    <w:rsid w:val="006A60BA"/>
    <w:rsid w:val="006A7E4A"/>
    <w:rsid w:val="006B17FF"/>
    <w:rsid w:val="006C00BA"/>
    <w:rsid w:val="006C2D24"/>
    <w:rsid w:val="006C7FC9"/>
    <w:rsid w:val="006E4F47"/>
    <w:rsid w:val="00733578"/>
    <w:rsid w:val="00756A41"/>
    <w:rsid w:val="00785847"/>
    <w:rsid w:val="007A55CB"/>
    <w:rsid w:val="007B0678"/>
    <w:rsid w:val="007B0CE5"/>
    <w:rsid w:val="007C0F89"/>
    <w:rsid w:val="007C7B8A"/>
    <w:rsid w:val="00805378"/>
    <w:rsid w:val="0081061D"/>
    <w:rsid w:val="0085258E"/>
    <w:rsid w:val="00854B3A"/>
    <w:rsid w:val="0086049A"/>
    <w:rsid w:val="00866D65"/>
    <w:rsid w:val="00884AE1"/>
    <w:rsid w:val="00887194"/>
    <w:rsid w:val="0089618B"/>
    <w:rsid w:val="008A1F41"/>
    <w:rsid w:val="008B0FA1"/>
    <w:rsid w:val="008C38F2"/>
    <w:rsid w:val="008C6C63"/>
    <w:rsid w:val="009055C8"/>
    <w:rsid w:val="00934977"/>
    <w:rsid w:val="0094000E"/>
    <w:rsid w:val="009513A0"/>
    <w:rsid w:val="0096029D"/>
    <w:rsid w:val="00991B64"/>
    <w:rsid w:val="009C5500"/>
    <w:rsid w:val="009D0B2B"/>
    <w:rsid w:val="009D3F96"/>
    <w:rsid w:val="009D4FB1"/>
    <w:rsid w:val="00A02821"/>
    <w:rsid w:val="00A06EC5"/>
    <w:rsid w:val="00A17A15"/>
    <w:rsid w:val="00A2283F"/>
    <w:rsid w:val="00A441A1"/>
    <w:rsid w:val="00A55505"/>
    <w:rsid w:val="00A604B3"/>
    <w:rsid w:val="00A6222E"/>
    <w:rsid w:val="00A75088"/>
    <w:rsid w:val="00A84A20"/>
    <w:rsid w:val="00A86229"/>
    <w:rsid w:val="00A936E3"/>
    <w:rsid w:val="00AA29B2"/>
    <w:rsid w:val="00AC56D5"/>
    <w:rsid w:val="00AE01B4"/>
    <w:rsid w:val="00AE2BE4"/>
    <w:rsid w:val="00AE5CAB"/>
    <w:rsid w:val="00AF7187"/>
    <w:rsid w:val="00B04800"/>
    <w:rsid w:val="00B05940"/>
    <w:rsid w:val="00B411A5"/>
    <w:rsid w:val="00B42642"/>
    <w:rsid w:val="00B71245"/>
    <w:rsid w:val="00B86AC8"/>
    <w:rsid w:val="00B92435"/>
    <w:rsid w:val="00BA6D29"/>
    <w:rsid w:val="00BA7309"/>
    <w:rsid w:val="00BB5A96"/>
    <w:rsid w:val="00BC65DF"/>
    <w:rsid w:val="00BE3CC9"/>
    <w:rsid w:val="00C447ED"/>
    <w:rsid w:val="00C96B0E"/>
    <w:rsid w:val="00CB6A5A"/>
    <w:rsid w:val="00D32AE1"/>
    <w:rsid w:val="00D508EA"/>
    <w:rsid w:val="00D7410D"/>
    <w:rsid w:val="00D878D8"/>
    <w:rsid w:val="00DA2624"/>
    <w:rsid w:val="00DB0762"/>
    <w:rsid w:val="00DD62B9"/>
    <w:rsid w:val="00DE0F5A"/>
    <w:rsid w:val="00DE1577"/>
    <w:rsid w:val="00DF45C7"/>
    <w:rsid w:val="00E03F40"/>
    <w:rsid w:val="00E04B76"/>
    <w:rsid w:val="00E1702C"/>
    <w:rsid w:val="00E25193"/>
    <w:rsid w:val="00E45E3F"/>
    <w:rsid w:val="00E550FB"/>
    <w:rsid w:val="00E71604"/>
    <w:rsid w:val="00EA4AFA"/>
    <w:rsid w:val="00EB3D9D"/>
    <w:rsid w:val="00EE2AEA"/>
    <w:rsid w:val="00EF227C"/>
    <w:rsid w:val="00EF4DD8"/>
    <w:rsid w:val="00EF5DB1"/>
    <w:rsid w:val="00EF76BE"/>
    <w:rsid w:val="00F15D49"/>
    <w:rsid w:val="00F16F6A"/>
    <w:rsid w:val="00F177AF"/>
    <w:rsid w:val="00F30CA6"/>
    <w:rsid w:val="00F32A5B"/>
    <w:rsid w:val="00F3765B"/>
    <w:rsid w:val="00F37940"/>
    <w:rsid w:val="00F549E2"/>
    <w:rsid w:val="00F74B2A"/>
    <w:rsid w:val="00F76DF1"/>
    <w:rsid w:val="00F86AAF"/>
    <w:rsid w:val="00FA4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F8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C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CHRPara">
    <w:name w:val="ECHR_Para"/>
    <w:aliases w:val="Ju_Para,Left,First line:  0 cm"/>
    <w:basedOn w:val="Normalny"/>
    <w:link w:val="JuParaCar"/>
    <w:uiPriority w:val="99"/>
    <w:qFormat/>
    <w:rsid w:val="008B0FA1"/>
    <w:pPr>
      <w:ind w:firstLine="284"/>
      <w:jc w:val="both"/>
    </w:pPr>
    <w:rPr>
      <w:rFonts w:eastAsiaTheme="minorEastAsia"/>
      <w:szCs w:val="22"/>
      <w:lang w:val="fr-FR" w:eastAsia="fr-FR"/>
    </w:rPr>
  </w:style>
  <w:style w:type="character" w:customStyle="1" w:styleId="JuParaCar">
    <w:name w:val="Ju_Para Car"/>
    <w:link w:val="ECHRPara"/>
    <w:uiPriority w:val="99"/>
    <w:rsid w:val="008B0FA1"/>
    <w:rPr>
      <w:rFonts w:eastAsiaTheme="minorEastAsia"/>
      <w:szCs w:val="22"/>
      <w:lang w:val="fr-FR" w:eastAsia="fr-FR"/>
    </w:rPr>
  </w:style>
  <w:style w:type="paragraph" w:styleId="Tekstprzypisudolnego">
    <w:name w:val="footnote text"/>
    <w:basedOn w:val="Normalny"/>
    <w:link w:val="TekstprzypisudolnegoZnak"/>
    <w:uiPriority w:val="99"/>
    <w:unhideWhenUsed/>
    <w:rsid w:val="006E4F47"/>
  </w:style>
  <w:style w:type="character" w:customStyle="1" w:styleId="TekstprzypisudolnegoZnak">
    <w:name w:val="Tekst przypisu dolnego Znak"/>
    <w:basedOn w:val="Domylnaczcionkaakapitu"/>
    <w:link w:val="Tekstprzypisudolnego"/>
    <w:uiPriority w:val="99"/>
    <w:rsid w:val="006E4F47"/>
  </w:style>
  <w:style w:type="character" w:styleId="Odwoanieprzypisudolnego">
    <w:name w:val="footnote reference"/>
    <w:basedOn w:val="Domylnaczcionkaakapitu"/>
    <w:uiPriority w:val="99"/>
    <w:unhideWhenUsed/>
    <w:rsid w:val="006E4F47"/>
    <w:rPr>
      <w:vertAlign w:val="superscript"/>
    </w:rPr>
  </w:style>
  <w:style w:type="paragraph" w:styleId="NormalnyWeb">
    <w:name w:val="Normal (Web)"/>
    <w:basedOn w:val="Normalny"/>
    <w:uiPriority w:val="99"/>
    <w:unhideWhenUsed/>
    <w:rsid w:val="00223E41"/>
    <w:pPr>
      <w:spacing w:before="100" w:beforeAutospacing="1" w:after="100" w:afterAutospacing="1"/>
    </w:pPr>
    <w:rPr>
      <w:rFonts w:ascii="Times New Roman" w:hAnsi="Times New Roman" w:cs="Times New Roman"/>
      <w:lang w:eastAsia="pl-PL"/>
    </w:rPr>
  </w:style>
  <w:style w:type="character" w:customStyle="1" w:styleId="tlid-translation">
    <w:name w:val="tlid-translation"/>
    <w:basedOn w:val="Domylnaczcionkaakapitu"/>
    <w:rsid w:val="007A55CB"/>
  </w:style>
  <w:style w:type="paragraph" w:styleId="Bezodstpw">
    <w:name w:val="No Spacing"/>
    <w:uiPriority w:val="1"/>
    <w:qFormat/>
    <w:rsid w:val="00B04800"/>
  </w:style>
  <w:style w:type="paragraph" w:styleId="Nagwek">
    <w:name w:val="header"/>
    <w:basedOn w:val="Normalny"/>
    <w:link w:val="NagwekZnak"/>
    <w:uiPriority w:val="99"/>
    <w:unhideWhenUsed/>
    <w:rsid w:val="003B4DA6"/>
    <w:pPr>
      <w:tabs>
        <w:tab w:val="center" w:pos="4536"/>
        <w:tab w:val="right" w:pos="9072"/>
      </w:tabs>
    </w:pPr>
  </w:style>
  <w:style w:type="character" w:customStyle="1" w:styleId="NagwekZnak">
    <w:name w:val="Nagłówek Znak"/>
    <w:basedOn w:val="Domylnaczcionkaakapitu"/>
    <w:link w:val="Nagwek"/>
    <w:uiPriority w:val="99"/>
    <w:rsid w:val="003B4DA6"/>
  </w:style>
  <w:style w:type="paragraph" w:styleId="Stopka">
    <w:name w:val="footer"/>
    <w:basedOn w:val="Normalny"/>
    <w:link w:val="StopkaZnak"/>
    <w:uiPriority w:val="99"/>
    <w:unhideWhenUsed/>
    <w:rsid w:val="003B4DA6"/>
    <w:pPr>
      <w:tabs>
        <w:tab w:val="center" w:pos="4536"/>
        <w:tab w:val="right" w:pos="9072"/>
      </w:tabs>
    </w:pPr>
  </w:style>
  <w:style w:type="character" w:customStyle="1" w:styleId="StopkaZnak">
    <w:name w:val="Stopka Znak"/>
    <w:basedOn w:val="Domylnaczcionkaakapitu"/>
    <w:link w:val="Stopka"/>
    <w:uiPriority w:val="99"/>
    <w:rsid w:val="003B4DA6"/>
  </w:style>
  <w:style w:type="paragraph" w:styleId="Tekstdymka">
    <w:name w:val="Balloon Text"/>
    <w:basedOn w:val="Normalny"/>
    <w:link w:val="TekstdymkaZnak"/>
    <w:uiPriority w:val="99"/>
    <w:semiHidden/>
    <w:unhideWhenUsed/>
    <w:rsid w:val="00F76DF1"/>
    <w:rPr>
      <w:rFonts w:ascii="Tahoma" w:hAnsi="Tahoma" w:cs="Tahoma"/>
      <w:sz w:val="16"/>
      <w:szCs w:val="16"/>
    </w:rPr>
  </w:style>
  <w:style w:type="character" w:customStyle="1" w:styleId="TekstdymkaZnak">
    <w:name w:val="Tekst dymka Znak"/>
    <w:basedOn w:val="Domylnaczcionkaakapitu"/>
    <w:link w:val="Tekstdymka"/>
    <w:uiPriority w:val="99"/>
    <w:semiHidden/>
    <w:rsid w:val="00F76DF1"/>
    <w:rPr>
      <w:rFonts w:ascii="Tahoma" w:hAnsi="Tahoma" w:cs="Tahoma"/>
      <w:sz w:val="16"/>
      <w:szCs w:val="16"/>
    </w:rPr>
  </w:style>
  <w:style w:type="paragraph" w:styleId="Tekstpodstawowy">
    <w:name w:val="Body Text"/>
    <w:basedOn w:val="Normalny"/>
    <w:link w:val="TekstpodstawowyZnak"/>
    <w:uiPriority w:val="1"/>
    <w:qFormat/>
    <w:rsid w:val="00F76DF1"/>
    <w:pPr>
      <w:widowControl w:val="0"/>
      <w:autoSpaceDE w:val="0"/>
      <w:autoSpaceDN w:val="0"/>
      <w:ind w:left="860"/>
      <w:jc w:val="both"/>
    </w:pPr>
    <w:rPr>
      <w:rFonts w:ascii="Verdana" w:eastAsia="Verdana" w:hAnsi="Verdana" w:cs="Verdana"/>
      <w:sz w:val="20"/>
      <w:szCs w:val="20"/>
      <w:lang w:eastAsia="pl-PL" w:bidi="en-US"/>
    </w:rPr>
  </w:style>
  <w:style w:type="character" w:customStyle="1" w:styleId="TekstpodstawowyZnak">
    <w:name w:val="Tekst podstawowy Znak"/>
    <w:basedOn w:val="Domylnaczcionkaakapitu"/>
    <w:link w:val="Tekstpodstawowy"/>
    <w:uiPriority w:val="1"/>
    <w:rsid w:val="00F76DF1"/>
    <w:rPr>
      <w:rFonts w:ascii="Verdana" w:eastAsia="Verdana" w:hAnsi="Verdana" w:cs="Verdana"/>
      <w:sz w:val="20"/>
      <w:szCs w:val="20"/>
      <w:lang w:eastAsia="pl-P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C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CHRPara">
    <w:name w:val="ECHR_Para"/>
    <w:aliases w:val="Ju_Para,Left,First line:  0 cm"/>
    <w:basedOn w:val="Normalny"/>
    <w:link w:val="JuParaCar"/>
    <w:uiPriority w:val="99"/>
    <w:qFormat/>
    <w:rsid w:val="008B0FA1"/>
    <w:pPr>
      <w:ind w:firstLine="284"/>
      <w:jc w:val="both"/>
    </w:pPr>
    <w:rPr>
      <w:rFonts w:eastAsiaTheme="minorEastAsia"/>
      <w:szCs w:val="22"/>
      <w:lang w:val="fr-FR" w:eastAsia="fr-FR"/>
    </w:rPr>
  </w:style>
  <w:style w:type="character" w:customStyle="1" w:styleId="JuParaCar">
    <w:name w:val="Ju_Para Car"/>
    <w:link w:val="ECHRPara"/>
    <w:uiPriority w:val="99"/>
    <w:rsid w:val="008B0FA1"/>
    <w:rPr>
      <w:rFonts w:eastAsiaTheme="minorEastAsia"/>
      <w:szCs w:val="22"/>
      <w:lang w:val="fr-FR" w:eastAsia="fr-FR"/>
    </w:rPr>
  </w:style>
  <w:style w:type="paragraph" w:styleId="Tekstprzypisudolnego">
    <w:name w:val="footnote text"/>
    <w:basedOn w:val="Normalny"/>
    <w:link w:val="TekstprzypisudolnegoZnak"/>
    <w:uiPriority w:val="99"/>
    <w:unhideWhenUsed/>
    <w:rsid w:val="006E4F47"/>
  </w:style>
  <w:style w:type="character" w:customStyle="1" w:styleId="TekstprzypisudolnegoZnak">
    <w:name w:val="Tekst przypisu dolnego Znak"/>
    <w:basedOn w:val="Domylnaczcionkaakapitu"/>
    <w:link w:val="Tekstprzypisudolnego"/>
    <w:uiPriority w:val="99"/>
    <w:rsid w:val="006E4F47"/>
  </w:style>
  <w:style w:type="character" w:styleId="Odwoanieprzypisudolnego">
    <w:name w:val="footnote reference"/>
    <w:basedOn w:val="Domylnaczcionkaakapitu"/>
    <w:uiPriority w:val="99"/>
    <w:unhideWhenUsed/>
    <w:rsid w:val="006E4F47"/>
    <w:rPr>
      <w:vertAlign w:val="superscript"/>
    </w:rPr>
  </w:style>
  <w:style w:type="paragraph" w:styleId="NormalnyWeb">
    <w:name w:val="Normal (Web)"/>
    <w:basedOn w:val="Normalny"/>
    <w:uiPriority w:val="99"/>
    <w:unhideWhenUsed/>
    <w:rsid w:val="00223E41"/>
    <w:pPr>
      <w:spacing w:before="100" w:beforeAutospacing="1" w:after="100" w:afterAutospacing="1"/>
    </w:pPr>
    <w:rPr>
      <w:rFonts w:ascii="Times New Roman" w:hAnsi="Times New Roman" w:cs="Times New Roman"/>
      <w:lang w:eastAsia="pl-PL"/>
    </w:rPr>
  </w:style>
  <w:style w:type="character" w:customStyle="1" w:styleId="tlid-translation">
    <w:name w:val="tlid-translation"/>
    <w:basedOn w:val="Domylnaczcionkaakapitu"/>
    <w:rsid w:val="007A55CB"/>
  </w:style>
  <w:style w:type="paragraph" w:styleId="Bezodstpw">
    <w:name w:val="No Spacing"/>
    <w:uiPriority w:val="1"/>
    <w:qFormat/>
    <w:rsid w:val="00B04800"/>
  </w:style>
  <w:style w:type="paragraph" w:styleId="Nagwek">
    <w:name w:val="header"/>
    <w:basedOn w:val="Normalny"/>
    <w:link w:val="NagwekZnak"/>
    <w:uiPriority w:val="99"/>
    <w:unhideWhenUsed/>
    <w:rsid w:val="003B4DA6"/>
    <w:pPr>
      <w:tabs>
        <w:tab w:val="center" w:pos="4536"/>
        <w:tab w:val="right" w:pos="9072"/>
      </w:tabs>
    </w:pPr>
  </w:style>
  <w:style w:type="character" w:customStyle="1" w:styleId="NagwekZnak">
    <w:name w:val="Nagłówek Znak"/>
    <w:basedOn w:val="Domylnaczcionkaakapitu"/>
    <w:link w:val="Nagwek"/>
    <w:uiPriority w:val="99"/>
    <w:rsid w:val="003B4DA6"/>
  </w:style>
  <w:style w:type="paragraph" w:styleId="Stopka">
    <w:name w:val="footer"/>
    <w:basedOn w:val="Normalny"/>
    <w:link w:val="StopkaZnak"/>
    <w:uiPriority w:val="99"/>
    <w:unhideWhenUsed/>
    <w:rsid w:val="003B4DA6"/>
    <w:pPr>
      <w:tabs>
        <w:tab w:val="center" w:pos="4536"/>
        <w:tab w:val="right" w:pos="9072"/>
      </w:tabs>
    </w:pPr>
  </w:style>
  <w:style w:type="character" w:customStyle="1" w:styleId="StopkaZnak">
    <w:name w:val="Stopka Znak"/>
    <w:basedOn w:val="Domylnaczcionkaakapitu"/>
    <w:link w:val="Stopka"/>
    <w:uiPriority w:val="99"/>
    <w:rsid w:val="003B4DA6"/>
  </w:style>
  <w:style w:type="paragraph" w:styleId="Tekstdymka">
    <w:name w:val="Balloon Text"/>
    <w:basedOn w:val="Normalny"/>
    <w:link w:val="TekstdymkaZnak"/>
    <w:uiPriority w:val="99"/>
    <w:semiHidden/>
    <w:unhideWhenUsed/>
    <w:rsid w:val="00F76DF1"/>
    <w:rPr>
      <w:rFonts w:ascii="Tahoma" w:hAnsi="Tahoma" w:cs="Tahoma"/>
      <w:sz w:val="16"/>
      <w:szCs w:val="16"/>
    </w:rPr>
  </w:style>
  <w:style w:type="character" w:customStyle="1" w:styleId="TekstdymkaZnak">
    <w:name w:val="Tekst dymka Znak"/>
    <w:basedOn w:val="Domylnaczcionkaakapitu"/>
    <w:link w:val="Tekstdymka"/>
    <w:uiPriority w:val="99"/>
    <w:semiHidden/>
    <w:rsid w:val="00F76DF1"/>
    <w:rPr>
      <w:rFonts w:ascii="Tahoma" w:hAnsi="Tahoma" w:cs="Tahoma"/>
      <w:sz w:val="16"/>
      <w:szCs w:val="16"/>
    </w:rPr>
  </w:style>
  <w:style w:type="paragraph" w:styleId="Tekstpodstawowy">
    <w:name w:val="Body Text"/>
    <w:basedOn w:val="Normalny"/>
    <w:link w:val="TekstpodstawowyZnak"/>
    <w:uiPriority w:val="1"/>
    <w:qFormat/>
    <w:rsid w:val="00F76DF1"/>
    <w:pPr>
      <w:widowControl w:val="0"/>
      <w:autoSpaceDE w:val="0"/>
      <w:autoSpaceDN w:val="0"/>
      <w:ind w:left="860"/>
      <w:jc w:val="both"/>
    </w:pPr>
    <w:rPr>
      <w:rFonts w:ascii="Verdana" w:eastAsia="Verdana" w:hAnsi="Verdana" w:cs="Verdana"/>
      <w:sz w:val="20"/>
      <w:szCs w:val="20"/>
      <w:lang w:eastAsia="pl-PL" w:bidi="en-US"/>
    </w:rPr>
  </w:style>
  <w:style w:type="character" w:customStyle="1" w:styleId="TekstpodstawowyZnak">
    <w:name w:val="Tekst podstawowy Znak"/>
    <w:basedOn w:val="Domylnaczcionkaakapitu"/>
    <w:link w:val="Tekstpodstawowy"/>
    <w:uiPriority w:val="1"/>
    <w:rsid w:val="00F76DF1"/>
    <w:rPr>
      <w:rFonts w:ascii="Verdana" w:eastAsia="Verdana" w:hAnsi="Verdana" w:cs="Verdana"/>
      <w:sz w:val="20"/>
      <w:szCs w:val="20"/>
      <w:lang w:eastAsia="pl-P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1042">
      <w:bodyDiv w:val="1"/>
      <w:marLeft w:val="0"/>
      <w:marRight w:val="0"/>
      <w:marTop w:val="0"/>
      <w:marBottom w:val="0"/>
      <w:divBdr>
        <w:top w:val="none" w:sz="0" w:space="0" w:color="auto"/>
        <w:left w:val="none" w:sz="0" w:space="0" w:color="auto"/>
        <w:bottom w:val="none" w:sz="0" w:space="0" w:color="auto"/>
        <w:right w:val="none" w:sz="0" w:space="0" w:color="auto"/>
      </w:divBdr>
      <w:divsChild>
        <w:div w:id="1862235879">
          <w:marLeft w:val="0"/>
          <w:marRight w:val="0"/>
          <w:marTop w:val="0"/>
          <w:marBottom w:val="0"/>
          <w:divBdr>
            <w:top w:val="none" w:sz="0" w:space="0" w:color="auto"/>
            <w:left w:val="none" w:sz="0" w:space="0" w:color="auto"/>
            <w:bottom w:val="none" w:sz="0" w:space="0" w:color="auto"/>
            <w:right w:val="none" w:sz="0" w:space="0" w:color="auto"/>
          </w:divBdr>
          <w:divsChild>
            <w:div w:id="361981832">
              <w:marLeft w:val="0"/>
              <w:marRight w:val="0"/>
              <w:marTop w:val="0"/>
              <w:marBottom w:val="0"/>
              <w:divBdr>
                <w:top w:val="none" w:sz="0" w:space="0" w:color="auto"/>
                <w:left w:val="none" w:sz="0" w:space="0" w:color="auto"/>
                <w:bottom w:val="none" w:sz="0" w:space="0" w:color="auto"/>
                <w:right w:val="none" w:sz="0" w:space="0" w:color="auto"/>
              </w:divBdr>
              <w:divsChild>
                <w:div w:id="18714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7996">
      <w:bodyDiv w:val="1"/>
      <w:marLeft w:val="0"/>
      <w:marRight w:val="0"/>
      <w:marTop w:val="0"/>
      <w:marBottom w:val="0"/>
      <w:divBdr>
        <w:top w:val="none" w:sz="0" w:space="0" w:color="auto"/>
        <w:left w:val="none" w:sz="0" w:space="0" w:color="auto"/>
        <w:bottom w:val="none" w:sz="0" w:space="0" w:color="auto"/>
        <w:right w:val="none" w:sz="0" w:space="0" w:color="auto"/>
      </w:divBdr>
    </w:div>
    <w:div w:id="1448114257">
      <w:bodyDiv w:val="1"/>
      <w:marLeft w:val="0"/>
      <w:marRight w:val="0"/>
      <w:marTop w:val="0"/>
      <w:marBottom w:val="0"/>
      <w:divBdr>
        <w:top w:val="none" w:sz="0" w:space="0" w:color="auto"/>
        <w:left w:val="none" w:sz="0" w:space="0" w:color="auto"/>
        <w:bottom w:val="none" w:sz="0" w:space="0" w:color="auto"/>
        <w:right w:val="none" w:sz="0" w:space="0" w:color="auto"/>
      </w:divBdr>
      <w:divsChild>
        <w:div w:id="630215134">
          <w:marLeft w:val="0"/>
          <w:marRight w:val="0"/>
          <w:marTop w:val="0"/>
          <w:marBottom w:val="0"/>
          <w:divBdr>
            <w:top w:val="none" w:sz="0" w:space="0" w:color="auto"/>
            <w:left w:val="none" w:sz="0" w:space="0" w:color="auto"/>
            <w:bottom w:val="none" w:sz="0" w:space="0" w:color="auto"/>
            <w:right w:val="none" w:sz="0" w:space="0" w:color="auto"/>
          </w:divBdr>
          <w:divsChild>
            <w:div w:id="1060519317">
              <w:marLeft w:val="0"/>
              <w:marRight w:val="0"/>
              <w:marTop w:val="0"/>
              <w:marBottom w:val="0"/>
              <w:divBdr>
                <w:top w:val="none" w:sz="0" w:space="0" w:color="auto"/>
                <w:left w:val="none" w:sz="0" w:space="0" w:color="auto"/>
                <w:bottom w:val="none" w:sz="0" w:space="0" w:color="auto"/>
                <w:right w:val="none" w:sz="0" w:space="0" w:color="auto"/>
              </w:divBdr>
              <w:divsChild>
                <w:div w:id="1911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1C59C9-33D6-42B8-B360-DDC36D94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3834</Words>
  <Characters>23007</Characters>
  <Application>Microsoft Office Word</Application>
  <DocSecurity>0</DocSecurity>
  <Lines>191</Lines>
  <Paragraphs>53</Paragraphs>
  <ScaleCrop>false</ScaleCrop>
  <LinksUpToDate>false</LinksUpToDate>
  <CharactersWithSpaces>26788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2020-07-22T13:28:00Z</dcterms:created>
  <dcterms:modified xsi:type="dcterms:W3CDTF">2020-07-22T13:28:00Z</dcterms:modified>
</cp:coreProperties>
</file>