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76" w:rsidRPr="005726AA" w:rsidRDefault="00CF05E7" w:rsidP="00C65D84">
      <w:pPr>
        <w:pStyle w:val="Tekstpodstawowywcity"/>
        <w:tabs>
          <w:tab w:val="num" w:pos="720"/>
        </w:tabs>
        <w:spacing w:after="0"/>
        <w:ind w:left="0"/>
        <w:jc w:val="both"/>
        <w:rPr>
          <w:rFonts w:ascii="Lato" w:hAnsi="Lato"/>
          <w:b/>
          <w:sz w:val="22"/>
          <w:szCs w:val="22"/>
        </w:rPr>
      </w:pPr>
      <w:r w:rsidRPr="005726AA">
        <w:rPr>
          <w:rFonts w:ascii="Lato" w:hAnsi="Lato"/>
          <w:b/>
          <w:sz w:val="22"/>
          <w:szCs w:val="22"/>
        </w:rPr>
        <w:t>Lista sprawdzająca pr</w:t>
      </w:r>
      <w:r w:rsidR="00BC33CC" w:rsidRPr="005726AA">
        <w:rPr>
          <w:rFonts w:ascii="Lato" w:hAnsi="Lato"/>
          <w:b/>
          <w:sz w:val="22"/>
          <w:szCs w:val="22"/>
        </w:rPr>
        <w:t>zedsięwzięcia</w:t>
      </w:r>
      <w:r w:rsidRPr="005726AA">
        <w:rPr>
          <w:rFonts w:ascii="Lato" w:hAnsi="Lato"/>
          <w:b/>
          <w:sz w:val="22"/>
          <w:szCs w:val="22"/>
        </w:rPr>
        <w:t xml:space="preserve"> zgłoszonego do dofinansowania </w:t>
      </w:r>
    </w:p>
    <w:p w:rsidR="009079AC" w:rsidRPr="005726AA" w:rsidRDefault="00553A2C" w:rsidP="00C65D84">
      <w:pPr>
        <w:pStyle w:val="Tekstpodstawowywcity"/>
        <w:tabs>
          <w:tab w:val="num" w:pos="720"/>
        </w:tabs>
        <w:spacing w:after="0"/>
        <w:ind w:left="0"/>
        <w:jc w:val="both"/>
        <w:rPr>
          <w:rFonts w:ascii="Lato" w:hAnsi="Lato"/>
          <w:sz w:val="22"/>
          <w:szCs w:val="22"/>
        </w:rPr>
      </w:pPr>
      <w:r w:rsidRPr="005726AA">
        <w:rPr>
          <w:rFonts w:ascii="Lato" w:hAnsi="Lato"/>
          <w:sz w:val="22"/>
          <w:szCs w:val="22"/>
        </w:rPr>
        <w:t>Komponent B: „Zielona energia i zmniejszenie energochłonności”</w:t>
      </w:r>
    </w:p>
    <w:p w:rsidR="00553A2C" w:rsidRPr="005726AA" w:rsidRDefault="00553A2C" w:rsidP="00C65D84">
      <w:pPr>
        <w:pStyle w:val="Tekstpodstawowywcity"/>
        <w:tabs>
          <w:tab w:val="num" w:pos="720"/>
        </w:tabs>
        <w:spacing w:after="0"/>
        <w:ind w:left="0"/>
        <w:jc w:val="both"/>
        <w:rPr>
          <w:rFonts w:ascii="Lato" w:hAnsi="Lato"/>
          <w:sz w:val="22"/>
          <w:szCs w:val="22"/>
        </w:rPr>
      </w:pPr>
      <w:r w:rsidRPr="005726AA">
        <w:rPr>
          <w:rFonts w:ascii="Lato" w:hAnsi="Lato"/>
          <w:sz w:val="22"/>
          <w:szCs w:val="22"/>
        </w:rPr>
        <w:t xml:space="preserve">B1.1.4. </w:t>
      </w:r>
      <w:r w:rsidR="00E26229" w:rsidRPr="005726AA">
        <w:rPr>
          <w:rFonts w:ascii="Lato" w:hAnsi="Lato"/>
          <w:sz w:val="22"/>
          <w:szCs w:val="22"/>
        </w:rPr>
        <w:t>„</w:t>
      </w:r>
      <w:r w:rsidR="00624AB3" w:rsidRPr="005726AA">
        <w:rPr>
          <w:rFonts w:ascii="Lato" w:hAnsi="Lato"/>
          <w:sz w:val="22"/>
          <w:szCs w:val="22"/>
        </w:rPr>
        <w:t>Wzmocnienie</w:t>
      </w:r>
      <w:r w:rsidRPr="005726AA">
        <w:rPr>
          <w:rFonts w:ascii="Lato" w:hAnsi="Lato"/>
          <w:sz w:val="22"/>
          <w:szCs w:val="22"/>
        </w:rPr>
        <w:t xml:space="preserve"> efektywności energetycznej obiektów lokalnej aktywności społecznej</w:t>
      </w:r>
      <w:r w:rsidR="00817C1A" w:rsidRPr="005726AA">
        <w:rPr>
          <w:rFonts w:ascii="Lato" w:hAnsi="Lato"/>
          <w:sz w:val="22"/>
          <w:szCs w:val="22"/>
        </w:rPr>
        <w:t>”</w:t>
      </w:r>
    </w:p>
    <w:p w:rsidR="00616989" w:rsidRPr="005726AA" w:rsidRDefault="009079AC" w:rsidP="00457AFD">
      <w:pPr>
        <w:jc w:val="both"/>
        <w:rPr>
          <w:rFonts w:ascii="Lato" w:hAnsi="Lato"/>
          <w:bCs/>
          <w:iCs/>
          <w:sz w:val="22"/>
          <w:szCs w:val="22"/>
        </w:rPr>
      </w:pPr>
      <w:r w:rsidRPr="005726AA">
        <w:rPr>
          <w:rFonts w:ascii="Lato" w:hAnsi="Lato"/>
          <w:sz w:val="22"/>
          <w:szCs w:val="22"/>
        </w:rPr>
        <w:t>Tytuł pr</w:t>
      </w:r>
      <w:r w:rsidR="00BC33CC" w:rsidRPr="005726AA">
        <w:rPr>
          <w:rFonts w:ascii="Lato" w:hAnsi="Lato"/>
          <w:sz w:val="22"/>
          <w:szCs w:val="22"/>
        </w:rPr>
        <w:t>zedsięwzięcia</w:t>
      </w:r>
      <w:r w:rsidRPr="005726AA">
        <w:rPr>
          <w:rFonts w:ascii="Lato" w:hAnsi="Lato"/>
          <w:bCs/>
          <w:sz w:val="22"/>
          <w:szCs w:val="22"/>
        </w:rPr>
        <w:t>:</w:t>
      </w:r>
      <w:r w:rsidRPr="005726AA">
        <w:rPr>
          <w:rFonts w:ascii="Lato" w:hAnsi="Lato"/>
          <w:bCs/>
          <w:i/>
          <w:i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iCs/>
          <w:sz w:val="22"/>
          <w:szCs w:val="22"/>
        </w:rPr>
        <w:t>…………………………………..</w:t>
      </w:r>
    </w:p>
    <w:p w:rsidR="009079AC" w:rsidRPr="005726AA" w:rsidRDefault="00616989" w:rsidP="00457AFD">
      <w:pPr>
        <w:jc w:val="both"/>
        <w:rPr>
          <w:rFonts w:ascii="Lato" w:hAnsi="Lato"/>
          <w:b/>
          <w:sz w:val="22"/>
          <w:szCs w:val="22"/>
        </w:rPr>
      </w:pPr>
      <w:r w:rsidRPr="005726AA">
        <w:rPr>
          <w:rFonts w:ascii="Lato" w:hAnsi="Lato"/>
          <w:bCs/>
          <w:sz w:val="22"/>
          <w:szCs w:val="22"/>
        </w:rPr>
        <w:t>N</w:t>
      </w:r>
      <w:r w:rsidR="009079AC" w:rsidRPr="005726AA">
        <w:rPr>
          <w:rFonts w:ascii="Lato" w:hAnsi="Lato"/>
          <w:bCs/>
          <w:sz w:val="22"/>
          <w:szCs w:val="22"/>
        </w:rPr>
        <w:t>umer pr</w:t>
      </w:r>
      <w:r w:rsidR="00BC33CC" w:rsidRPr="005726AA">
        <w:rPr>
          <w:rFonts w:ascii="Lato" w:hAnsi="Lato"/>
          <w:bCs/>
          <w:sz w:val="22"/>
          <w:szCs w:val="22"/>
        </w:rPr>
        <w:t>zedsięwzięcia</w:t>
      </w:r>
      <w:r w:rsidR="009079AC" w:rsidRPr="005726AA">
        <w:rPr>
          <w:rFonts w:ascii="Lato" w:hAnsi="Lato"/>
          <w:bCs/>
          <w:sz w:val="22"/>
          <w:szCs w:val="22"/>
        </w:rPr>
        <w:t xml:space="preserve">:  </w:t>
      </w:r>
      <w:r w:rsidR="00563E58" w:rsidRPr="005726AA">
        <w:rPr>
          <w:rFonts w:ascii="Lato" w:hAnsi="Lato"/>
          <w:bCs/>
          <w:sz w:val="22"/>
          <w:szCs w:val="22"/>
        </w:rPr>
        <w:t>:</w:t>
      </w:r>
      <w:r w:rsidR="00563E58" w:rsidRPr="005726AA">
        <w:rPr>
          <w:rFonts w:ascii="Lato" w:hAnsi="Lato"/>
          <w:bCs/>
          <w:i/>
          <w:i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iCs/>
          <w:sz w:val="22"/>
          <w:szCs w:val="22"/>
        </w:rPr>
        <w:t>…………………………………..</w:t>
      </w:r>
      <w:r w:rsidR="00457B52" w:rsidRPr="005726AA">
        <w:rPr>
          <w:rFonts w:ascii="Lato" w:hAnsi="Lato"/>
          <w:b/>
          <w:bCs/>
          <w:sz w:val="22"/>
          <w:szCs w:val="22"/>
        </w:rPr>
        <w:tab/>
      </w:r>
    </w:p>
    <w:p w:rsidR="009079AC" w:rsidRPr="005726AA" w:rsidRDefault="00BC33CC" w:rsidP="00406431">
      <w:pPr>
        <w:tabs>
          <w:tab w:val="left" w:pos="3600"/>
        </w:tabs>
        <w:ind w:left="3600" w:hanging="3600"/>
        <w:jc w:val="both"/>
        <w:rPr>
          <w:rFonts w:asciiTheme="minorHAnsi" w:hAnsiTheme="minorHAnsi"/>
          <w:b/>
          <w:sz w:val="22"/>
          <w:szCs w:val="22"/>
        </w:rPr>
      </w:pPr>
      <w:r w:rsidRPr="005726AA">
        <w:rPr>
          <w:rFonts w:ascii="Lato" w:hAnsi="Lato"/>
          <w:sz w:val="22"/>
          <w:szCs w:val="22"/>
        </w:rPr>
        <w:t>Wnioskodawca</w:t>
      </w:r>
      <w:r w:rsidR="00CF05E7" w:rsidRPr="005726AA">
        <w:rPr>
          <w:rFonts w:ascii="Lato" w:hAnsi="Lato"/>
          <w:sz w:val="22"/>
          <w:szCs w:val="22"/>
        </w:rPr>
        <w:t xml:space="preserve">: </w:t>
      </w:r>
      <w:r w:rsidR="00563E58" w:rsidRPr="005726AA">
        <w:rPr>
          <w:rFonts w:ascii="Lato" w:hAnsi="Lato"/>
          <w:bCs/>
          <w:sz w:val="22"/>
          <w:szCs w:val="22"/>
        </w:rPr>
        <w:t>:</w:t>
      </w:r>
      <w:r w:rsidR="00563E58" w:rsidRPr="005726AA">
        <w:rPr>
          <w:rFonts w:ascii="Lato" w:hAnsi="Lato"/>
          <w:bCs/>
          <w:i/>
          <w:i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iCs/>
          <w:sz w:val="22"/>
          <w:szCs w:val="22"/>
        </w:rPr>
        <w:t>…………………………………..</w:t>
      </w:r>
    </w:p>
    <w:p w:rsidR="00553A2C" w:rsidRPr="005726AA" w:rsidRDefault="00553A2C" w:rsidP="007F5465">
      <w:pPr>
        <w:tabs>
          <w:tab w:val="left" w:pos="3600"/>
        </w:tabs>
        <w:jc w:val="both"/>
        <w:rPr>
          <w:rFonts w:ascii="Lato" w:hAnsi="Lato"/>
          <w:b/>
          <w:bCs/>
          <w:sz w:val="22"/>
          <w:szCs w:val="22"/>
        </w:rPr>
      </w:pPr>
      <w:r w:rsidRPr="005726AA">
        <w:rPr>
          <w:rFonts w:ascii="Lato" w:hAnsi="Lato"/>
          <w:bCs/>
          <w:sz w:val="22"/>
          <w:szCs w:val="22"/>
        </w:rPr>
        <w:t>Wartość całkowita</w:t>
      </w:r>
      <w:r w:rsidR="00634465" w:rsidRPr="005726AA">
        <w:rPr>
          <w:rFonts w:ascii="Lato" w:hAnsi="Lato"/>
          <w:bCs/>
          <w:sz w:val="22"/>
          <w:szCs w:val="22"/>
        </w:rPr>
        <w:t xml:space="preserve"> projek</w:t>
      </w:r>
      <w:r w:rsidR="00040CDB" w:rsidRPr="005726AA">
        <w:rPr>
          <w:rFonts w:ascii="Lato" w:hAnsi="Lato"/>
          <w:bCs/>
          <w:sz w:val="22"/>
          <w:szCs w:val="22"/>
        </w:rPr>
        <w:t xml:space="preserve">tu: </w:t>
      </w:r>
      <w:r w:rsidR="00563E58" w:rsidRPr="005726AA">
        <w:rPr>
          <w:rFonts w:ascii="Lato" w:hAnsi="Lato"/>
          <w:bCs/>
          <w:sz w:val="22"/>
          <w:szCs w:val="22"/>
        </w:rPr>
        <w:t>:</w:t>
      </w:r>
      <w:r w:rsidR="00563E58" w:rsidRPr="005726AA">
        <w:rPr>
          <w:rFonts w:ascii="Lato" w:hAnsi="Lato"/>
          <w:bCs/>
          <w:i/>
          <w:i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iCs/>
          <w:sz w:val="22"/>
          <w:szCs w:val="22"/>
        </w:rPr>
        <w:t>…………………………………..</w:t>
      </w:r>
    </w:p>
    <w:p w:rsidR="004D2092" w:rsidRPr="005726AA" w:rsidRDefault="00CF05E7" w:rsidP="004D2092">
      <w:pPr>
        <w:tabs>
          <w:tab w:val="left" w:pos="3600"/>
        </w:tabs>
        <w:jc w:val="both"/>
        <w:rPr>
          <w:rFonts w:ascii="Lato" w:hAnsi="Lato"/>
          <w:b/>
          <w:bCs/>
          <w:vanish/>
          <w:sz w:val="22"/>
          <w:szCs w:val="22"/>
        </w:rPr>
      </w:pPr>
      <w:r w:rsidRPr="005726AA">
        <w:rPr>
          <w:rFonts w:ascii="Lato" w:hAnsi="Lato"/>
          <w:bCs/>
          <w:sz w:val="22"/>
          <w:szCs w:val="22"/>
        </w:rPr>
        <w:t xml:space="preserve">Wnioskowana kwota </w:t>
      </w:r>
      <w:r w:rsidR="00553A2C" w:rsidRPr="005726AA">
        <w:rPr>
          <w:rFonts w:ascii="Lato" w:hAnsi="Lato"/>
          <w:bCs/>
          <w:sz w:val="22"/>
          <w:szCs w:val="22"/>
        </w:rPr>
        <w:t>dofinansowania</w:t>
      </w:r>
      <w:r w:rsidR="00634465" w:rsidRPr="005726AA">
        <w:rPr>
          <w:rFonts w:ascii="Lato" w:hAnsi="Lato"/>
          <w:bCs/>
          <w:sz w:val="22"/>
          <w:szCs w:val="22"/>
        </w:rPr>
        <w:t xml:space="preserve"> projektu</w:t>
      </w:r>
      <w:r w:rsidRPr="005726AA">
        <w:rPr>
          <w:rFonts w:ascii="Lato" w:hAnsi="Lato"/>
          <w:bCs/>
          <w:sz w:val="22"/>
          <w:szCs w:val="22"/>
        </w:rPr>
        <w:t>:</w:t>
      </w:r>
      <w:r w:rsidR="00457B52" w:rsidRPr="005726AA">
        <w:rPr>
          <w:rFonts w:ascii="Lato" w:hAnsi="Lato"/>
          <w:bCs/>
          <w:sz w:val="22"/>
          <w:szCs w:val="22"/>
        </w:rPr>
        <w:t xml:space="preserve"> </w:t>
      </w:r>
      <w:r w:rsidR="004D2092" w:rsidRPr="005726AA">
        <w:rPr>
          <w:rFonts w:ascii="Lato" w:hAnsi="Lato"/>
          <w:b/>
          <w:bCs/>
          <w:vanish/>
          <w:sz w:val="22"/>
          <w:szCs w:val="22"/>
        </w:rPr>
        <w:t>Początek formularza</w:t>
      </w:r>
    </w:p>
    <w:p w:rsidR="007F5465" w:rsidRPr="005726AA" w:rsidRDefault="007F5465" w:rsidP="007F5465">
      <w:pPr>
        <w:tabs>
          <w:tab w:val="left" w:pos="3600"/>
        </w:tabs>
        <w:jc w:val="both"/>
        <w:rPr>
          <w:rFonts w:ascii="Lato" w:hAnsi="Lato"/>
          <w:b/>
          <w:bCs/>
          <w:vanish/>
          <w:sz w:val="22"/>
          <w:szCs w:val="22"/>
        </w:rPr>
      </w:pPr>
      <w:r w:rsidRPr="005726AA">
        <w:rPr>
          <w:rFonts w:ascii="Lato" w:hAnsi="Lato"/>
          <w:b/>
          <w:bCs/>
          <w:vanish/>
          <w:sz w:val="22"/>
          <w:szCs w:val="22"/>
        </w:rPr>
        <w:t>Początek formularza</w:t>
      </w:r>
    </w:p>
    <w:p w:rsidR="009079AC" w:rsidRPr="005726AA" w:rsidRDefault="001015CD" w:rsidP="00563E58">
      <w:pPr>
        <w:tabs>
          <w:tab w:val="left" w:pos="3600"/>
        </w:tabs>
        <w:jc w:val="both"/>
        <w:rPr>
          <w:rFonts w:ascii="Lato" w:hAnsi="Lato"/>
          <w:b/>
          <w:bCs/>
          <w:sz w:val="22"/>
          <w:szCs w:val="22"/>
        </w:rPr>
      </w:pPr>
      <w:r w:rsidRPr="005726AA">
        <w:rPr>
          <w:rFonts w:ascii="Lato" w:hAnsi="Lato"/>
          <w:b/>
          <w:bCs/>
          <w:vanish/>
          <w:sz w:val="22"/>
          <w:szCs w:val="22"/>
        </w:rPr>
        <w:t>3</w:t>
      </w:r>
      <w:r w:rsidR="00563E58" w:rsidRPr="005726AA">
        <w:rPr>
          <w:rFonts w:ascii="Lato" w:hAnsi="Lato"/>
          <w:bCs/>
          <w:sz w:val="22"/>
          <w:szCs w:val="22"/>
        </w:rPr>
        <w:t>:</w:t>
      </w:r>
      <w:r w:rsidR="00563E58" w:rsidRPr="005726AA">
        <w:rPr>
          <w:rFonts w:ascii="Lato" w:hAnsi="Lato"/>
          <w:bCs/>
          <w:i/>
          <w:i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iCs/>
          <w:sz w:val="22"/>
          <w:szCs w:val="22"/>
        </w:rPr>
        <w:t>…………………………………..</w:t>
      </w:r>
    </w:p>
    <w:p w:rsidR="00CF05E7" w:rsidRPr="005726AA" w:rsidRDefault="00553A2C" w:rsidP="00C65D84">
      <w:pPr>
        <w:tabs>
          <w:tab w:val="left" w:pos="3600"/>
        </w:tabs>
        <w:jc w:val="both"/>
        <w:rPr>
          <w:rFonts w:ascii="Lato" w:hAnsi="Lato"/>
          <w:bCs/>
          <w:sz w:val="22"/>
          <w:szCs w:val="22"/>
        </w:rPr>
      </w:pPr>
      <w:r w:rsidRPr="005726AA">
        <w:rPr>
          <w:rFonts w:ascii="Lato" w:hAnsi="Lato"/>
          <w:bCs/>
          <w:sz w:val="22"/>
          <w:szCs w:val="22"/>
        </w:rPr>
        <w:t xml:space="preserve">Data </w:t>
      </w:r>
      <w:r w:rsidR="00D6139E" w:rsidRPr="005726AA">
        <w:rPr>
          <w:rFonts w:ascii="Lato" w:hAnsi="Lato"/>
          <w:bCs/>
          <w:sz w:val="22"/>
          <w:szCs w:val="22"/>
        </w:rPr>
        <w:t>złożenia</w:t>
      </w:r>
      <w:r w:rsidRPr="005726AA">
        <w:rPr>
          <w:rFonts w:ascii="Lato" w:hAnsi="Lato"/>
          <w:bCs/>
          <w:sz w:val="22"/>
          <w:szCs w:val="22"/>
        </w:rPr>
        <w:t xml:space="preserve"> wniosku:</w:t>
      </w:r>
      <w:r w:rsidR="00457AFD" w:rsidRPr="005726AA">
        <w:rPr>
          <w:rFonts w:ascii="Lato" w:hAnsi="Lato"/>
          <w:b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sz w:val="22"/>
          <w:szCs w:val="22"/>
        </w:rPr>
        <w:t>:</w:t>
      </w:r>
      <w:r w:rsidR="00563E58" w:rsidRPr="005726AA">
        <w:rPr>
          <w:rFonts w:ascii="Lato" w:hAnsi="Lato"/>
          <w:bCs/>
          <w:i/>
          <w:iCs/>
          <w:sz w:val="22"/>
          <w:szCs w:val="22"/>
        </w:rPr>
        <w:t xml:space="preserve"> </w:t>
      </w:r>
      <w:r w:rsidR="00563E58" w:rsidRPr="005726AA">
        <w:rPr>
          <w:rFonts w:ascii="Lato" w:hAnsi="Lato"/>
          <w:bCs/>
          <w:iCs/>
          <w:sz w:val="22"/>
          <w:szCs w:val="22"/>
        </w:rPr>
        <w:t>…………………………………..</w:t>
      </w:r>
    </w:p>
    <w:p w:rsidR="00A56F71" w:rsidRPr="005726AA" w:rsidRDefault="00A56F71" w:rsidP="009079AC">
      <w:pPr>
        <w:tabs>
          <w:tab w:val="left" w:pos="3600"/>
        </w:tabs>
        <w:rPr>
          <w:rFonts w:ascii="Lato" w:hAnsi="Lato"/>
          <w:bCs/>
          <w:sz w:val="22"/>
          <w:szCs w:val="22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245"/>
        <w:gridCol w:w="1417"/>
        <w:gridCol w:w="4253"/>
      </w:tblGrid>
      <w:tr w:rsidR="002457CE" w:rsidRPr="005726AA" w:rsidTr="00040CDB">
        <w:trPr>
          <w:jc w:val="center"/>
        </w:trPr>
        <w:tc>
          <w:tcPr>
            <w:tcW w:w="675" w:type="dxa"/>
            <w:shd w:val="clear" w:color="auto" w:fill="auto"/>
          </w:tcPr>
          <w:p w:rsidR="002457CE" w:rsidRPr="005726AA" w:rsidRDefault="002457CE" w:rsidP="006C3E36">
            <w:pPr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2457CE" w:rsidRPr="005726AA" w:rsidRDefault="002457CE" w:rsidP="006C3E36">
            <w:pPr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b/>
                <w:sz w:val="22"/>
                <w:szCs w:val="22"/>
              </w:rPr>
              <w:t>Kryterium</w:t>
            </w:r>
          </w:p>
        </w:tc>
        <w:tc>
          <w:tcPr>
            <w:tcW w:w="5245" w:type="dxa"/>
            <w:shd w:val="clear" w:color="auto" w:fill="auto"/>
          </w:tcPr>
          <w:p w:rsidR="002457CE" w:rsidRPr="005726AA" w:rsidRDefault="002457CE" w:rsidP="008C0D8D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b/>
                <w:sz w:val="22"/>
                <w:szCs w:val="22"/>
              </w:rPr>
              <w:t>Opis kryterium</w:t>
            </w:r>
          </w:p>
        </w:tc>
        <w:tc>
          <w:tcPr>
            <w:tcW w:w="1417" w:type="dxa"/>
          </w:tcPr>
          <w:p w:rsidR="002457CE" w:rsidRPr="005726AA" w:rsidRDefault="002457CE" w:rsidP="008C0D8D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b/>
                <w:sz w:val="22"/>
                <w:szCs w:val="22"/>
              </w:rPr>
              <w:t>Tak / Nie / Nie dotyczy</w:t>
            </w:r>
          </w:p>
        </w:tc>
        <w:tc>
          <w:tcPr>
            <w:tcW w:w="4253" w:type="dxa"/>
          </w:tcPr>
          <w:p w:rsidR="002457CE" w:rsidRPr="005726AA" w:rsidRDefault="002457CE" w:rsidP="008C0D8D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b/>
                <w:sz w:val="22"/>
                <w:szCs w:val="22"/>
              </w:rPr>
              <w:t>Opis spełnienia kryterium</w:t>
            </w:r>
          </w:p>
        </w:tc>
      </w:tr>
      <w:tr w:rsidR="002457C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457CE" w:rsidRPr="005726AA" w:rsidRDefault="002457C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Zgodność z ramami czasowymi planu rozwojowego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Ocenie podlega czy harmonogram realizacji przedsięwzięcia nie przekracza ram czasowych kwalifikowalności przedsięwzięć określonych w następujących dokumentach tj.:</w:t>
            </w:r>
          </w:p>
          <w:p w:rsidR="002457CE" w:rsidRPr="005726AA" w:rsidRDefault="002457C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rozporządzeniu </w:t>
            </w:r>
            <w:r w:rsidR="00614C0C" w:rsidRPr="005726AA">
              <w:rPr>
                <w:rFonts w:ascii="Lato" w:eastAsia="Calibri" w:hAnsi="Lato" w:cs="Calibri"/>
                <w:sz w:val="22"/>
                <w:szCs w:val="22"/>
              </w:rPr>
              <w:t>Parlamentu Europejskiego i (</w:t>
            </w:r>
            <w:r w:rsidR="00614C0C" w:rsidRPr="005726AA">
              <w:rPr>
                <w:rFonts w:ascii="Lato" w:hAnsi="Lato"/>
                <w:sz w:val="22"/>
                <w:szCs w:val="22"/>
              </w:rPr>
              <w:t>UE) 2021/241 z dnia 12 lutego 2021 r. ustanawiającego Instrument na rzecz Odb</w:t>
            </w:r>
            <w:r w:rsidR="00334BC2" w:rsidRPr="005726AA">
              <w:rPr>
                <w:rFonts w:ascii="Lato" w:hAnsi="Lato"/>
                <w:sz w:val="22"/>
                <w:szCs w:val="22"/>
              </w:rPr>
              <w:t xml:space="preserve">udowy i Zwiększania Odporności  </w:t>
            </w:r>
            <w:r w:rsidR="00614C0C" w:rsidRPr="005726AA">
              <w:rPr>
                <w:rFonts w:ascii="Lato" w:hAnsi="Lato"/>
                <w:sz w:val="22"/>
                <w:szCs w:val="22"/>
              </w:rPr>
              <w:t xml:space="preserve">( rozporządzenie </w:t>
            </w:r>
            <w:r w:rsidR="00614C0C" w:rsidRPr="005726AA">
              <w:rPr>
                <w:rFonts w:ascii="Lato" w:eastAsia="Calibri" w:hAnsi="Lato" w:cs="Calibri"/>
                <w:sz w:val="22"/>
                <w:szCs w:val="22"/>
              </w:rPr>
              <w:t xml:space="preserve">RRF)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- kwalifikowalne przedsięwzięcie może się zacząć nie wcześniej niż 01.02.2020 r. i zakończyć nie później niż 31.0</w:t>
            </w:r>
            <w:r w:rsidR="00817C1A" w:rsidRPr="005726AA">
              <w:rPr>
                <w:rStyle w:val="Teksttreci2"/>
                <w:rFonts w:ascii="Lato" w:hAnsi="Lato"/>
                <w:sz w:val="22"/>
                <w:szCs w:val="22"/>
              </w:rPr>
              <w:t>3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.2026 r.</w:t>
            </w:r>
            <w:r w:rsidRPr="005726AA">
              <w:rPr>
                <w:rStyle w:val="Teksttreci2"/>
                <w:rFonts w:ascii="Lato" w:hAnsi="Lato"/>
                <w:sz w:val="22"/>
                <w:szCs w:val="22"/>
                <w:vertAlign w:val="superscript"/>
              </w:rPr>
              <w:footnoteReference w:id="1"/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;</w:t>
            </w:r>
          </w:p>
          <w:p w:rsidR="002457CE" w:rsidRPr="005726AA" w:rsidRDefault="002457C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planie rozwojowym - uzgodniony w planie rozwojowym (w tym w odpowiedniej decyzji implementacyjnej Rady UE) termin realizacji inwestycji i przedsięwzięcia.</w:t>
            </w:r>
          </w:p>
          <w:p w:rsidR="002457CE" w:rsidRPr="005726AA" w:rsidRDefault="002457CE" w:rsidP="00226650">
            <w:pPr>
              <w:spacing w:line="269" w:lineRule="exact"/>
              <w:ind w:hanging="580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57CE" w:rsidRPr="005726AA" w:rsidRDefault="00563E58" w:rsidP="00563E58">
            <w:pPr>
              <w:spacing w:line="269" w:lineRule="exact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eastAsia="Calibri" w:hAnsi="Lato"/>
              </w:rPr>
              <w:lastRenderedPageBreak/>
              <w:t>0/1</w:t>
            </w:r>
          </w:p>
        </w:tc>
        <w:tc>
          <w:tcPr>
            <w:tcW w:w="4253" w:type="dxa"/>
            <w:vAlign w:val="center"/>
          </w:tcPr>
          <w:p w:rsidR="00303B00" w:rsidRPr="005726AA" w:rsidRDefault="00303B00" w:rsidP="007E0A4B">
            <w:p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2457C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457CE" w:rsidRPr="005726AA" w:rsidRDefault="002457C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Zgodność z planem rozwojowym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Warunkiem spełnienia kryterium jest zapewnienie przez ostatecznego odbiorcę zgodności przedsięwzięcia z planem rozwojowym oraz z przepisami rozporządzenia RRF, w tym zapewnienie, że:</w:t>
            </w:r>
          </w:p>
          <w:p w:rsidR="002457CE" w:rsidRPr="005726AA" w:rsidRDefault="002457C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przedsięwzięcie jest zgodne z rodzajem przedsięwzięć przewidzianym w opisie właściwego komponentu planu rozwojowego;</w:t>
            </w:r>
          </w:p>
          <w:p w:rsidR="002457CE" w:rsidRPr="005726AA" w:rsidRDefault="002457C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nie przekroczono pułapu maksymalnego poziomu finansowania dla danego typu przedsięwzięcia;</w:t>
            </w:r>
          </w:p>
          <w:p w:rsidR="002457CE" w:rsidRPr="005726AA" w:rsidRDefault="002457CE" w:rsidP="00563E58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Fonts w:ascii="Lato" w:eastAsia="Calibri" w:hAnsi="Lato" w:cs="Calibri"/>
                <w:color w:val="000000"/>
                <w:sz w:val="22"/>
                <w:szCs w:val="22"/>
                <w:lang w:bidi="pl-PL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ostateczny odbiorca składający wniosek o objęcie wsparciem jest uprawniony do ubiegania się </w:t>
            </w:r>
            <w:r w:rsidR="005E492B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o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przyznanie dofinansowania i nie jest wykluczony z dofinansowania na podstawie art. 207 ustawy z dnia 27 sierpnia 2009 r. o finansach publicznych (</w:t>
            </w:r>
            <w:r w:rsidR="00563E58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Dz. U. z 2024 r. poz. 1756 z </w:t>
            </w:r>
            <w:proofErr w:type="spellStart"/>
            <w:r w:rsidR="00563E58" w:rsidRPr="005726AA">
              <w:rPr>
                <w:rStyle w:val="Teksttreci2"/>
                <w:rFonts w:ascii="Lato" w:hAnsi="Lato"/>
                <w:sz w:val="22"/>
                <w:szCs w:val="22"/>
              </w:rPr>
              <w:t>późn</w:t>
            </w:r>
            <w:proofErr w:type="spellEnd"/>
            <w:r w:rsidR="00563E58" w:rsidRPr="005726AA">
              <w:rPr>
                <w:rStyle w:val="Teksttreci2"/>
                <w:rFonts w:ascii="Lato" w:hAnsi="Lato"/>
                <w:sz w:val="22"/>
                <w:szCs w:val="22"/>
              </w:rPr>
              <w:t>. zm.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).</w:t>
            </w:r>
          </w:p>
        </w:tc>
        <w:tc>
          <w:tcPr>
            <w:tcW w:w="1417" w:type="dxa"/>
            <w:vAlign w:val="center"/>
          </w:tcPr>
          <w:p w:rsidR="002457CE" w:rsidRPr="005726AA" w:rsidRDefault="00563E58" w:rsidP="00226650">
            <w:pPr>
              <w:spacing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eastAsia="Calibri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FD51F0" w:rsidRPr="005726AA" w:rsidRDefault="00FD51F0" w:rsidP="000D7E3E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="Lato" w:eastAsia="Times New Roman" w:hAnsi="Lato" w:cs="DejaVuSans,Bold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457C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457CE" w:rsidRPr="005726AA" w:rsidRDefault="002457C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Brak podwójnego finansowania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Analizowane jest czy ostateczny odbiorca nie otrzymał już finansowania na ten sam cel w ramach planu rozwojowego</w:t>
            </w:r>
            <w:r w:rsidR="001A009A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,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innych programów, instrumentów, funduszy w ramach budżetu Unii Europejskiej</w:t>
            </w:r>
            <w:r w:rsidR="001A009A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 </w:t>
            </w:r>
            <w:r w:rsidR="00A53677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oraz w ramach dotacji z krajowych środków publicznych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na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realizację zakresu prac zakładanego w ramach realizacji przedsięwzięcia.</w:t>
            </w:r>
          </w:p>
          <w:p w:rsidR="002457CE" w:rsidRPr="005726AA" w:rsidRDefault="002457CE" w:rsidP="00226650">
            <w:pPr>
              <w:spacing w:before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Weryfikacja na etapie oceny wniosku o objęcie wsparciem będzie obejmować co najmniej oświadczenie o braku podwójnego finansowania przedsięwzięcia złożone przez ostatecznego odbiorcę, wynikające z zakazu podwójnego finansowania, o którym mowa w Rozporządzeniu RRF.</w:t>
            </w:r>
          </w:p>
        </w:tc>
        <w:tc>
          <w:tcPr>
            <w:tcW w:w="1417" w:type="dxa"/>
            <w:vAlign w:val="center"/>
          </w:tcPr>
          <w:p w:rsidR="002457CE" w:rsidRPr="005726AA" w:rsidRDefault="00563E58" w:rsidP="00226650">
            <w:pPr>
              <w:spacing w:after="240"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eastAsia="Calibri" w:hAnsi="Lato"/>
              </w:rPr>
              <w:lastRenderedPageBreak/>
              <w:t>0/1</w:t>
            </w:r>
          </w:p>
        </w:tc>
        <w:tc>
          <w:tcPr>
            <w:tcW w:w="4253" w:type="dxa"/>
            <w:vAlign w:val="center"/>
          </w:tcPr>
          <w:p w:rsidR="00FD51F0" w:rsidRPr="005726AA" w:rsidRDefault="00FD51F0" w:rsidP="000D7E3E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="Lato" w:eastAsia="Times New Roman" w:hAnsi="Lato" w:cs="DejaVuSans,Bold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457C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457CE" w:rsidRPr="005726AA" w:rsidRDefault="002457C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Spójność informacji zawartych we wniosku o objęcie wsparciem, załącznikach do wniosku o objęcie wsparciem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57CE" w:rsidRPr="005726AA" w:rsidRDefault="002457C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Ocena polega na weryfikacji spójności informacji zawartych we wniosku o objęcie wsparciem, oświadczeniach oraz załącznikach do wniosku o objęcie wsparciem.</w:t>
            </w:r>
          </w:p>
          <w:p w:rsidR="002457CE" w:rsidRPr="005726AA" w:rsidRDefault="002457CE" w:rsidP="00226650">
            <w:pPr>
              <w:spacing w:before="240" w:after="240"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Wymóg spójności dokumentów nie oznacza konieczności sporządzania na nowo dokumentów przygotowanych na wcześniejszym etapie przygotowania przedsięwzięcia</w:t>
            </w:r>
            <w:r w:rsidR="00476D5E" w:rsidRPr="005726AA">
              <w:rPr>
                <w:rStyle w:val="Teksttreci2"/>
                <w:rFonts w:ascii="Lato" w:hAnsi="Lato"/>
                <w:sz w:val="22"/>
                <w:szCs w:val="22"/>
              </w:rPr>
              <w:t>.</w:t>
            </w:r>
          </w:p>
          <w:p w:rsidR="002457CE" w:rsidRPr="005726AA" w:rsidRDefault="002457CE" w:rsidP="00226650">
            <w:pPr>
              <w:spacing w:before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57CE" w:rsidRPr="005726AA" w:rsidRDefault="00563E58" w:rsidP="00226650">
            <w:pPr>
              <w:spacing w:after="240"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eastAsia="Calibri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FD51F0" w:rsidRPr="005726AA" w:rsidRDefault="00FD51F0" w:rsidP="002722DB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Sprawdzana jest zgodność przedsięwzięcia z horyzontalnymi zasadami niedyskryminacji i równości szans ze względu na płeć. W szczególności przedmiotem sprawdzenia jest czy przedsięwzięcie nie ogranicza równego dostępu do zasobów (towarów, usług, infrastruktury) ze względu na płeć, pochodzenie ra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 xml:space="preserve">sowe lub etniczne, religię lub przekonania, niepełnosprawność, wiek lub orientację seksualną. Niedyskryminacyjny charakter przedsięwzięcia oznacza konieczność stosowania zasady uniwersalnego projektowania i racjonalnych usprawnień zapewniających dostępność oraz możliwości korzystania ze wspieranej infrastruktury, w szczególności poprzez zastosowanie </w:t>
            </w:r>
            <w:r w:rsidRPr="005726AA">
              <w:rPr>
                <w:rStyle w:val="Teksttreci2Kursywa"/>
                <w:rFonts w:ascii="Lato" w:hAnsi="Lato"/>
                <w:sz w:val="22"/>
                <w:szCs w:val="22"/>
              </w:rPr>
              <w:t>Standardów dostępności dla polityki spójności na lata 2021-2027.</w:t>
            </w:r>
          </w:p>
          <w:p w:rsidR="000D7E3E" w:rsidRPr="005726AA" w:rsidRDefault="000D7E3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Kryterium uznaje się za spełnione, jeżeli przedsięwzięcie: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jest zgodne z zasadą równości szans i niedyskryminacji oraz zasadą równości szans kobiet i mężczyzn. W wyjątkowych sytuacjach dopuszczalne jest uznanie neutralności przedsięwzięcia w stosunku do zasady równości szans kobiet i mężczyzn, o ile ostateczny odbiorca wskaże szczegółowe uzasadnienie, dlaczego dane przedsięwzięcie nie jest w stanie zrealizować jakichkolwiek działań w tym zakresie;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zapewnia dostępność produktów przedsięwzięcia dla osób z niepełnosprawnościami. W wyjątkowych sytuacjach dopuszczalne jest uznanie neutralności produktu przedsięwzięcia w sto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sunku do niniejszej zasady, o ile ostateczny odbiorca wskaże szczegółowe uzasadnienie, dlaczego dany produkt przedsięwzięcia nie jest w stanie zrealizować jakichkolwiek działań w tym zakresie.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after="240"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eastAsia="Calibri" w:hAnsi="Lato"/>
                <w:sz w:val="22"/>
                <w:szCs w:val="22"/>
              </w:rPr>
              <w:lastRenderedPageBreak/>
              <w:t>0/1</w:t>
            </w:r>
          </w:p>
        </w:tc>
        <w:tc>
          <w:tcPr>
            <w:tcW w:w="4253" w:type="dxa"/>
            <w:vAlign w:val="center"/>
          </w:tcPr>
          <w:p w:rsidR="00FD51F0" w:rsidRPr="005726AA" w:rsidRDefault="00FD51F0" w:rsidP="000D7E3E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Właściwie określone wydatki kwalifikowalne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Sprawdzana jest kwalifikowalność, adekwatność i racjonalność wydatków planowanych do poniesienia w ramach przedsięwzięcia.</w:t>
            </w:r>
          </w:p>
          <w:p w:rsidR="000D7E3E" w:rsidRPr="005726AA" w:rsidRDefault="000D7E3E" w:rsidP="00226650">
            <w:pPr>
              <w:spacing w:before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Weryfikacja kwalifikowalności obejmuje następujące warunki: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VAT nie jest wydatkiem kwalifikowalnym i nie może być finansowany ze środków RRF w ramach żadnej z inwestycji/przedsięwzięcia;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</w:t>
            </w:r>
            <w:r w:rsidRPr="005726AA">
              <w:rPr>
                <w:rStyle w:val="Teksttreci2"/>
                <w:rFonts w:ascii="Lato" w:hAnsi="Lato"/>
                <w:sz w:val="22"/>
                <w:szCs w:val="22"/>
                <w:vertAlign w:val="superscript"/>
              </w:rPr>
              <w:footnoteReference w:id="2"/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);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uwzględnienie w realizacji przedsięwzięć właściwych przepisów o zamówieniach publicznych (dla podmiotów zobowiązanych do stosowania PZP) lub reguł konkurencyjności (np. przepisów kodeksu cywilnego) dla podmiotów niezobowiązanych do stosowania PZP (jeżeli dotyczy);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wszystkie koszty inwestycyjne ujęte w budżecie przedsięwzięcia wynikają z audytu energetycznego stanowiącego załącznik do wniosku o dofinansowanie;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koszty zakupu i instalacji kotłów gazowych są wydatkami niekwalifikowalnymi,</w:t>
            </w:r>
          </w:p>
          <w:p w:rsidR="000D7E3E" w:rsidRPr="005726AA" w:rsidRDefault="000D7E3E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wydatki dot. działań informacyjno-promocyjnych są wydatkami niekwalifikowalnymi</w:t>
            </w:r>
          </w:p>
          <w:p w:rsidR="000D7E3E" w:rsidRPr="005726AA" w:rsidRDefault="000D7E3E" w:rsidP="00226650">
            <w:pPr>
              <w:spacing w:line="269" w:lineRule="exact"/>
              <w:ind w:left="284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after="240"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0/1</w:t>
            </w:r>
          </w:p>
        </w:tc>
        <w:tc>
          <w:tcPr>
            <w:tcW w:w="4253" w:type="dxa"/>
            <w:vAlign w:val="center"/>
          </w:tcPr>
          <w:p w:rsidR="00563E58" w:rsidRPr="005726AA" w:rsidRDefault="00563E58" w:rsidP="00563E58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  <w:p w:rsidR="00FD51F0" w:rsidRPr="005726AA" w:rsidRDefault="00FD51F0" w:rsidP="000D7E3E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Sytuacja finansowa</w:t>
            </w:r>
          </w:p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ostatecznego</w:t>
            </w:r>
          </w:p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odbiorcy</w:t>
            </w:r>
          </w:p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i wykonalność</w:t>
            </w:r>
          </w:p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finansowa</w:t>
            </w:r>
          </w:p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przedsięwzięcia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Weryfikowane jest czy sytuacja finansowa ostatecznego odbiorcy nie zagraża realizacji i utrzymaniu rezultatów przedsięwzięcia oraz czy przedstawione zostały wiarygodne źródła współfinansowania przedsięwzięcia (o ile takie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  <w:lang w:eastAsia="en-US" w:bidi="en-US"/>
              </w:rPr>
              <w:t xml:space="preserve">jest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wymagane dla jego realizacji).</w:t>
            </w:r>
          </w:p>
          <w:p w:rsidR="000D7E3E" w:rsidRPr="005726AA" w:rsidRDefault="000D7E3E" w:rsidP="00226650">
            <w:pPr>
              <w:spacing w:before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after="240" w:line="264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FD51F0" w:rsidRPr="005726AA" w:rsidRDefault="00FD51F0" w:rsidP="000D7E3E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4D2092">
        <w:trPr>
          <w:trHeight w:val="35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Pomoc publiczna oraz pomoc de </w:t>
            </w:r>
            <w:proofErr w:type="spellStart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</w:t>
            </w:r>
            <w:proofErr w:type="spellStart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minimis</w:t>
            </w:r>
            <w:proofErr w:type="spellEnd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.</w:t>
            </w:r>
          </w:p>
          <w:p w:rsidR="000D7E3E" w:rsidRPr="005726AA" w:rsidRDefault="000D7E3E" w:rsidP="00226650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Jeśli wsparcie nie stanowi pomocy publicznej, sprawdzane jest czy przedstawiono odpowiednie wyjaśnienia. Wyjaśnienia powinny zawierać odniesienia do właściwych dokumentów instytucji Unii Europejskiej, w tym m.in. do:</w:t>
            </w:r>
          </w:p>
          <w:p w:rsidR="000D7E3E" w:rsidRPr="005726AA" w:rsidRDefault="00485F6D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hyperlink r:id="rId8" w:history="1">
              <w:r w:rsidR="000D7E3E" w:rsidRPr="005726AA">
                <w:rPr>
                  <w:rStyle w:val="Teksttreci2"/>
                  <w:rFonts w:ascii="Lato" w:hAnsi="Lato"/>
                  <w:sz w:val="22"/>
                  <w:szCs w:val="22"/>
                </w:rPr>
                <w:t>Zawiadomienia Komisji w sprawie pojęcia pomocy</w:t>
              </w:r>
            </w:hyperlink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 </w:t>
            </w:r>
            <w:hyperlink r:id="rId9" w:history="1">
              <w:r w:rsidR="000D7E3E" w:rsidRPr="005726AA">
                <w:rPr>
                  <w:rStyle w:val="Teksttreci2"/>
                  <w:rFonts w:ascii="Lato" w:hAnsi="Lato"/>
                  <w:sz w:val="22"/>
                  <w:szCs w:val="22"/>
                </w:rPr>
                <w:t>państwa w rozumieniu art. 107 ust. 1 Traktatu</w:t>
              </w:r>
            </w:hyperlink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 </w:t>
            </w:r>
            <w:hyperlink r:id="rId10" w:history="1">
              <w:r w:rsidR="000D7E3E" w:rsidRPr="005726AA">
                <w:rPr>
                  <w:rStyle w:val="Teksttreci2"/>
                  <w:rFonts w:ascii="Lato" w:hAnsi="Lato"/>
                  <w:sz w:val="22"/>
                  <w:szCs w:val="22"/>
                </w:rPr>
                <w:t>o funkcjonowaniu Unii Europejskiej (2016/C 262/01)</w:t>
              </w:r>
            </w:hyperlink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>;</w:t>
            </w:r>
          </w:p>
          <w:p w:rsidR="000D7E3E" w:rsidRPr="005726AA" w:rsidRDefault="00485F6D" w:rsidP="00226650">
            <w:pPr>
              <w:numPr>
                <w:ilvl w:val="0"/>
                <w:numId w:val="13"/>
              </w:num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  <w:lang w:val="en-AU"/>
              </w:rPr>
            </w:pPr>
            <w:hyperlink r:id="rId11" w:history="1">
              <w:r w:rsidR="000D7E3E" w:rsidRPr="003D2A96">
                <w:rPr>
                  <w:rStyle w:val="Teksttreci2"/>
                  <w:rFonts w:ascii="Lato" w:hAnsi="Lato"/>
                  <w:sz w:val="22"/>
                  <w:szCs w:val="22"/>
                  <w:lang w:val="en-AU"/>
                </w:rPr>
                <w:t xml:space="preserve"> </w:t>
              </w:r>
              <w:r w:rsidR="000D7E3E" w:rsidRPr="005726AA">
                <w:rPr>
                  <w:rStyle w:val="Teksttreci2"/>
                  <w:rFonts w:ascii="Lato" w:hAnsi="Lato"/>
                  <w:sz w:val="22"/>
                  <w:szCs w:val="22"/>
                  <w:lang w:val="en-AU"/>
                </w:rPr>
                <w:t>Recovery and resilience facility (RRF) guiding</w:t>
              </w:r>
            </w:hyperlink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 xml:space="preserve"> </w:t>
            </w:r>
            <w:hyperlink r:id="rId12" w:history="1">
              <w:r w:rsidR="000D7E3E" w:rsidRPr="005726AA">
                <w:rPr>
                  <w:rStyle w:val="Teksttreci2"/>
                  <w:rFonts w:ascii="Lato" w:hAnsi="Lato"/>
                  <w:sz w:val="22"/>
                  <w:szCs w:val="22"/>
                  <w:lang w:val="en-AU"/>
                </w:rPr>
                <w:t>templates</w:t>
              </w:r>
            </w:hyperlink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 xml:space="preserve">, </w:t>
            </w:r>
            <w:proofErr w:type="spellStart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>dostępne</w:t>
            </w:r>
            <w:proofErr w:type="spellEnd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>na</w:t>
            </w:r>
            <w:proofErr w:type="spellEnd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>stronie</w:t>
            </w:r>
            <w:proofErr w:type="spellEnd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>internetowej</w:t>
            </w:r>
            <w:proofErr w:type="spellEnd"/>
            <w:r w:rsidR="000D7E3E" w:rsidRPr="005726AA">
              <w:rPr>
                <w:rStyle w:val="Teksttreci2"/>
                <w:rFonts w:ascii="Lato" w:hAnsi="Lato"/>
                <w:sz w:val="22"/>
                <w:szCs w:val="22"/>
                <w:lang w:val="en-AU"/>
              </w:rPr>
              <w:t xml:space="preserve"> DG COMP.</w:t>
            </w:r>
          </w:p>
          <w:p w:rsidR="000D7E3E" w:rsidRPr="005726AA" w:rsidRDefault="000D7E3E" w:rsidP="00226650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  <w:lang w:val="en-AU"/>
              </w:rPr>
            </w:pPr>
          </w:p>
          <w:p w:rsidR="000D7E3E" w:rsidRPr="005726AA" w:rsidRDefault="000D7E3E" w:rsidP="00226650">
            <w:pPr>
              <w:spacing w:after="240" w:line="264" w:lineRule="exact"/>
              <w:jc w:val="both"/>
              <w:rPr>
                <w:rFonts w:ascii="Lato" w:eastAsia="Calibri" w:hAnsi="Lato" w:cs="Calibri"/>
                <w:color w:val="000000"/>
                <w:sz w:val="22"/>
                <w:szCs w:val="22"/>
                <w:lang w:bidi="pl-PL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 przypadku gdy przedsięwzięcie nie jest objęte pomocą publiczną, należy wskazać 'nie dotyczy' wraz z uzasadnieniem.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563E58">
            <w:pPr>
              <w:spacing w:after="240" w:line="264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0/1/n</w:t>
            </w:r>
            <w:r w:rsidR="00F1624D" w:rsidRPr="005726AA">
              <w:rPr>
                <w:rStyle w:val="Teksttreci2"/>
                <w:rFonts w:ascii="Lato" w:hAnsi="Lato"/>
                <w:sz w:val="22"/>
                <w:szCs w:val="22"/>
              </w:rPr>
              <w:t>ie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 dotyczy</w:t>
            </w:r>
          </w:p>
        </w:tc>
        <w:tc>
          <w:tcPr>
            <w:tcW w:w="4253" w:type="dxa"/>
            <w:vAlign w:val="center"/>
          </w:tcPr>
          <w:p w:rsidR="004F2272" w:rsidRPr="005726AA" w:rsidRDefault="004F2272" w:rsidP="000D7E3E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4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Zgodność z zasadą „niewyrządzania znaczącej szkody środowisku" (DNSH - „do no </w:t>
            </w:r>
            <w:proofErr w:type="spellStart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significant</w:t>
            </w:r>
            <w:proofErr w:type="spellEnd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harm</w:t>
            </w:r>
            <w:proofErr w:type="spellEnd"/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")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Weryfikowane jest zachowanie zgodności z zasadą „niewyrządzania znaczącej szkody środowisku" na podstawie Rozporządzenia RRF oraz Wytycznych technicznych dotyczących stosowania zasady „niewyrządzania znaczącej szkody środowisku" na podstawie rozporządzenia ustanawiającego Instrument na rzecz Odbudowy i Zwiększania</w:t>
            </w:r>
            <w:hyperlink r:id="rId13" w:history="1">
              <w:r w:rsidRPr="005726AA">
                <w:rPr>
                  <w:rStyle w:val="Teksttreci2"/>
                  <w:rFonts w:ascii="Lato" w:hAnsi="Lato"/>
                  <w:sz w:val="22"/>
                  <w:szCs w:val="22"/>
                </w:rPr>
                <w:t xml:space="preserve"> Odporności</w:t>
              </w:r>
            </w:hyperlink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.</w:t>
            </w:r>
          </w:p>
          <w:p w:rsidR="000D7E3E" w:rsidRPr="005726AA" w:rsidRDefault="000D7E3E" w:rsidP="00226650">
            <w:pPr>
              <w:spacing w:before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Weryfikacja na etapie oceny wniosku o objęcie wsparciem dotyczy inwestycji, dla których w decyzji implementacyjnej wskazano objęcie przedsięwzięć zasadą DNSH.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after="240" w:line="264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4F2272" w:rsidRPr="005726AA" w:rsidRDefault="004F2272" w:rsidP="002668D5">
            <w:pPr>
              <w:spacing w:after="240" w:line="264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Zgodność z zasadą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zrównoważonego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rozwoju -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racjonalne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wykorzystywanie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zasobów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naturalnych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Sprawdzane jest czy przedsięwzięcie obejmuje finansowanie działań minimalizujących oddziaływanie działalności człowieka na środowisko. Zasada zrównoważonego rozwoju jest zachowana, jeżeli w ramach przedsięwzięcia zakłada się podejmowanie działań ukierunkowanych na:</w:t>
            </w:r>
          </w:p>
          <w:p w:rsidR="000D7E3E" w:rsidRPr="005726AA" w:rsidRDefault="00C81866" w:rsidP="00226650">
            <w:pPr>
              <w:widowControl w:val="0"/>
              <w:tabs>
                <w:tab w:val="left" w:pos="427"/>
              </w:tabs>
              <w:spacing w:after="6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– </w:t>
            </w:r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>racjonalne gospodarowanie zasobami;</w:t>
            </w:r>
          </w:p>
          <w:p w:rsidR="000D7E3E" w:rsidRPr="005726AA" w:rsidRDefault="00C81866" w:rsidP="00226650">
            <w:pPr>
              <w:widowControl w:val="0"/>
              <w:tabs>
                <w:tab w:val="left" w:pos="422"/>
              </w:tabs>
              <w:spacing w:before="60" w:after="180" w:line="210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– </w:t>
            </w:r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>ograniczenie presji na środowisko;</w:t>
            </w:r>
          </w:p>
          <w:p w:rsidR="000D7E3E" w:rsidRPr="005726AA" w:rsidRDefault="00C81866" w:rsidP="00226650">
            <w:pPr>
              <w:widowControl w:val="0"/>
              <w:tabs>
                <w:tab w:val="left" w:pos="427"/>
              </w:tabs>
              <w:spacing w:before="180" w:after="6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– </w:t>
            </w:r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>uwzględnianie efektów środowiskowych w zarządzaniu;</w:t>
            </w:r>
          </w:p>
          <w:p w:rsidR="000D7E3E" w:rsidRPr="005726AA" w:rsidRDefault="00C81866" w:rsidP="00226650">
            <w:pPr>
              <w:widowControl w:val="0"/>
              <w:tabs>
                <w:tab w:val="left" w:pos="427"/>
              </w:tabs>
              <w:spacing w:before="60" w:after="36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– </w:t>
            </w:r>
            <w:r w:rsidR="000D7E3E" w:rsidRPr="005726AA">
              <w:rPr>
                <w:rStyle w:val="Teksttreci2"/>
                <w:rFonts w:ascii="Lato" w:hAnsi="Lato"/>
                <w:sz w:val="22"/>
                <w:szCs w:val="22"/>
              </w:rPr>
              <w:t>podnoszenie świadomości ekologicznej społeczeństwa.</w:t>
            </w:r>
          </w:p>
          <w:p w:rsidR="000D7E3E" w:rsidRPr="005726AA" w:rsidRDefault="000D7E3E" w:rsidP="00226650">
            <w:pPr>
              <w:spacing w:before="36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W przypadku kiedy przedsięwzięcie nie jest objęte zasadą zrównoważonego rozwoju, należy wskazać 'nie dotyczy' wraz z uzasadnieniem.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0/1/nie dotyczy</w:t>
            </w:r>
          </w:p>
        </w:tc>
        <w:tc>
          <w:tcPr>
            <w:tcW w:w="4253" w:type="dxa"/>
            <w:vAlign w:val="center"/>
          </w:tcPr>
          <w:p w:rsidR="000D7E3E" w:rsidRPr="005726AA" w:rsidRDefault="000D7E3E" w:rsidP="004D2092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="Lato" w:eastAsia="Times New Roman" w:hAnsi="Lato" w:cs="DejaVuSans,Bold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Zgodność z zasadą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długotrwałego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wpływu przedsięwzięcia na wydajność i odporność gospodarki polskiej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Weryfikowane jest czy realizacja przedsięwzięcia zapewnia efekty długoterminowe, tzn. przekraczające ramy czasowe obowiązywania RRF i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  <w:lang w:val="de-DE" w:eastAsia="de-DE" w:bidi="de-DE"/>
              </w:rPr>
              <w:t xml:space="preserve">nie 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ma charakteru powtarzających się krajowych wydatków budżetowych.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4F2272" w:rsidRPr="005726AA" w:rsidRDefault="004F2272" w:rsidP="000D7E3E">
            <w:pPr>
              <w:spacing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Wpływ na wskaźniki i cele inwestycji w planie rozwojowym i RRF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 xml:space="preserve">Analizowane jest czy przedsięwzięcie ma pozytywny i bezpośredni wpływ na wskaźniki i cele określone w planie rozwojowym (decyzji implementacyjnej), jak również </w:t>
            </w:r>
            <w:hyperlink r:id="rId14" w:history="1">
              <w:r w:rsidRPr="005726AA">
                <w:rPr>
                  <w:rStyle w:val="Teksttreci2"/>
                  <w:rFonts w:ascii="Lato" w:hAnsi="Lato"/>
                  <w:sz w:val="22"/>
                  <w:szCs w:val="22"/>
                </w:rPr>
                <w:t>wskaźniki wspólne</w:t>
              </w:r>
            </w:hyperlink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, a metodyka ich wyliczania jest wiarygodna.</w:t>
            </w:r>
          </w:p>
          <w:p w:rsidR="000D7E3E" w:rsidRPr="005726AA" w:rsidRDefault="000D7E3E" w:rsidP="00226650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Spełnienie kryterium oznacza, iż realizacja danego przedsięwzięcia przyczynia się do osiągnięcia celu i/lub wskaźnika dla danej inwestycji w planie rozwojowym i/lub realizuje wspólne wskaźniki na poziomie RRF (jeżeli dotyczy).</w:t>
            </w:r>
          </w:p>
          <w:p w:rsidR="000D7E3E" w:rsidRPr="005726AA" w:rsidRDefault="000D7E3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 przypadku gdy przedsięwzięcie nie wpływa na realizację wskaźników i celów planu rozwojowego, należy wskazać 'nie dotyczy' wraz z uzasadnieniem.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after="240"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0/1/nie dotyczy</w:t>
            </w:r>
          </w:p>
        </w:tc>
        <w:tc>
          <w:tcPr>
            <w:tcW w:w="4253" w:type="dxa"/>
            <w:vAlign w:val="center"/>
          </w:tcPr>
          <w:p w:rsidR="00A86A63" w:rsidRPr="005726AA" w:rsidRDefault="0092617F" w:rsidP="000D7E3E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eastAsia="Calibri" w:hAnsi="Lato" w:cs="Calibri"/>
                <w:color w:val="000000"/>
                <w:sz w:val="22"/>
                <w:szCs w:val="22"/>
                <w:lang w:bidi="pl-PL"/>
              </w:rPr>
              <w:t xml:space="preserve"> </w:t>
            </w: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Adekwatność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wskaźników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własnych</w:t>
            </w:r>
          </w:p>
          <w:p w:rsidR="000D7E3E" w:rsidRPr="005726AA" w:rsidRDefault="000D7E3E" w:rsidP="00226650">
            <w:pPr>
              <w:spacing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przedsięwzięcia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spacing w:after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Analizowane jest czy wskaźniki własne przedsięwzięcia (inne niż wskaźniki dla inwestycji w planie rozwo</w:t>
            </w: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jowym i wspólne wskaźniki na poziomie RRF) są adekwatne do celu i zakresu danego przedsięwzięcia oraz mierzalne i realne.</w:t>
            </w:r>
          </w:p>
          <w:p w:rsidR="000D7E3E" w:rsidRPr="005726AA" w:rsidRDefault="000D7E3E" w:rsidP="00226650">
            <w:pPr>
              <w:spacing w:before="240" w:line="269" w:lineRule="exact"/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t>W przypadku gdy przedsięwzięcie nie ma wskaźników własnych, należy wskazać 'nie dotyczy'.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spacing w:after="240" w:line="269" w:lineRule="exact"/>
              <w:jc w:val="center"/>
              <w:rPr>
                <w:rStyle w:val="Teksttreci2"/>
                <w:rFonts w:ascii="Lato" w:hAnsi="Lato"/>
                <w:sz w:val="22"/>
                <w:szCs w:val="22"/>
              </w:rPr>
            </w:pPr>
            <w:r w:rsidRPr="005726AA">
              <w:rPr>
                <w:rStyle w:val="Teksttreci2"/>
                <w:rFonts w:ascii="Lato" w:hAnsi="Lato"/>
                <w:sz w:val="22"/>
                <w:szCs w:val="22"/>
              </w:rPr>
              <w:lastRenderedPageBreak/>
              <w:t>0/1/nie dotyczy</w:t>
            </w:r>
          </w:p>
        </w:tc>
        <w:tc>
          <w:tcPr>
            <w:tcW w:w="4253" w:type="dxa"/>
            <w:vAlign w:val="center"/>
          </w:tcPr>
          <w:p w:rsidR="003B1F46" w:rsidRPr="005726AA" w:rsidRDefault="003B1F46" w:rsidP="000D7E3E">
            <w:pPr>
              <w:spacing w:after="240" w:line="269" w:lineRule="exact"/>
              <w:jc w:val="both"/>
              <w:rPr>
                <w:rStyle w:val="Teksttreci2"/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Kryterium jest spełnione jeżeli wniosek o objęcie wsparciem został złożony w terminie określonym w ogłoszeniu o naborze wniosków i zmieścił się w limicie środków przeznaczonym na realizację inwestycji B1.1.4.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E937C2" w:rsidRPr="005726AA" w:rsidRDefault="00E937C2" w:rsidP="000D7E3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Wniosek o objęcie wsparciem sporządzono na obowiązującym formularzu i został złożony w formie elektronicznej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Wniosek został sporządzony w Elektronicznym Systemie Teleinformatycznym wskazanym dla inwestycji B1.1.4.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0D7E3E" w:rsidRPr="005726AA" w:rsidRDefault="000D7E3E" w:rsidP="000D7E3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Przedsięwzięcie jest gotowe do realizacji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Ostateczny odbiorca wsparcia posiada wymagane prawem ostateczne i ważne decyzje administracyjne  wymagane do realizacji zakresu wnioskowanego przedsięwzięcia lub udowodnił, że decyzje nie  są wymagane do realizacji zakresu wnioskowanego przedsięwzięcia.</w:t>
            </w:r>
          </w:p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OOW posiada audyt energetyczny.</w:t>
            </w:r>
          </w:p>
        </w:tc>
        <w:tc>
          <w:tcPr>
            <w:tcW w:w="1417" w:type="dxa"/>
            <w:vAlign w:val="center"/>
          </w:tcPr>
          <w:p w:rsidR="000D7E3E" w:rsidRPr="005726AA" w:rsidDel="008A1AE3" w:rsidRDefault="00563E58" w:rsidP="0022665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E937C2" w:rsidRPr="005726AA" w:rsidDel="008A1AE3" w:rsidRDefault="00E937C2" w:rsidP="001B1485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Zdolność przedsięwzięcia do adaptacji do zmian klimatu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Ostateczny odbiorca wsparcia określił we wniosku o objęcie wsparciem działania na rzecz dostosowania  przedsięwzięcia do prognozowanych skutków zmian klimatu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0D7E3E" w:rsidRPr="005726AA" w:rsidRDefault="000D7E3E" w:rsidP="00C8186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Stopień redukcji emisji CO</w:t>
            </w:r>
            <w:r w:rsidRPr="005726AA">
              <w:rPr>
                <w:rFonts w:ascii="Lato" w:hAnsi="Lato"/>
                <w:sz w:val="22"/>
                <w:szCs w:val="22"/>
                <w:vertAlign w:val="subscript"/>
              </w:rPr>
              <w:t>2</w:t>
            </w:r>
            <w:r w:rsidRPr="005726AA">
              <w:rPr>
                <w:rFonts w:ascii="Lato" w:hAnsi="Lato"/>
                <w:sz w:val="22"/>
                <w:szCs w:val="22"/>
              </w:rPr>
              <w:t xml:space="preserve"> i PM 2,5 lub PM10;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Ostateczny odbiorca wsparcia określił we wniosku o objęcie wsparciem planowany stopień redukcji emisji CO</w:t>
            </w:r>
            <w:r w:rsidRPr="005726AA">
              <w:rPr>
                <w:rFonts w:ascii="Lato" w:hAnsi="Lato"/>
                <w:sz w:val="22"/>
                <w:szCs w:val="22"/>
                <w:vertAlign w:val="subscript"/>
              </w:rPr>
              <w:t>2</w:t>
            </w:r>
            <w:r w:rsidRPr="005726AA">
              <w:rPr>
                <w:rFonts w:ascii="Lato" w:hAnsi="Lato"/>
                <w:sz w:val="22"/>
                <w:szCs w:val="22"/>
              </w:rPr>
              <w:t xml:space="preserve"> i PM 2,5 lub PM10. Realizacja przedsięwzięcia musi zredukować emisję CO</w:t>
            </w:r>
            <w:r w:rsidRPr="005726AA">
              <w:rPr>
                <w:rFonts w:ascii="Lato" w:hAnsi="Lato"/>
                <w:sz w:val="22"/>
                <w:szCs w:val="22"/>
                <w:vertAlign w:val="subscript"/>
              </w:rPr>
              <w:t>2</w:t>
            </w:r>
            <w:r w:rsidRPr="005726AA">
              <w:rPr>
                <w:rFonts w:ascii="Lato" w:hAnsi="Lato"/>
                <w:sz w:val="22"/>
                <w:szCs w:val="22"/>
              </w:rPr>
              <w:t xml:space="preserve"> oraz pyłów zawieszonych PM 2,5 lub PM 10. Redukcja emisji musi wynikać z audytu energetycznego obiektu.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E937C2" w:rsidRPr="005726AA" w:rsidRDefault="00E937C2" w:rsidP="00AA054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Del="007E6F9E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Zwiększenie efektywności energetycznej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Ostateczny odbiorca wsparcia określił we wniosku o dofinansowanie wpływ przedsięwzięcia na zwiększenie efektywności energetycznej obiektu. Skutkiem przedsięwzięcia musi być zwiększenie efektywności energetycznej o minimum 30% w stosunku do stanu istniejącego. Zwiększenie efektywności energetycznej należy obliczyć z zastosowaniem wzoru: E=(Ep1-Ep2)/Ep1*100%, gdzie: Ep1 - średnioroczne zapotrzebowanie na energię pierwotną przed termomodernizacją, Ep2 - średnioroczne zapotrzebowanie na energię pierwotną  po termomodernizacji.</w:t>
            </w:r>
          </w:p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Zwiększenie efektywności energetycznej musi wynikać z audytu energetycznego budynku.</w:t>
            </w:r>
          </w:p>
        </w:tc>
        <w:tc>
          <w:tcPr>
            <w:tcW w:w="1417" w:type="dxa"/>
            <w:vAlign w:val="center"/>
          </w:tcPr>
          <w:p w:rsidR="000D7E3E" w:rsidRPr="005726AA" w:rsidRDefault="00563E58" w:rsidP="0022665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</w:t>
            </w:r>
          </w:p>
        </w:tc>
        <w:tc>
          <w:tcPr>
            <w:tcW w:w="4253" w:type="dxa"/>
            <w:vAlign w:val="center"/>
          </w:tcPr>
          <w:p w:rsidR="00E937C2" w:rsidRPr="005726AA" w:rsidRDefault="00E937C2" w:rsidP="000D7E3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D7E3E" w:rsidRPr="005726AA" w:rsidTr="002266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E3E" w:rsidRPr="005726AA" w:rsidDel="007E6F9E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Korzystanie ze źródeł energii odnawialnej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D7E3E" w:rsidRPr="005726AA" w:rsidRDefault="000D7E3E" w:rsidP="00226650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Realizacja przedsięwzięcia umożliwi korzystanie z odnawialnych źródeł energii. Brak takiej możliwości ostateczny odbiorca wsparcia  musi uzasadnić.</w:t>
            </w:r>
          </w:p>
        </w:tc>
        <w:tc>
          <w:tcPr>
            <w:tcW w:w="1417" w:type="dxa"/>
            <w:vAlign w:val="center"/>
          </w:tcPr>
          <w:p w:rsidR="00817C1A" w:rsidRPr="005726AA" w:rsidRDefault="00817C1A" w:rsidP="00817C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0/1/nie</w:t>
            </w:r>
          </w:p>
          <w:p w:rsidR="000D7E3E" w:rsidRPr="005726AA" w:rsidRDefault="00817C1A" w:rsidP="00817C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dotyczy</w:t>
            </w:r>
          </w:p>
        </w:tc>
        <w:tc>
          <w:tcPr>
            <w:tcW w:w="4253" w:type="dxa"/>
            <w:vAlign w:val="center"/>
          </w:tcPr>
          <w:p w:rsidR="004E0510" w:rsidRPr="005726AA" w:rsidRDefault="004E0510" w:rsidP="00023D78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3D2A96" w:rsidRPr="005726AA" w:rsidRDefault="003D2A96">
      <w:pPr>
        <w:rPr>
          <w:rFonts w:ascii="Lato" w:hAnsi="Lato"/>
          <w:sz w:val="28"/>
          <w:szCs w:val="22"/>
        </w:rPr>
      </w:pP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720"/>
        <w:gridCol w:w="694"/>
      </w:tblGrid>
      <w:tr w:rsidR="00CF05E7" w:rsidRPr="005726AA" w:rsidTr="00634465">
        <w:tc>
          <w:tcPr>
            <w:tcW w:w="7020" w:type="dxa"/>
            <w:tcBorders>
              <w:top w:val="nil"/>
              <w:left w:val="nil"/>
            </w:tcBorders>
          </w:tcPr>
          <w:p w:rsidR="00CF05E7" w:rsidRPr="005726AA" w:rsidRDefault="00CF05E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20" w:type="dxa"/>
          </w:tcPr>
          <w:p w:rsidR="00CF05E7" w:rsidRPr="005726AA" w:rsidRDefault="00CF05E7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TAK</w:t>
            </w:r>
          </w:p>
        </w:tc>
        <w:tc>
          <w:tcPr>
            <w:tcW w:w="694" w:type="dxa"/>
          </w:tcPr>
          <w:p w:rsidR="00CF05E7" w:rsidRPr="005726AA" w:rsidRDefault="00CF05E7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NIE</w:t>
            </w:r>
          </w:p>
        </w:tc>
      </w:tr>
      <w:tr w:rsidR="00CF05E7" w:rsidRPr="005726AA" w:rsidTr="00634465">
        <w:tc>
          <w:tcPr>
            <w:tcW w:w="7020" w:type="dxa"/>
            <w:tcBorders>
              <w:bottom w:val="single" w:sz="4" w:space="0" w:color="auto"/>
            </w:tcBorders>
          </w:tcPr>
          <w:p w:rsidR="00CF05E7" w:rsidRPr="005726AA" w:rsidRDefault="00CF05E7" w:rsidP="004906C8">
            <w:pPr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 xml:space="preserve">Wniosek spełnia kryteria </w:t>
            </w:r>
            <w:r w:rsidR="004906C8" w:rsidRPr="005726AA">
              <w:rPr>
                <w:rFonts w:ascii="Lato" w:hAnsi="Lato"/>
                <w:sz w:val="22"/>
                <w:szCs w:val="22"/>
              </w:rPr>
              <w:t xml:space="preserve"> oceny</w:t>
            </w:r>
          </w:p>
        </w:tc>
        <w:tc>
          <w:tcPr>
            <w:tcW w:w="720" w:type="dxa"/>
          </w:tcPr>
          <w:p w:rsidR="00CF05E7" w:rsidRPr="005726AA" w:rsidRDefault="00CF05E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CF05E7" w:rsidRPr="005726AA" w:rsidRDefault="00CF05E7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CF05E7" w:rsidRPr="005726AA" w:rsidRDefault="00CF05E7">
      <w:pPr>
        <w:rPr>
          <w:rFonts w:ascii="Lato" w:hAnsi="Lato"/>
          <w:b/>
          <w:sz w:val="22"/>
          <w:szCs w:val="22"/>
        </w:rPr>
      </w:pPr>
    </w:p>
    <w:p w:rsidR="009B05DC" w:rsidRPr="005726AA" w:rsidRDefault="009B05DC">
      <w:pPr>
        <w:rPr>
          <w:rFonts w:ascii="Lato" w:hAnsi="Lato"/>
          <w:sz w:val="22"/>
          <w:szCs w:val="22"/>
        </w:rPr>
      </w:pPr>
    </w:p>
    <w:tbl>
      <w:tblPr>
        <w:tblpPr w:leftFromText="141" w:rightFromText="141" w:vertAnchor="text" w:horzAnchor="margin" w:tblpY="320"/>
        <w:tblW w:w="928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CF05E7" w:rsidRPr="005726AA">
        <w:tc>
          <w:tcPr>
            <w:tcW w:w="4428" w:type="dxa"/>
          </w:tcPr>
          <w:p w:rsidR="00CF05E7" w:rsidRPr="005726AA" w:rsidRDefault="00CF05E7">
            <w:pPr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lastRenderedPageBreak/>
              <w:t>Imię i nazwisko os</w:t>
            </w:r>
            <w:r w:rsidR="00682387">
              <w:rPr>
                <w:rFonts w:ascii="Lato" w:hAnsi="Lato"/>
                <w:sz w:val="22"/>
                <w:szCs w:val="22"/>
              </w:rPr>
              <w:t>ób</w:t>
            </w:r>
            <w:r w:rsidRPr="005726AA">
              <w:rPr>
                <w:rFonts w:ascii="Lato" w:hAnsi="Lato"/>
                <w:sz w:val="22"/>
                <w:szCs w:val="22"/>
              </w:rPr>
              <w:t xml:space="preserve"> </w:t>
            </w:r>
            <w:r w:rsidR="00682387" w:rsidRPr="005726AA">
              <w:rPr>
                <w:rFonts w:ascii="Lato" w:hAnsi="Lato"/>
                <w:sz w:val="22"/>
                <w:szCs w:val="22"/>
              </w:rPr>
              <w:t>oceniający</w:t>
            </w:r>
            <w:r w:rsidR="00682387">
              <w:rPr>
                <w:rFonts w:ascii="Lato" w:hAnsi="Lato"/>
                <w:sz w:val="22"/>
                <w:szCs w:val="22"/>
              </w:rPr>
              <w:t>ch</w:t>
            </w:r>
            <w:r w:rsidRPr="005726AA">
              <w:rPr>
                <w:rFonts w:ascii="Lato" w:hAnsi="Lato"/>
                <w:sz w:val="22"/>
                <w:szCs w:val="22"/>
              </w:rPr>
              <w:t>:</w:t>
            </w:r>
          </w:p>
          <w:p w:rsidR="0093658F" w:rsidRPr="005726AA" w:rsidRDefault="0093658F" w:rsidP="009079AC">
            <w:pPr>
              <w:rPr>
                <w:rFonts w:ascii="Lato" w:hAnsi="Lato"/>
                <w:b/>
                <w:sz w:val="22"/>
                <w:szCs w:val="22"/>
              </w:rPr>
            </w:pPr>
          </w:p>
          <w:p w:rsidR="007D342C" w:rsidRPr="005726AA" w:rsidRDefault="00817C1A" w:rsidP="001053D0">
            <w:pPr>
              <w:rPr>
                <w:rFonts w:ascii="Lato" w:hAnsi="Lato"/>
                <w:b/>
                <w:sz w:val="22"/>
                <w:szCs w:val="22"/>
              </w:rPr>
            </w:pPr>
            <w:r w:rsidRPr="005726AA">
              <w:rPr>
                <w:rFonts w:ascii="Lato" w:hAnsi="Lato"/>
                <w:b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860" w:type="dxa"/>
          </w:tcPr>
          <w:p w:rsidR="000D6262" w:rsidRPr="005726AA" w:rsidRDefault="000D6262" w:rsidP="001053D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F05E7" w:rsidRPr="005726AA">
        <w:tc>
          <w:tcPr>
            <w:tcW w:w="4428" w:type="dxa"/>
          </w:tcPr>
          <w:p w:rsidR="007134E3" w:rsidRPr="005726AA" w:rsidRDefault="007134E3">
            <w:pPr>
              <w:rPr>
                <w:rFonts w:ascii="Lato" w:hAnsi="Lato"/>
                <w:sz w:val="22"/>
                <w:szCs w:val="22"/>
              </w:rPr>
            </w:pPr>
          </w:p>
          <w:p w:rsidR="00CF05E7" w:rsidRPr="005726AA" w:rsidRDefault="00CF05E7">
            <w:pPr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 xml:space="preserve">Data </w:t>
            </w:r>
            <w:r w:rsidR="0093658F" w:rsidRPr="005726AA">
              <w:rPr>
                <w:rFonts w:ascii="Lato" w:hAnsi="Lato"/>
                <w:sz w:val="22"/>
                <w:szCs w:val="22"/>
              </w:rPr>
              <w:t xml:space="preserve">:  </w:t>
            </w:r>
            <w:r w:rsidR="00817C1A" w:rsidRPr="005726AA">
              <w:rPr>
                <w:rFonts w:ascii="Lato" w:hAnsi="Lato"/>
                <w:sz w:val="22"/>
                <w:szCs w:val="22"/>
              </w:rPr>
              <w:t>…………………………….</w:t>
            </w:r>
            <w:bookmarkStart w:id="0" w:name="_GoBack"/>
            <w:bookmarkEnd w:id="0"/>
          </w:p>
          <w:p w:rsidR="007D342C" w:rsidRPr="005726AA" w:rsidRDefault="007D342C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60" w:type="dxa"/>
          </w:tcPr>
          <w:p w:rsidR="00CF05E7" w:rsidRPr="005726AA" w:rsidRDefault="00CF05E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CF05E7" w:rsidRPr="003220B4">
        <w:tc>
          <w:tcPr>
            <w:tcW w:w="4428" w:type="dxa"/>
          </w:tcPr>
          <w:p w:rsidR="007D342C" w:rsidRPr="003220B4" w:rsidRDefault="00CF05E7" w:rsidP="00056FC4">
            <w:pPr>
              <w:rPr>
                <w:rFonts w:ascii="Lato" w:hAnsi="Lato"/>
                <w:sz w:val="22"/>
                <w:szCs w:val="22"/>
              </w:rPr>
            </w:pPr>
            <w:r w:rsidRPr="005726AA">
              <w:rPr>
                <w:rFonts w:ascii="Lato" w:hAnsi="Lato"/>
                <w:sz w:val="22"/>
                <w:szCs w:val="22"/>
              </w:rPr>
              <w:t>Podpis:</w:t>
            </w:r>
            <w:r w:rsidR="00817C1A" w:rsidRPr="005726AA">
              <w:rPr>
                <w:rFonts w:ascii="Lato" w:hAnsi="Lato"/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860" w:type="dxa"/>
          </w:tcPr>
          <w:p w:rsidR="00CF05E7" w:rsidRPr="003220B4" w:rsidRDefault="00CF05E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9C7717" w:rsidRPr="003220B4" w:rsidRDefault="009C7717">
      <w:pPr>
        <w:tabs>
          <w:tab w:val="left" w:pos="8820"/>
        </w:tabs>
        <w:rPr>
          <w:rFonts w:ascii="Lato" w:hAnsi="Lato"/>
          <w:b/>
          <w:sz w:val="22"/>
          <w:szCs w:val="22"/>
        </w:rPr>
      </w:pPr>
    </w:p>
    <w:p w:rsidR="0093658F" w:rsidRPr="003220B4" w:rsidRDefault="0093658F">
      <w:pPr>
        <w:tabs>
          <w:tab w:val="left" w:pos="8820"/>
        </w:tabs>
        <w:rPr>
          <w:rFonts w:ascii="Lato" w:hAnsi="Lato"/>
          <w:b/>
          <w:sz w:val="22"/>
          <w:szCs w:val="22"/>
        </w:rPr>
      </w:pPr>
    </w:p>
    <w:p w:rsidR="006F71D0" w:rsidRPr="003220B4" w:rsidRDefault="006F71D0" w:rsidP="007C006A">
      <w:pPr>
        <w:jc w:val="both"/>
        <w:rPr>
          <w:rFonts w:ascii="Lato" w:hAnsi="Lato"/>
          <w:sz w:val="22"/>
          <w:szCs w:val="22"/>
        </w:rPr>
      </w:pPr>
    </w:p>
    <w:sectPr w:rsidR="006F71D0" w:rsidRPr="003220B4" w:rsidSect="00634465">
      <w:headerReference w:type="default" r:id="rId15"/>
      <w:footerReference w:type="even" r:id="rId16"/>
      <w:footerReference w:type="default" r:id="rId17"/>
      <w:pgSz w:w="16838" w:h="11906" w:orient="landscape"/>
      <w:pgMar w:top="1417" w:right="1258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6D" w:rsidRDefault="00485F6D">
      <w:r>
        <w:separator/>
      </w:r>
    </w:p>
  </w:endnote>
  <w:endnote w:type="continuationSeparator" w:id="0">
    <w:p w:rsidR="00485F6D" w:rsidRDefault="004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DejaVu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AC" w:rsidRDefault="00907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79AC" w:rsidRDefault="009079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AC" w:rsidRPr="00A807D8" w:rsidRDefault="009079AC" w:rsidP="00A807D8">
    <w:pPr>
      <w:pStyle w:val="Stopka"/>
      <w:framePr w:wrap="around" w:vAnchor="text" w:hAnchor="page" w:x="5918" w:y="148"/>
      <w:rPr>
        <w:rStyle w:val="Numerstrony"/>
        <w:rFonts w:ascii="Arial Narrow" w:hAnsi="Arial Narrow"/>
        <w:sz w:val="22"/>
        <w:szCs w:val="22"/>
      </w:rPr>
    </w:pPr>
    <w:r>
      <w:rPr>
        <w:rStyle w:val="Numerstrony"/>
        <w:rFonts w:ascii="Arial Narrow" w:hAnsi="Arial Narrow"/>
        <w:sz w:val="22"/>
        <w:szCs w:val="22"/>
      </w:rPr>
      <w:t xml:space="preserve"> -   </w:t>
    </w:r>
    <w:r w:rsidRPr="00A807D8">
      <w:rPr>
        <w:rStyle w:val="Numerstrony"/>
        <w:rFonts w:ascii="Arial Narrow" w:hAnsi="Arial Narrow"/>
        <w:sz w:val="22"/>
        <w:szCs w:val="22"/>
      </w:rPr>
      <w:fldChar w:fldCharType="begin"/>
    </w:r>
    <w:r w:rsidRPr="00A807D8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A807D8">
      <w:rPr>
        <w:rStyle w:val="Numerstrony"/>
        <w:rFonts w:ascii="Arial Narrow" w:hAnsi="Arial Narrow"/>
        <w:sz w:val="22"/>
        <w:szCs w:val="22"/>
      </w:rPr>
      <w:fldChar w:fldCharType="separate"/>
    </w:r>
    <w:r w:rsidR="00682387">
      <w:rPr>
        <w:rStyle w:val="Numerstrony"/>
        <w:rFonts w:ascii="Arial Narrow" w:hAnsi="Arial Narrow"/>
        <w:noProof/>
        <w:sz w:val="22"/>
        <w:szCs w:val="22"/>
      </w:rPr>
      <w:t>12</w:t>
    </w:r>
    <w:r w:rsidRPr="00A807D8">
      <w:rPr>
        <w:rStyle w:val="Numerstrony"/>
        <w:rFonts w:ascii="Arial Narrow" w:hAnsi="Arial Narrow"/>
        <w:sz w:val="22"/>
        <w:szCs w:val="22"/>
      </w:rPr>
      <w:fldChar w:fldCharType="end"/>
    </w:r>
    <w:r w:rsidRPr="00A807D8">
      <w:rPr>
        <w:rStyle w:val="Numerstrony"/>
        <w:rFonts w:ascii="Arial Narrow" w:hAnsi="Arial Narrow"/>
        <w:sz w:val="22"/>
        <w:szCs w:val="22"/>
      </w:rPr>
      <w:t>/</w:t>
    </w:r>
    <w:r w:rsidRPr="00A807D8">
      <w:rPr>
        <w:rStyle w:val="Numerstrony"/>
        <w:rFonts w:ascii="Arial Narrow" w:hAnsi="Arial Narrow"/>
        <w:sz w:val="22"/>
        <w:szCs w:val="22"/>
      </w:rPr>
      <w:fldChar w:fldCharType="begin"/>
    </w:r>
    <w:r w:rsidRPr="00A807D8">
      <w:rPr>
        <w:rStyle w:val="Numerstrony"/>
        <w:rFonts w:ascii="Arial Narrow" w:hAnsi="Arial Narrow"/>
        <w:sz w:val="22"/>
        <w:szCs w:val="22"/>
      </w:rPr>
      <w:instrText xml:space="preserve"> NUMPAGES </w:instrText>
    </w:r>
    <w:r w:rsidRPr="00A807D8">
      <w:rPr>
        <w:rStyle w:val="Numerstrony"/>
        <w:rFonts w:ascii="Arial Narrow" w:hAnsi="Arial Narrow"/>
        <w:sz w:val="22"/>
        <w:szCs w:val="22"/>
      </w:rPr>
      <w:fldChar w:fldCharType="separate"/>
    </w:r>
    <w:r w:rsidR="00682387">
      <w:rPr>
        <w:rStyle w:val="Numerstrony"/>
        <w:rFonts w:ascii="Arial Narrow" w:hAnsi="Arial Narrow"/>
        <w:noProof/>
        <w:sz w:val="22"/>
        <w:szCs w:val="22"/>
      </w:rPr>
      <w:t>12</w:t>
    </w:r>
    <w:r w:rsidRPr="00A807D8">
      <w:rPr>
        <w:rStyle w:val="Numerstrony"/>
        <w:rFonts w:ascii="Arial Narrow" w:hAnsi="Arial Narrow"/>
        <w:sz w:val="22"/>
        <w:szCs w:val="22"/>
      </w:rPr>
      <w:fldChar w:fldCharType="end"/>
    </w:r>
    <w:r>
      <w:rPr>
        <w:rStyle w:val="Numerstrony"/>
        <w:rFonts w:ascii="Arial Narrow" w:hAnsi="Arial Narrow"/>
        <w:sz w:val="22"/>
        <w:szCs w:val="22"/>
      </w:rPr>
      <w:t xml:space="preserve">   -</w:t>
    </w:r>
  </w:p>
  <w:p w:rsidR="009079AC" w:rsidRDefault="009079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6D" w:rsidRDefault="00485F6D">
      <w:r>
        <w:separator/>
      </w:r>
    </w:p>
  </w:footnote>
  <w:footnote w:type="continuationSeparator" w:id="0">
    <w:p w:rsidR="00485F6D" w:rsidRDefault="00485F6D">
      <w:r>
        <w:continuationSeparator/>
      </w:r>
    </w:p>
  </w:footnote>
  <w:footnote w:id="1">
    <w:p w:rsidR="002457CE" w:rsidRDefault="002457CE">
      <w:pPr>
        <w:pStyle w:val="Stopka1"/>
        <w:shd w:val="clear" w:color="auto" w:fill="auto"/>
        <w:ind w:left="280" w:right="460"/>
      </w:pPr>
      <w:r>
        <w:rPr>
          <w:color w:val="000000"/>
          <w:vertAlign w:val="superscript"/>
          <w:lang w:bidi="pl-PL"/>
        </w:rPr>
        <w:footnoteRef/>
      </w:r>
      <w:r>
        <w:rPr>
          <w:color w:val="000000"/>
          <w:lang w:bidi="pl-PL"/>
        </w:rPr>
        <w:t xml:space="preserve"> W przypadku instrumentów o charakterze zwrotnym jako zakończenie przedsięwzięcia rozumieć można udzielenie pożyczek lub dokonanie inwestycji, jeśli wskaźniki określone dla danej inwestycji nie wymagają, aby inwestycje lub pożyczki zostały zrealizowane wcześniej.</w:t>
      </w:r>
    </w:p>
  </w:footnote>
  <w:footnote w:id="2">
    <w:p w:rsidR="000D7E3E" w:rsidRDefault="000D7E3E">
      <w:pPr>
        <w:pStyle w:val="Stopka1"/>
        <w:shd w:val="clear" w:color="auto" w:fill="auto"/>
        <w:ind w:left="260" w:right="800"/>
      </w:pPr>
      <w:r>
        <w:rPr>
          <w:color w:val="000000"/>
          <w:vertAlign w:val="superscript"/>
          <w:lang w:bidi="pl-PL"/>
        </w:rPr>
        <w:footnoteRef/>
      </w:r>
      <w:r>
        <w:rPr>
          <w:color w:val="000000"/>
          <w:lang w:bidi="pl-PL"/>
        </w:rPr>
        <w:t xml:space="preserve"> Chyba, że szczegółowe ustalenia z KE dotyczące poszczególnych inwestycji przewidują inaczej (do potwierdzenia przez IK KPO w odniesieniu do poszczególnych inwestycji po zakończeniu bieżącego dialogu technicznego z KE).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FA" w:rsidRDefault="00552BFA">
    <w:pPr>
      <w:pStyle w:val="Nagwek"/>
      <w:rPr>
        <w:noProof/>
      </w:rPr>
    </w:pPr>
  </w:p>
  <w:p w:rsidR="00552BFA" w:rsidRDefault="00552BFA">
    <w:pPr>
      <w:pStyle w:val="Nagwek"/>
      <w:rPr>
        <w:noProof/>
      </w:rPr>
    </w:pPr>
  </w:p>
  <w:p w:rsidR="00552BFA" w:rsidRDefault="000B5F68" w:rsidP="00552BFA">
    <w:pPr>
      <w:pStyle w:val="Nagwek"/>
      <w:ind w:firstLine="1843"/>
      <w:rPr>
        <w:noProof/>
      </w:rPr>
    </w:pPr>
    <w:r w:rsidRPr="002514A2">
      <w:rPr>
        <w:noProof/>
      </w:rPr>
      <w:drawing>
        <wp:inline distT="0" distB="0" distL="0" distR="0">
          <wp:extent cx="7376160" cy="731520"/>
          <wp:effectExtent l="0" t="0" r="0" b="0"/>
          <wp:docPr id="1" name="Obraz 1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BFA" w:rsidRDefault="00552BFA">
    <w:pPr>
      <w:pStyle w:val="Nagwek"/>
      <w:rPr>
        <w:noProof/>
      </w:rPr>
    </w:pPr>
  </w:p>
  <w:p w:rsidR="00383A82" w:rsidRDefault="00383A82">
    <w:pPr>
      <w:pStyle w:val="Nagwek"/>
    </w:pPr>
    <w:r>
      <w:t xml:space="preserve">Zał. nr 1 do Regulaminu naboru </w:t>
    </w:r>
    <w:r w:rsidR="00D464D3">
      <w:t xml:space="preserve">KPO B1.1.4 </w:t>
    </w:r>
    <w:r w:rsidRPr="005726AA">
      <w:t>n</w:t>
    </w:r>
    <w:r w:rsidR="00563E58" w:rsidRPr="005726AA">
      <w:t xml:space="preserve">r </w:t>
    </w:r>
    <w:r w:rsidR="00F56D12" w:rsidRPr="00F56D12">
      <w:t>KPOD.03.06-IP.11-001/25</w:t>
    </w:r>
  </w:p>
  <w:p w:rsidR="00D464D3" w:rsidRDefault="00D46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15pt;height:14.15pt" o:bullet="t">
        <v:imagedata r:id="rId1" o:title="mso2A3"/>
      </v:shape>
    </w:pict>
  </w:numPicBullet>
  <w:abstractNum w:abstractNumId="0" w15:restartNumberingAfterBreak="0">
    <w:nsid w:val="000B59CB"/>
    <w:multiLevelType w:val="hybridMultilevel"/>
    <w:tmpl w:val="0FE65FA4"/>
    <w:lvl w:ilvl="0" w:tplc="769CD526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6132FB"/>
    <w:multiLevelType w:val="hybridMultilevel"/>
    <w:tmpl w:val="FBF46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D1D55"/>
    <w:multiLevelType w:val="hybridMultilevel"/>
    <w:tmpl w:val="E7AC6648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4D3D"/>
    <w:multiLevelType w:val="hybridMultilevel"/>
    <w:tmpl w:val="EABA6770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9740D"/>
    <w:multiLevelType w:val="hybridMultilevel"/>
    <w:tmpl w:val="060C61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0F676F"/>
    <w:multiLevelType w:val="hybridMultilevel"/>
    <w:tmpl w:val="279629F4"/>
    <w:lvl w:ilvl="0" w:tplc="B2563B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02985"/>
    <w:multiLevelType w:val="hybridMultilevel"/>
    <w:tmpl w:val="00669CA2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D2C31"/>
    <w:multiLevelType w:val="hybridMultilevel"/>
    <w:tmpl w:val="4E127528"/>
    <w:lvl w:ilvl="0" w:tplc="78803E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593447"/>
    <w:multiLevelType w:val="hybridMultilevel"/>
    <w:tmpl w:val="ADEA87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CD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812B0"/>
    <w:multiLevelType w:val="hybridMultilevel"/>
    <w:tmpl w:val="24CADC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ED4039"/>
    <w:multiLevelType w:val="hybridMultilevel"/>
    <w:tmpl w:val="0AD6167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D48F6"/>
    <w:multiLevelType w:val="hybridMultilevel"/>
    <w:tmpl w:val="41AA72E2"/>
    <w:lvl w:ilvl="0" w:tplc="0415000F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E3BA2"/>
    <w:multiLevelType w:val="hybridMultilevel"/>
    <w:tmpl w:val="D0EA17E2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B5857"/>
    <w:multiLevelType w:val="hybridMultilevel"/>
    <w:tmpl w:val="7BD4070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46943"/>
    <w:multiLevelType w:val="hybridMultilevel"/>
    <w:tmpl w:val="18DE7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FE1FD0"/>
    <w:multiLevelType w:val="hybridMultilevel"/>
    <w:tmpl w:val="28CC91D2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A316B"/>
    <w:multiLevelType w:val="multilevel"/>
    <w:tmpl w:val="49244F9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6307F4"/>
    <w:multiLevelType w:val="hybridMultilevel"/>
    <w:tmpl w:val="9D4CE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6E4892"/>
    <w:multiLevelType w:val="hybridMultilevel"/>
    <w:tmpl w:val="91224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3A57A6"/>
    <w:multiLevelType w:val="hybridMultilevel"/>
    <w:tmpl w:val="9FA87274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A38D4"/>
    <w:multiLevelType w:val="hybridMultilevel"/>
    <w:tmpl w:val="AC863C40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D32DA"/>
    <w:multiLevelType w:val="hybridMultilevel"/>
    <w:tmpl w:val="2D849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FC4501"/>
    <w:multiLevelType w:val="hybridMultilevel"/>
    <w:tmpl w:val="EDE8A54C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0C11BD"/>
    <w:multiLevelType w:val="hybridMultilevel"/>
    <w:tmpl w:val="1388A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E348C"/>
    <w:multiLevelType w:val="hybridMultilevel"/>
    <w:tmpl w:val="300A3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0F6992"/>
    <w:multiLevelType w:val="hybridMultilevel"/>
    <w:tmpl w:val="84CA9E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A124B55"/>
    <w:multiLevelType w:val="hybridMultilevel"/>
    <w:tmpl w:val="6044AE82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2358AB"/>
    <w:multiLevelType w:val="hybridMultilevel"/>
    <w:tmpl w:val="DBEA233E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28" w15:restartNumberingAfterBreak="0">
    <w:nsid w:val="1B1B2081"/>
    <w:multiLevelType w:val="hybridMultilevel"/>
    <w:tmpl w:val="492EE930"/>
    <w:lvl w:ilvl="0" w:tplc="D39A5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80238A"/>
    <w:multiLevelType w:val="hybridMultilevel"/>
    <w:tmpl w:val="5D761138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105801"/>
    <w:multiLevelType w:val="hybridMultilevel"/>
    <w:tmpl w:val="E00A59EA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9C2351"/>
    <w:multiLevelType w:val="hybridMultilevel"/>
    <w:tmpl w:val="2D3CC68A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DB0B97"/>
    <w:multiLevelType w:val="hybridMultilevel"/>
    <w:tmpl w:val="A1A0262C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7B1209"/>
    <w:multiLevelType w:val="hybridMultilevel"/>
    <w:tmpl w:val="4A0C03A8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203579"/>
    <w:multiLevelType w:val="hybridMultilevel"/>
    <w:tmpl w:val="64F686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F2202F1"/>
    <w:multiLevelType w:val="hybridMultilevel"/>
    <w:tmpl w:val="B2B8EB34"/>
    <w:lvl w:ilvl="0" w:tplc="6408D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847DC">
      <w:start w:val="1"/>
      <w:numFmt w:val="bullet"/>
      <w:lvlText w:val=""/>
      <w:lvlJc w:val="left"/>
      <w:pPr>
        <w:tabs>
          <w:tab w:val="num" w:pos="1551"/>
        </w:tabs>
        <w:ind w:left="1080" w:firstLine="11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046503A"/>
    <w:multiLevelType w:val="hybridMultilevel"/>
    <w:tmpl w:val="EFD69A50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586A3E"/>
    <w:multiLevelType w:val="multilevel"/>
    <w:tmpl w:val="19D68BD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18D5576"/>
    <w:multiLevelType w:val="hybridMultilevel"/>
    <w:tmpl w:val="ACA26C42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7D3BB2"/>
    <w:multiLevelType w:val="hybridMultilevel"/>
    <w:tmpl w:val="B4E691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2C06328"/>
    <w:multiLevelType w:val="hybridMultilevel"/>
    <w:tmpl w:val="6AEA24E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511F2C"/>
    <w:multiLevelType w:val="hybridMultilevel"/>
    <w:tmpl w:val="42285714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A1158F"/>
    <w:multiLevelType w:val="hybridMultilevel"/>
    <w:tmpl w:val="AAFAE0B4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366CDD"/>
    <w:multiLevelType w:val="hybridMultilevel"/>
    <w:tmpl w:val="45D4518C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A86EF7"/>
    <w:multiLevelType w:val="hybridMultilevel"/>
    <w:tmpl w:val="D2B04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624EA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5C405B4"/>
    <w:multiLevelType w:val="multilevel"/>
    <w:tmpl w:val="F058170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7D43455"/>
    <w:multiLevelType w:val="hybridMultilevel"/>
    <w:tmpl w:val="B3A06F24"/>
    <w:lvl w:ilvl="0" w:tplc="AA6A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83126C5"/>
    <w:multiLevelType w:val="hybridMultilevel"/>
    <w:tmpl w:val="875E99D2"/>
    <w:lvl w:ilvl="0" w:tplc="8A429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2F2878"/>
    <w:multiLevelType w:val="hybridMultilevel"/>
    <w:tmpl w:val="7B829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10522"/>
    <w:multiLevelType w:val="hybridMultilevel"/>
    <w:tmpl w:val="402402D2"/>
    <w:lvl w:ilvl="0" w:tplc="D0669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F8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C641C3"/>
    <w:multiLevelType w:val="hybridMultilevel"/>
    <w:tmpl w:val="3CD2A3D0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E1270C"/>
    <w:multiLevelType w:val="hybridMultilevel"/>
    <w:tmpl w:val="72D25FD0"/>
    <w:lvl w:ilvl="0" w:tplc="7A4AC79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9A42CA"/>
    <w:multiLevelType w:val="hybridMultilevel"/>
    <w:tmpl w:val="F8A2E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D2A59FC"/>
    <w:multiLevelType w:val="hybridMultilevel"/>
    <w:tmpl w:val="8FD8D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DF13D9A"/>
    <w:multiLevelType w:val="hybridMultilevel"/>
    <w:tmpl w:val="104A5D1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1C06ED"/>
    <w:multiLevelType w:val="hybridMultilevel"/>
    <w:tmpl w:val="2DF0BB64"/>
    <w:lvl w:ilvl="0" w:tplc="6408D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A5B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FB56DCE"/>
    <w:multiLevelType w:val="hybridMultilevel"/>
    <w:tmpl w:val="A4FA85CA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183A58"/>
    <w:multiLevelType w:val="hybridMultilevel"/>
    <w:tmpl w:val="DE26D2D6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C7703A"/>
    <w:multiLevelType w:val="hybridMultilevel"/>
    <w:tmpl w:val="44167506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D6420A"/>
    <w:multiLevelType w:val="hybridMultilevel"/>
    <w:tmpl w:val="5136D5A8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CE4305"/>
    <w:multiLevelType w:val="hybridMultilevel"/>
    <w:tmpl w:val="BF20A7CA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447200"/>
    <w:multiLevelType w:val="hybridMultilevel"/>
    <w:tmpl w:val="8EC22C9C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2404F3"/>
    <w:multiLevelType w:val="hybridMultilevel"/>
    <w:tmpl w:val="161A4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344919E5"/>
    <w:multiLevelType w:val="hybridMultilevel"/>
    <w:tmpl w:val="1568B224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953C31"/>
    <w:multiLevelType w:val="hybridMultilevel"/>
    <w:tmpl w:val="670E0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78D5EF7"/>
    <w:multiLevelType w:val="hybridMultilevel"/>
    <w:tmpl w:val="DE62FE1A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9E5523"/>
    <w:multiLevelType w:val="hybridMultilevel"/>
    <w:tmpl w:val="CA20B296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7D5351F"/>
    <w:multiLevelType w:val="hybridMultilevel"/>
    <w:tmpl w:val="47F887C6"/>
    <w:lvl w:ilvl="0" w:tplc="FFFFFFFF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8" w15:restartNumberingAfterBreak="0">
    <w:nsid w:val="38ED1694"/>
    <w:multiLevelType w:val="hybridMultilevel"/>
    <w:tmpl w:val="B140504E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650B65"/>
    <w:multiLevelType w:val="hybridMultilevel"/>
    <w:tmpl w:val="AC12A556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8C72FD"/>
    <w:multiLevelType w:val="hybridMultilevel"/>
    <w:tmpl w:val="69A07C36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3A242868"/>
    <w:multiLevelType w:val="hybridMultilevel"/>
    <w:tmpl w:val="A68A847A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464B8F"/>
    <w:multiLevelType w:val="hybridMultilevel"/>
    <w:tmpl w:val="F56CF47A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4747AB"/>
    <w:multiLevelType w:val="multilevel"/>
    <w:tmpl w:val="5FFCBA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C6F2E8F"/>
    <w:multiLevelType w:val="hybridMultilevel"/>
    <w:tmpl w:val="D1262AAA"/>
    <w:lvl w:ilvl="0" w:tplc="8BFA5C84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CA360B"/>
    <w:multiLevelType w:val="hybridMultilevel"/>
    <w:tmpl w:val="1BA4AD28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7B2D63"/>
    <w:multiLevelType w:val="hybridMultilevel"/>
    <w:tmpl w:val="B1FECF78"/>
    <w:lvl w:ilvl="0" w:tplc="769CD5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A52796"/>
    <w:multiLevelType w:val="hybridMultilevel"/>
    <w:tmpl w:val="7F42897C"/>
    <w:lvl w:ilvl="0" w:tplc="3BBAE126">
      <w:start w:val="1"/>
      <w:numFmt w:val="decimal"/>
      <w:pStyle w:val="Normal-bulle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27C59B4"/>
    <w:multiLevelType w:val="hybridMultilevel"/>
    <w:tmpl w:val="2780C978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916E3C"/>
    <w:multiLevelType w:val="hybridMultilevel"/>
    <w:tmpl w:val="4918953C"/>
    <w:lvl w:ilvl="0" w:tplc="769CD5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475265A9"/>
    <w:multiLevelType w:val="hybridMultilevel"/>
    <w:tmpl w:val="9968C59E"/>
    <w:lvl w:ilvl="0" w:tplc="E63C4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7BB2392"/>
    <w:multiLevelType w:val="hybridMultilevel"/>
    <w:tmpl w:val="B8E0E970"/>
    <w:lvl w:ilvl="0" w:tplc="B4FCA7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75A6047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05E8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31C7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F858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328D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CAE8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502BF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CD63F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8565A47"/>
    <w:multiLevelType w:val="hybridMultilevel"/>
    <w:tmpl w:val="56208870"/>
    <w:lvl w:ilvl="0" w:tplc="1C8EB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46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24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E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A0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44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A7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A4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CF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88A128F"/>
    <w:multiLevelType w:val="hybridMultilevel"/>
    <w:tmpl w:val="C142A484"/>
    <w:lvl w:ilvl="0" w:tplc="0415000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8B7529A"/>
    <w:multiLevelType w:val="hybridMultilevel"/>
    <w:tmpl w:val="4AA4E5C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81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F77CD6"/>
    <w:multiLevelType w:val="hybridMultilevel"/>
    <w:tmpl w:val="DE62DF7C"/>
    <w:lvl w:ilvl="0" w:tplc="FFFFFFFF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49120175"/>
    <w:multiLevelType w:val="hybridMultilevel"/>
    <w:tmpl w:val="B2B8EB34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9602EBC"/>
    <w:multiLevelType w:val="hybridMultilevel"/>
    <w:tmpl w:val="39524B4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765564"/>
    <w:multiLevelType w:val="hybridMultilevel"/>
    <w:tmpl w:val="31C6C0E2"/>
    <w:lvl w:ilvl="0" w:tplc="6408D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BE6FF9"/>
    <w:multiLevelType w:val="hybridMultilevel"/>
    <w:tmpl w:val="FFD2D82C"/>
    <w:lvl w:ilvl="0" w:tplc="A0B48D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CE82721"/>
    <w:multiLevelType w:val="hybridMultilevel"/>
    <w:tmpl w:val="62BE9980"/>
    <w:lvl w:ilvl="0" w:tplc="769CD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F3CDA"/>
    <w:multiLevelType w:val="hybridMultilevel"/>
    <w:tmpl w:val="49E68CCC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F27AC7"/>
    <w:multiLevelType w:val="hybridMultilevel"/>
    <w:tmpl w:val="CABACAAC"/>
    <w:lvl w:ilvl="0" w:tplc="769CD5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F3977C4"/>
    <w:multiLevelType w:val="hybridMultilevel"/>
    <w:tmpl w:val="B36CA78A"/>
    <w:lvl w:ilvl="0" w:tplc="0415000F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F49768C"/>
    <w:multiLevelType w:val="hybridMultilevel"/>
    <w:tmpl w:val="0C80F05E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F687E88"/>
    <w:multiLevelType w:val="hybridMultilevel"/>
    <w:tmpl w:val="A6A4814A"/>
    <w:lvl w:ilvl="0" w:tplc="3BBA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FD559FA"/>
    <w:multiLevelType w:val="hybridMultilevel"/>
    <w:tmpl w:val="2014FD12"/>
    <w:lvl w:ilvl="0" w:tplc="3BBA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03A08E1"/>
    <w:multiLevelType w:val="hybridMultilevel"/>
    <w:tmpl w:val="B31A5DF6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5D4BD8"/>
    <w:multiLevelType w:val="hybridMultilevel"/>
    <w:tmpl w:val="BA1AE79E"/>
    <w:lvl w:ilvl="0" w:tplc="0415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32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A16954"/>
    <w:multiLevelType w:val="hybridMultilevel"/>
    <w:tmpl w:val="2952BB7C"/>
    <w:lvl w:ilvl="0" w:tplc="04150013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AE5A73"/>
    <w:multiLevelType w:val="hybridMultilevel"/>
    <w:tmpl w:val="8A9857B6"/>
    <w:lvl w:ilvl="0" w:tplc="769CD5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5C57C2"/>
    <w:multiLevelType w:val="hybridMultilevel"/>
    <w:tmpl w:val="F11A3AE4"/>
    <w:lvl w:ilvl="0" w:tplc="769C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32C7B87"/>
    <w:multiLevelType w:val="hybridMultilevel"/>
    <w:tmpl w:val="65D2B26C"/>
    <w:lvl w:ilvl="0" w:tplc="0415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3" w15:restartNumberingAfterBreak="0">
    <w:nsid w:val="53384273"/>
    <w:multiLevelType w:val="hybridMultilevel"/>
    <w:tmpl w:val="E8AED7A2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2B423F"/>
    <w:multiLevelType w:val="hybridMultilevel"/>
    <w:tmpl w:val="508A321E"/>
    <w:lvl w:ilvl="0" w:tplc="55180C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44F0F21"/>
    <w:multiLevelType w:val="hybridMultilevel"/>
    <w:tmpl w:val="0A581896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AF132F"/>
    <w:multiLevelType w:val="hybridMultilevel"/>
    <w:tmpl w:val="60EA573E"/>
    <w:lvl w:ilvl="0" w:tplc="769C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5223C99"/>
    <w:multiLevelType w:val="hybridMultilevel"/>
    <w:tmpl w:val="152C7DF0"/>
    <w:lvl w:ilvl="0" w:tplc="0415000F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7B02E7"/>
    <w:multiLevelType w:val="hybridMultilevel"/>
    <w:tmpl w:val="FFB692D2"/>
    <w:lvl w:ilvl="0" w:tplc="949CA70A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C46F7"/>
    <w:multiLevelType w:val="hybridMultilevel"/>
    <w:tmpl w:val="4620C8FE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8F5E96"/>
    <w:multiLevelType w:val="hybridMultilevel"/>
    <w:tmpl w:val="EB8E2A8E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B13BF8"/>
    <w:multiLevelType w:val="hybridMultilevel"/>
    <w:tmpl w:val="CC160574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BC5C93"/>
    <w:multiLevelType w:val="hybridMultilevel"/>
    <w:tmpl w:val="776CD572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E356EA"/>
    <w:multiLevelType w:val="hybridMultilevel"/>
    <w:tmpl w:val="4524CC1C"/>
    <w:lvl w:ilvl="0" w:tplc="5518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8C1997"/>
    <w:multiLevelType w:val="hybridMultilevel"/>
    <w:tmpl w:val="BBF41FAA"/>
    <w:lvl w:ilvl="0" w:tplc="3BBAE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F794A"/>
    <w:multiLevelType w:val="hybridMultilevel"/>
    <w:tmpl w:val="D7BAB8B0"/>
    <w:lvl w:ilvl="0" w:tplc="3BBA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E650222"/>
    <w:multiLevelType w:val="hybridMultilevel"/>
    <w:tmpl w:val="1D6E6CC6"/>
    <w:lvl w:ilvl="0" w:tplc="7D42F4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CF62AD"/>
    <w:multiLevelType w:val="hybridMultilevel"/>
    <w:tmpl w:val="C700F1BE"/>
    <w:lvl w:ilvl="0" w:tplc="769C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0B26258"/>
    <w:multiLevelType w:val="hybridMultilevel"/>
    <w:tmpl w:val="C824B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0D1760D"/>
    <w:multiLevelType w:val="hybridMultilevel"/>
    <w:tmpl w:val="6A46800C"/>
    <w:lvl w:ilvl="0" w:tplc="0415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EEE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E741E0"/>
    <w:multiLevelType w:val="hybridMultilevel"/>
    <w:tmpl w:val="CE984B6E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2C75D1"/>
    <w:multiLevelType w:val="hybridMultilevel"/>
    <w:tmpl w:val="26BC3D04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331263F"/>
    <w:multiLevelType w:val="hybridMultilevel"/>
    <w:tmpl w:val="F3CA4D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4944C65"/>
    <w:multiLevelType w:val="hybridMultilevel"/>
    <w:tmpl w:val="D9BED142"/>
    <w:lvl w:ilvl="0" w:tplc="60C60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80441AC">
      <w:numFmt w:val="none"/>
      <w:lvlText w:val=""/>
      <w:lvlJc w:val="left"/>
      <w:pPr>
        <w:tabs>
          <w:tab w:val="num" w:pos="360"/>
        </w:tabs>
      </w:pPr>
    </w:lvl>
    <w:lvl w:ilvl="2" w:tplc="CD4437BA">
      <w:numFmt w:val="none"/>
      <w:lvlText w:val=""/>
      <w:lvlJc w:val="left"/>
      <w:pPr>
        <w:tabs>
          <w:tab w:val="num" w:pos="360"/>
        </w:tabs>
      </w:pPr>
    </w:lvl>
    <w:lvl w:ilvl="3" w:tplc="44865C60">
      <w:numFmt w:val="none"/>
      <w:lvlText w:val=""/>
      <w:lvlJc w:val="left"/>
      <w:pPr>
        <w:tabs>
          <w:tab w:val="num" w:pos="360"/>
        </w:tabs>
      </w:pPr>
    </w:lvl>
    <w:lvl w:ilvl="4" w:tplc="6ABC1FD8">
      <w:numFmt w:val="none"/>
      <w:lvlText w:val=""/>
      <w:lvlJc w:val="left"/>
      <w:pPr>
        <w:tabs>
          <w:tab w:val="num" w:pos="360"/>
        </w:tabs>
      </w:pPr>
    </w:lvl>
    <w:lvl w:ilvl="5" w:tplc="E5E083EA">
      <w:numFmt w:val="none"/>
      <w:lvlText w:val=""/>
      <w:lvlJc w:val="left"/>
      <w:pPr>
        <w:tabs>
          <w:tab w:val="num" w:pos="360"/>
        </w:tabs>
      </w:pPr>
    </w:lvl>
    <w:lvl w:ilvl="6" w:tplc="255A62C2">
      <w:numFmt w:val="none"/>
      <w:lvlText w:val=""/>
      <w:lvlJc w:val="left"/>
      <w:pPr>
        <w:tabs>
          <w:tab w:val="num" w:pos="360"/>
        </w:tabs>
      </w:pPr>
    </w:lvl>
    <w:lvl w:ilvl="7" w:tplc="49C6969A">
      <w:numFmt w:val="none"/>
      <w:lvlText w:val=""/>
      <w:lvlJc w:val="left"/>
      <w:pPr>
        <w:tabs>
          <w:tab w:val="num" w:pos="360"/>
        </w:tabs>
      </w:pPr>
    </w:lvl>
    <w:lvl w:ilvl="8" w:tplc="1E02B322">
      <w:numFmt w:val="none"/>
      <w:lvlText w:val=""/>
      <w:lvlJc w:val="left"/>
      <w:pPr>
        <w:tabs>
          <w:tab w:val="num" w:pos="360"/>
        </w:tabs>
      </w:pPr>
    </w:lvl>
  </w:abstractNum>
  <w:abstractNum w:abstractNumId="124" w15:restartNumberingAfterBreak="0">
    <w:nsid w:val="64D0513B"/>
    <w:multiLevelType w:val="hybridMultilevel"/>
    <w:tmpl w:val="3BFE069A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396C43"/>
    <w:multiLevelType w:val="hybridMultilevel"/>
    <w:tmpl w:val="1B563306"/>
    <w:lvl w:ilvl="0" w:tplc="FFFFFFFF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7FF652F"/>
    <w:multiLevelType w:val="hybridMultilevel"/>
    <w:tmpl w:val="205E27E0"/>
    <w:lvl w:ilvl="0" w:tplc="0415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893228E"/>
    <w:multiLevelType w:val="hybridMultilevel"/>
    <w:tmpl w:val="C96CD8CE"/>
    <w:lvl w:ilvl="0" w:tplc="769CD5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9D01767"/>
    <w:multiLevelType w:val="hybridMultilevel"/>
    <w:tmpl w:val="90D4B4D2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C461153"/>
    <w:multiLevelType w:val="hybridMultilevel"/>
    <w:tmpl w:val="A02E8292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C7A49DE"/>
    <w:multiLevelType w:val="hybridMultilevel"/>
    <w:tmpl w:val="28326C68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D0F1470"/>
    <w:multiLevelType w:val="hybridMultilevel"/>
    <w:tmpl w:val="7472B78C"/>
    <w:lvl w:ilvl="0" w:tplc="769CD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E214681"/>
    <w:multiLevelType w:val="hybridMultilevel"/>
    <w:tmpl w:val="00F2BE88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56E"/>
    <w:multiLevelType w:val="hybridMultilevel"/>
    <w:tmpl w:val="663A4AC8"/>
    <w:lvl w:ilvl="0" w:tplc="769CD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E910BBF"/>
    <w:multiLevelType w:val="hybridMultilevel"/>
    <w:tmpl w:val="91F60972"/>
    <w:lvl w:ilvl="0" w:tplc="FFFFFFFF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5" w15:restartNumberingAfterBreak="0">
    <w:nsid w:val="6EE05543"/>
    <w:multiLevelType w:val="hybridMultilevel"/>
    <w:tmpl w:val="4DC86E88"/>
    <w:lvl w:ilvl="0" w:tplc="769CD5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805B74"/>
    <w:multiLevelType w:val="hybridMultilevel"/>
    <w:tmpl w:val="9886B4E4"/>
    <w:lvl w:ilvl="0" w:tplc="0415000F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FF6025D"/>
    <w:multiLevelType w:val="hybridMultilevel"/>
    <w:tmpl w:val="8BCEC1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0437896"/>
    <w:multiLevelType w:val="hybridMultilevel"/>
    <w:tmpl w:val="AA90F8C6"/>
    <w:lvl w:ilvl="0" w:tplc="74FA3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19F3930"/>
    <w:multiLevelType w:val="hybridMultilevel"/>
    <w:tmpl w:val="3FD4239C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2AB68D1"/>
    <w:multiLevelType w:val="hybridMultilevel"/>
    <w:tmpl w:val="D120532E"/>
    <w:lvl w:ilvl="0" w:tplc="3BBA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8EF8E">
      <w:start w:val="1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2AF6D60"/>
    <w:multiLevelType w:val="hybridMultilevel"/>
    <w:tmpl w:val="AF76B064"/>
    <w:lvl w:ilvl="0" w:tplc="25CE9D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F03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864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6C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C7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D4F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8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62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9A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CB2AF7"/>
    <w:multiLevelType w:val="hybridMultilevel"/>
    <w:tmpl w:val="233E70C2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533059B"/>
    <w:multiLevelType w:val="hybridMultilevel"/>
    <w:tmpl w:val="67245918"/>
    <w:lvl w:ilvl="0" w:tplc="769C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5DE0A31"/>
    <w:multiLevelType w:val="hybridMultilevel"/>
    <w:tmpl w:val="741CF8FA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61A11F4"/>
    <w:multiLevelType w:val="hybridMultilevel"/>
    <w:tmpl w:val="1C7C2866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594DB1"/>
    <w:multiLevelType w:val="hybridMultilevel"/>
    <w:tmpl w:val="8D86BE1A"/>
    <w:lvl w:ilvl="0" w:tplc="FFFFFFFF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1250A4"/>
    <w:multiLevelType w:val="hybridMultilevel"/>
    <w:tmpl w:val="B9B4D234"/>
    <w:lvl w:ilvl="0" w:tplc="769CD5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A9507BC"/>
    <w:multiLevelType w:val="hybridMultilevel"/>
    <w:tmpl w:val="070CB166"/>
    <w:lvl w:ilvl="0" w:tplc="769CD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BDD2464"/>
    <w:multiLevelType w:val="hybridMultilevel"/>
    <w:tmpl w:val="744E3A22"/>
    <w:lvl w:ilvl="0" w:tplc="3BBAE126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BF128C6"/>
    <w:multiLevelType w:val="hybridMultilevel"/>
    <w:tmpl w:val="E5101A3A"/>
    <w:lvl w:ilvl="0" w:tplc="3BBAE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D28473C"/>
    <w:multiLevelType w:val="hybridMultilevel"/>
    <w:tmpl w:val="16D2D018"/>
    <w:lvl w:ilvl="0" w:tplc="FFFFFFFF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D32287D"/>
    <w:multiLevelType w:val="hybridMultilevel"/>
    <w:tmpl w:val="D976439E"/>
    <w:lvl w:ilvl="0" w:tplc="3BBAE1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7EF54BB2"/>
    <w:multiLevelType w:val="hybridMultilevel"/>
    <w:tmpl w:val="742AD08A"/>
    <w:lvl w:ilvl="0" w:tplc="769CD5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7"/>
  </w:num>
  <w:num w:numId="3">
    <w:abstractNumId w:val="44"/>
  </w:num>
  <w:num w:numId="4">
    <w:abstractNumId w:val="140"/>
  </w:num>
  <w:num w:numId="5">
    <w:abstractNumId w:val="153"/>
  </w:num>
  <w:num w:numId="6">
    <w:abstractNumId w:val="53"/>
  </w:num>
  <w:num w:numId="7">
    <w:abstractNumId w:val="17"/>
  </w:num>
  <w:num w:numId="8">
    <w:abstractNumId w:val="39"/>
  </w:num>
  <w:num w:numId="9">
    <w:abstractNumId w:val="83"/>
  </w:num>
  <w:num w:numId="10">
    <w:abstractNumId w:val="114"/>
  </w:num>
  <w:num w:numId="11">
    <w:abstractNumId w:val="14"/>
  </w:num>
  <w:num w:numId="12">
    <w:abstractNumId w:val="123"/>
  </w:num>
  <w:num w:numId="13">
    <w:abstractNumId w:val="104"/>
  </w:num>
  <w:num w:numId="14">
    <w:abstractNumId w:val="133"/>
  </w:num>
  <w:num w:numId="15">
    <w:abstractNumId w:val="52"/>
  </w:num>
  <w:num w:numId="16">
    <w:abstractNumId w:val="96"/>
  </w:num>
  <w:num w:numId="17">
    <w:abstractNumId w:val="138"/>
  </w:num>
  <w:num w:numId="18">
    <w:abstractNumId w:val="24"/>
  </w:num>
  <w:num w:numId="19">
    <w:abstractNumId w:val="21"/>
  </w:num>
  <w:num w:numId="20">
    <w:abstractNumId w:val="131"/>
  </w:num>
  <w:num w:numId="21">
    <w:abstractNumId w:val="80"/>
  </w:num>
  <w:num w:numId="22">
    <w:abstractNumId w:val="148"/>
  </w:num>
  <w:num w:numId="23">
    <w:abstractNumId w:val="4"/>
  </w:num>
  <w:num w:numId="24">
    <w:abstractNumId w:val="9"/>
  </w:num>
  <w:num w:numId="25">
    <w:abstractNumId w:val="25"/>
  </w:num>
  <w:num w:numId="26">
    <w:abstractNumId w:val="33"/>
  </w:num>
  <w:num w:numId="27">
    <w:abstractNumId w:val="48"/>
  </w:num>
  <w:num w:numId="28">
    <w:abstractNumId w:val="19"/>
  </w:num>
  <w:num w:numId="29">
    <w:abstractNumId w:val="151"/>
  </w:num>
  <w:num w:numId="30">
    <w:abstractNumId w:val="125"/>
  </w:num>
  <w:num w:numId="31">
    <w:abstractNumId w:val="87"/>
  </w:num>
  <w:num w:numId="32">
    <w:abstractNumId w:val="142"/>
  </w:num>
  <w:num w:numId="33">
    <w:abstractNumId w:val="91"/>
  </w:num>
  <w:num w:numId="34">
    <w:abstractNumId w:val="144"/>
  </w:num>
  <w:num w:numId="35">
    <w:abstractNumId w:val="38"/>
  </w:num>
  <w:num w:numId="36">
    <w:abstractNumId w:val="103"/>
  </w:num>
  <w:num w:numId="37">
    <w:abstractNumId w:val="109"/>
  </w:num>
  <w:num w:numId="38">
    <w:abstractNumId w:val="56"/>
  </w:num>
  <w:num w:numId="39">
    <w:abstractNumId w:val="127"/>
  </w:num>
  <w:num w:numId="40">
    <w:abstractNumId w:val="139"/>
  </w:num>
  <w:num w:numId="41">
    <w:abstractNumId w:val="107"/>
  </w:num>
  <w:num w:numId="42">
    <w:abstractNumId w:val="32"/>
  </w:num>
  <w:num w:numId="43">
    <w:abstractNumId w:val="3"/>
  </w:num>
  <w:num w:numId="44">
    <w:abstractNumId w:val="41"/>
  </w:num>
  <w:num w:numId="45">
    <w:abstractNumId w:val="30"/>
  </w:num>
  <w:num w:numId="46">
    <w:abstractNumId w:val="10"/>
  </w:num>
  <w:num w:numId="47">
    <w:abstractNumId w:val="119"/>
  </w:num>
  <w:num w:numId="48">
    <w:abstractNumId w:val="145"/>
  </w:num>
  <w:num w:numId="49">
    <w:abstractNumId w:val="72"/>
  </w:num>
  <w:num w:numId="50">
    <w:abstractNumId w:val="2"/>
  </w:num>
  <w:num w:numId="51">
    <w:abstractNumId w:val="100"/>
  </w:num>
  <w:num w:numId="52">
    <w:abstractNumId w:val="63"/>
  </w:num>
  <w:num w:numId="53">
    <w:abstractNumId w:val="36"/>
  </w:num>
  <w:num w:numId="54">
    <w:abstractNumId w:val="71"/>
  </w:num>
  <w:num w:numId="55">
    <w:abstractNumId w:val="124"/>
  </w:num>
  <w:num w:numId="56">
    <w:abstractNumId w:val="149"/>
  </w:num>
  <w:num w:numId="57">
    <w:abstractNumId w:val="54"/>
  </w:num>
  <w:num w:numId="58">
    <w:abstractNumId w:val="126"/>
  </w:num>
  <w:num w:numId="59">
    <w:abstractNumId w:val="20"/>
  </w:num>
  <w:num w:numId="60">
    <w:abstractNumId w:val="129"/>
  </w:num>
  <w:num w:numId="61">
    <w:abstractNumId w:val="89"/>
  </w:num>
  <w:num w:numId="62">
    <w:abstractNumId w:val="6"/>
  </w:num>
  <w:num w:numId="63">
    <w:abstractNumId w:val="69"/>
  </w:num>
  <w:num w:numId="64">
    <w:abstractNumId w:val="15"/>
  </w:num>
  <w:num w:numId="65">
    <w:abstractNumId w:val="99"/>
  </w:num>
  <w:num w:numId="66">
    <w:abstractNumId w:val="60"/>
  </w:num>
  <w:num w:numId="67">
    <w:abstractNumId w:val="61"/>
  </w:num>
  <w:num w:numId="68">
    <w:abstractNumId w:val="90"/>
  </w:num>
  <w:num w:numId="69">
    <w:abstractNumId w:val="70"/>
  </w:num>
  <w:num w:numId="70">
    <w:abstractNumId w:val="92"/>
  </w:num>
  <w:num w:numId="71">
    <w:abstractNumId w:val="29"/>
  </w:num>
  <w:num w:numId="72">
    <w:abstractNumId w:val="135"/>
  </w:num>
  <w:num w:numId="73">
    <w:abstractNumId w:val="111"/>
  </w:num>
  <w:num w:numId="74">
    <w:abstractNumId w:val="26"/>
  </w:num>
  <w:num w:numId="75">
    <w:abstractNumId w:val="57"/>
  </w:num>
  <w:num w:numId="76">
    <w:abstractNumId w:val="50"/>
  </w:num>
  <w:num w:numId="77">
    <w:abstractNumId w:val="65"/>
  </w:num>
  <w:num w:numId="78">
    <w:abstractNumId w:val="146"/>
  </w:num>
  <w:num w:numId="79">
    <w:abstractNumId w:val="42"/>
  </w:num>
  <w:num w:numId="80">
    <w:abstractNumId w:val="22"/>
  </w:num>
  <w:num w:numId="81">
    <w:abstractNumId w:val="141"/>
  </w:num>
  <w:num w:numId="82">
    <w:abstractNumId w:val="75"/>
  </w:num>
  <w:num w:numId="83">
    <w:abstractNumId w:val="78"/>
  </w:num>
  <w:num w:numId="84">
    <w:abstractNumId w:val="84"/>
  </w:num>
  <w:num w:numId="85">
    <w:abstractNumId w:val="112"/>
  </w:num>
  <w:num w:numId="86">
    <w:abstractNumId w:val="132"/>
  </w:num>
  <w:num w:numId="87">
    <w:abstractNumId w:val="74"/>
  </w:num>
  <w:num w:numId="88">
    <w:abstractNumId w:val="128"/>
  </w:num>
  <w:num w:numId="89">
    <w:abstractNumId w:val="105"/>
  </w:num>
  <w:num w:numId="90">
    <w:abstractNumId w:val="12"/>
  </w:num>
  <w:num w:numId="91">
    <w:abstractNumId w:val="76"/>
  </w:num>
  <w:num w:numId="92">
    <w:abstractNumId w:val="94"/>
  </w:num>
  <w:num w:numId="93">
    <w:abstractNumId w:val="31"/>
  </w:num>
  <w:num w:numId="94">
    <w:abstractNumId w:val="59"/>
  </w:num>
  <w:num w:numId="95">
    <w:abstractNumId w:val="93"/>
  </w:num>
  <w:num w:numId="96">
    <w:abstractNumId w:val="58"/>
  </w:num>
  <w:num w:numId="97">
    <w:abstractNumId w:val="136"/>
  </w:num>
  <w:num w:numId="98">
    <w:abstractNumId w:val="108"/>
  </w:num>
  <w:num w:numId="99">
    <w:abstractNumId w:val="67"/>
  </w:num>
  <w:num w:numId="100">
    <w:abstractNumId w:val="8"/>
  </w:num>
  <w:num w:numId="101">
    <w:abstractNumId w:val="40"/>
  </w:num>
  <w:num w:numId="102">
    <w:abstractNumId w:val="68"/>
  </w:num>
  <w:num w:numId="103">
    <w:abstractNumId w:val="13"/>
  </w:num>
  <w:num w:numId="104">
    <w:abstractNumId w:val="130"/>
  </w:num>
  <w:num w:numId="105">
    <w:abstractNumId w:val="43"/>
  </w:num>
  <w:num w:numId="106">
    <w:abstractNumId w:val="110"/>
  </w:num>
  <w:num w:numId="107">
    <w:abstractNumId w:val="150"/>
  </w:num>
  <w:num w:numId="108">
    <w:abstractNumId w:val="147"/>
  </w:num>
  <w:num w:numId="109">
    <w:abstractNumId w:val="98"/>
  </w:num>
  <w:num w:numId="110">
    <w:abstractNumId w:val="97"/>
  </w:num>
  <w:num w:numId="111">
    <w:abstractNumId w:val="143"/>
  </w:num>
  <w:num w:numId="112">
    <w:abstractNumId w:val="34"/>
  </w:num>
  <w:num w:numId="113">
    <w:abstractNumId w:val="115"/>
  </w:num>
  <w:num w:numId="114">
    <w:abstractNumId w:val="122"/>
  </w:num>
  <w:num w:numId="115">
    <w:abstractNumId w:val="18"/>
  </w:num>
  <w:num w:numId="116">
    <w:abstractNumId w:val="117"/>
  </w:num>
  <w:num w:numId="117">
    <w:abstractNumId w:val="64"/>
  </w:num>
  <w:num w:numId="118">
    <w:abstractNumId w:val="95"/>
  </w:num>
  <w:num w:numId="119">
    <w:abstractNumId w:val="47"/>
  </w:num>
  <w:num w:numId="120">
    <w:abstractNumId w:val="81"/>
  </w:num>
  <w:num w:numId="121">
    <w:abstractNumId w:val="152"/>
  </w:num>
  <w:num w:numId="122">
    <w:abstractNumId w:val="85"/>
  </w:num>
  <w:num w:numId="123">
    <w:abstractNumId w:val="66"/>
  </w:num>
  <w:num w:numId="124">
    <w:abstractNumId w:val="134"/>
  </w:num>
  <w:num w:numId="125">
    <w:abstractNumId w:val="1"/>
  </w:num>
  <w:num w:numId="126">
    <w:abstractNumId w:val="55"/>
  </w:num>
  <w:num w:numId="127">
    <w:abstractNumId w:val="5"/>
  </w:num>
  <w:num w:numId="128">
    <w:abstractNumId w:val="35"/>
  </w:num>
  <w:num w:numId="129">
    <w:abstractNumId w:val="86"/>
  </w:num>
  <w:num w:numId="130">
    <w:abstractNumId w:val="102"/>
  </w:num>
  <w:num w:numId="131">
    <w:abstractNumId w:val="101"/>
  </w:num>
  <w:num w:numId="132">
    <w:abstractNumId w:val="118"/>
  </w:num>
  <w:num w:numId="133">
    <w:abstractNumId w:val="82"/>
  </w:num>
  <w:num w:numId="134">
    <w:abstractNumId w:val="106"/>
  </w:num>
  <w:num w:numId="135">
    <w:abstractNumId w:val="137"/>
  </w:num>
  <w:num w:numId="136">
    <w:abstractNumId w:val="88"/>
  </w:num>
  <w:num w:numId="137">
    <w:abstractNumId w:val="46"/>
  </w:num>
  <w:num w:numId="138">
    <w:abstractNumId w:val="49"/>
  </w:num>
  <w:num w:numId="139">
    <w:abstractNumId w:val="62"/>
  </w:num>
  <w:num w:numId="140">
    <w:abstractNumId w:val="28"/>
  </w:num>
  <w:num w:numId="141">
    <w:abstractNumId w:val="79"/>
  </w:num>
  <w:num w:numId="142">
    <w:abstractNumId w:val="116"/>
  </w:num>
  <w:num w:numId="143">
    <w:abstractNumId w:val="51"/>
  </w:num>
  <w:num w:numId="144">
    <w:abstractNumId w:val="0"/>
  </w:num>
  <w:num w:numId="145">
    <w:abstractNumId w:val="121"/>
  </w:num>
  <w:num w:numId="146">
    <w:abstractNumId w:val="120"/>
  </w:num>
  <w:num w:numId="147">
    <w:abstractNumId w:val="27"/>
  </w:num>
  <w:num w:numId="148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0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7"/>
  </w:num>
  <w:num w:numId="151">
    <w:abstractNumId w:val="16"/>
  </w:num>
  <w:num w:numId="152">
    <w:abstractNumId w:val="45"/>
  </w:num>
  <w:num w:numId="153">
    <w:abstractNumId w:val="37"/>
  </w:num>
  <w:num w:numId="154">
    <w:abstractNumId w:val="73"/>
  </w:num>
  <w:num w:numId="155">
    <w:abstractNumId w:val="23"/>
  </w:num>
  <w:num w:numId="156">
    <w:abstractNumId w:val="113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61"/>
    <w:rsid w:val="000106B0"/>
    <w:rsid w:val="000116CE"/>
    <w:rsid w:val="00012D5B"/>
    <w:rsid w:val="000164B3"/>
    <w:rsid w:val="00016EF4"/>
    <w:rsid w:val="00023D78"/>
    <w:rsid w:val="00031018"/>
    <w:rsid w:val="00033903"/>
    <w:rsid w:val="00034F92"/>
    <w:rsid w:val="000407B0"/>
    <w:rsid w:val="00040CDB"/>
    <w:rsid w:val="00045E19"/>
    <w:rsid w:val="000508AA"/>
    <w:rsid w:val="000546DC"/>
    <w:rsid w:val="00056FC4"/>
    <w:rsid w:val="000605B4"/>
    <w:rsid w:val="0006084D"/>
    <w:rsid w:val="00061092"/>
    <w:rsid w:val="0006324E"/>
    <w:rsid w:val="0006346B"/>
    <w:rsid w:val="00086E00"/>
    <w:rsid w:val="000B2128"/>
    <w:rsid w:val="000B50ED"/>
    <w:rsid w:val="000B5F68"/>
    <w:rsid w:val="000C0CEF"/>
    <w:rsid w:val="000C5559"/>
    <w:rsid w:val="000D39D9"/>
    <w:rsid w:val="000D4A61"/>
    <w:rsid w:val="000D6262"/>
    <w:rsid w:val="000D7E3E"/>
    <w:rsid w:val="000F2279"/>
    <w:rsid w:val="001015CD"/>
    <w:rsid w:val="001053D0"/>
    <w:rsid w:val="0010637F"/>
    <w:rsid w:val="00112DB7"/>
    <w:rsid w:val="0011391C"/>
    <w:rsid w:val="00113EC3"/>
    <w:rsid w:val="001313D8"/>
    <w:rsid w:val="00132AB8"/>
    <w:rsid w:val="00133D93"/>
    <w:rsid w:val="0013636F"/>
    <w:rsid w:val="0014103B"/>
    <w:rsid w:val="00142CB4"/>
    <w:rsid w:val="001519AE"/>
    <w:rsid w:val="001550C6"/>
    <w:rsid w:val="0016102E"/>
    <w:rsid w:val="00165FD8"/>
    <w:rsid w:val="001666FE"/>
    <w:rsid w:val="001870DA"/>
    <w:rsid w:val="001A009A"/>
    <w:rsid w:val="001A40ED"/>
    <w:rsid w:val="001A63D6"/>
    <w:rsid w:val="001B1485"/>
    <w:rsid w:val="001C3475"/>
    <w:rsid w:val="001C35EF"/>
    <w:rsid w:val="001C4975"/>
    <w:rsid w:val="001C4A82"/>
    <w:rsid w:val="001D290E"/>
    <w:rsid w:val="001D2E01"/>
    <w:rsid w:val="001E1C03"/>
    <w:rsid w:val="001E24A0"/>
    <w:rsid w:val="001E66F0"/>
    <w:rsid w:val="001F11C1"/>
    <w:rsid w:val="001F4448"/>
    <w:rsid w:val="001F5316"/>
    <w:rsid w:val="00204730"/>
    <w:rsid w:val="00204A75"/>
    <w:rsid w:val="00206594"/>
    <w:rsid w:val="0020748F"/>
    <w:rsid w:val="00216E5F"/>
    <w:rsid w:val="00220453"/>
    <w:rsid w:val="00226650"/>
    <w:rsid w:val="002268AB"/>
    <w:rsid w:val="002275D6"/>
    <w:rsid w:val="0023792B"/>
    <w:rsid w:val="00241C7F"/>
    <w:rsid w:val="002457CE"/>
    <w:rsid w:val="0025562E"/>
    <w:rsid w:val="00255C55"/>
    <w:rsid w:val="002668D5"/>
    <w:rsid w:val="002722DB"/>
    <w:rsid w:val="0028045D"/>
    <w:rsid w:val="002926D4"/>
    <w:rsid w:val="002970C4"/>
    <w:rsid w:val="002A5B02"/>
    <w:rsid w:val="002A7E71"/>
    <w:rsid w:val="002B44AA"/>
    <w:rsid w:val="002B7A90"/>
    <w:rsid w:val="002C438C"/>
    <w:rsid w:val="002D67DB"/>
    <w:rsid w:val="002E5C41"/>
    <w:rsid w:val="002F5EE7"/>
    <w:rsid w:val="00303B00"/>
    <w:rsid w:val="0032010F"/>
    <w:rsid w:val="003220B4"/>
    <w:rsid w:val="00327BC1"/>
    <w:rsid w:val="00333234"/>
    <w:rsid w:val="00334BC2"/>
    <w:rsid w:val="00360222"/>
    <w:rsid w:val="00365402"/>
    <w:rsid w:val="003665E8"/>
    <w:rsid w:val="00372BAD"/>
    <w:rsid w:val="00374499"/>
    <w:rsid w:val="0037599C"/>
    <w:rsid w:val="00382665"/>
    <w:rsid w:val="00383A82"/>
    <w:rsid w:val="0038537C"/>
    <w:rsid w:val="0038790F"/>
    <w:rsid w:val="003924CE"/>
    <w:rsid w:val="00394314"/>
    <w:rsid w:val="003A05A2"/>
    <w:rsid w:val="003A1554"/>
    <w:rsid w:val="003A75B1"/>
    <w:rsid w:val="003B1429"/>
    <w:rsid w:val="003B1F46"/>
    <w:rsid w:val="003B40C1"/>
    <w:rsid w:val="003B5ECA"/>
    <w:rsid w:val="003B688C"/>
    <w:rsid w:val="003D2A96"/>
    <w:rsid w:val="003D73D6"/>
    <w:rsid w:val="003E5D70"/>
    <w:rsid w:val="003F3292"/>
    <w:rsid w:val="003F4E58"/>
    <w:rsid w:val="00406431"/>
    <w:rsid w:val="00407418"/>
    <w:rsid w:val="00410539"/>
    <w:rsid w:val="00424982"/>
    <w:rsid w:val="00435C57"/>
    <w:rsid w:val="00446C4F"/>
    <w:rsid w:val="0045476F"/>
    <w:rsid w:val="0045500A"/>
    <w:rsid w:val="00457AFD"/>
    <w:rsid w:val="00457B52"/>
    <w:rsid w:val="00472570"/>
    <w:rsid w:val="00476D5E"/>
    <w:rsid w:val="004821CC"/>
    <w:rsid w:val="0048414A"/>
    <w:rsid w:val="00485112"/>
    <w:rsid w:val="00485F6D"/>
    <w:rsid w:val="004906C8"/>
    <w:rsid w:val="004957F2"/>
    <w:rsid w:val="004A193C"/>
    <w:rsid w:val="004A3401"/>
    <w:rsid w:val="004A7E96"/>
    <w:rsid w:val="004B0FD5"/>
    <w:rsid w:val="004B168F"/>
    <w:rsid w:val="004B32C0"/>
    <w:rsid w:val="004B6EE5"/>
    <w:rsid w:val="004C718B"/>
    <w:rsid w:val="004D2092"/>
    <w:rsid w:val="004D2F3A"/>
    <w:rsid w:val="004D3FCC"/>
    <w:rsid w:val="004E0510"/>
    <w:rsid w:val="004F0A8B"/>
    <w:rsid w:val="004F2272"/>
    <w:rsid w:val="004F4F38"/>
    <w:rsid w:val="004F5223"/>
    <w:rsid w:val="005060A7"/>
    <w:rsid w:val="005146BD"/>
    <w:rsid w:val="005148CF"/>
    <w:rsid w:val="00515652"/>
    <w:rsid w:val="0052193C"/>
    <w:rsid w:val="0052676A"/>
    <w:rsid w:val="00537A91"/>
    <w:rsid w:val="005517D5"/>
    <w:rsid w:val="00552BFA"/>
    <w:rsid w:val="00553A2C"/>
    <w:rsid w:val="00563E58"/>
    <w:rsid w:val="005726AA"/>
    <w:rsid w:val="005735FC"/>
    <w:rsid w:val="00576EEF"/>
    <w:rsid w:val="005917F8"/>
    <w:rsid w:val="0059296E"/>
    <w:rsid w:val="0059630E"/>
    <w:rsid w:val="005A24C6"/>
    <w:rsid w:val="005B4819"/>
    <w:rsid w:val="005C2A5E"/>
    <w:rsid w:val="005D4804"/>
    <w:rsid w:val="005E492B"/>
    <w:rsid w:val="005E6C96"/>
    <w:rsid w:val="005F4769"/>
    <w:rsid w:val="005F56F3"/>
    <w:rsid w:val="00601B79"/>
    <w:rsid w:val="00605CC4"/>
    <w:rsid w:val="00614C0C"/>
    <w:rsid w:val="00616989"/>
    <w:rsid w:val="00621005"/>
    <w:rsid w:val="00624AB3"/>
    <w:rsid w:val="00632959"/>
    <w:rsid w:val="00634465"/>
    <w:rsid w:val="00652073"/>
    <w:rsid w:val="0065701D"/>
    <w:rsid w:val="00662CB1"/>
    <w:rsid w:val="006655FE"/>
    <w:rsid w:val="00676CE6"/>
    <w:rsid w:val="00682113"/>
    <w:rsid w:val="00682387"/>
    <w:rsid w:val="00683425"/>
    <w:rsid w:val="00685AAE"/>
    <w:rsid w:val="00695273"/>
    <w:rsid w:val="006B044B"/>
    <w:rsid w:val="006C3E36"/>
    <w:rsid w:val="006C7F5E"/>
    <w:rsid w:val="006E069D"/>
    <w:rsid w:val="006E3E18"/>
    <w:rsid w:val="006E3F79"/>
    <w:rsid w:val="006F39D1"/>
    <w:rsid w:val="006F71D0"/>
    <w:rsid w:val="00705257"/>
    <w:rsid w:val="007134E3"/>
    <w:rsid w:val="0071392C"/>
    <w:rsid w:val="0072654C"/>
    <w:rsid w:val="00734B8D"/>
    <w:rsid w:val="00736466"/>
    <w:rsid w:val="00741CC6"/>
    <w:rsid w:val="00750F4C"/>
    <w:rsid w:val="00751C7A"/>
    <w:rsid w:val="00754C3F"/>
    <w:rsid w:val="00760D48"/>
    <w:rsid w:val="00776E03"/>
    <w:rsid w:val="00786042"/>
    <w:rsid w:val="007879C5"/>
    <w:rsid w:val="0079017B"/>
    <w:rsid w:val="00791B2F"/>
    <w:rsid w:val="00795764"/>
    <w:rsid w:val="007B6D12"/>
    <w:rsid w:val="007C006A"/>
    <w:rsid w:val="007C4F7F"/>
    <w:rsid w:val="007C7758"/>
    <w:rsid w:val="007D0056"/>
    <w:rsid w:val="007D3026"/>
    <w:rsid w:val="007D342C"/>
    <w:rsid w:val="007E0A4B"/>
    <w:rsid w:val="007E4D7C"/>
    <w:rsid w:val="007E6F9E"/>
    <w:rsid w:val="007E7F66"/>
    <w:rsid w:val="007F5465"/>
    <w:rsid w:val="007F576A"/>
    <w:rsid w:val="007F6B86"/>
    <w:rsid w:val="00807087"/>
    <w:rsid w:val="0081177E"/>
    <w:rsid w:val="00815A93"/>
    <w:rsid w:val="00817957"/>
    <w:rsid w:val="00817C1A"/>
    <w:rsid w:val="0082664C"/>
    <w:rsid w:val="00852C6B"/>
    <w:rsid w:val="00861C7F"/>
    <w:rsid w:val="00872FAC"/>
    <w:rsid w:val="00875129"/>
    <w:rsid w:val="00875390"/>
    <w:rsid w:val="00880AF4"/>
    <w:rsid w:val="008869FB"/>
    <w:rsid w:val="008A1AE3"/>
    <w:rsid w:val="008A36D9"/>
    <w:rsid w:val="008A7071"/>
    <w:rsid w:val="008B611A"/>
    <w:rsid w:val="008C0D8D"/>
    <w:rsid w:val="008D7C25"/>
    <w:rsid w:val="008F0343"/>
    <w:rsid w:val="008F7DAA"/>
    <w:rsid w:val="00901D7D"/>
    <w:rsid w:val="009079AC"/>
    <w:rsid w:val="00916316"/>
    <w:rsid w:val="0092617F"/>
    <w:rsid w:val="009319DF"/>
    <w:rsid w:val="009319EF"/>
    <w:rsid w:val="0093658F"/>
    <w:rsid w:val="00940284"/>
    <w:rsid w:val="009406C7"/>
    <w:rsid w:val="0095657B"/>
    <w:rsid w:val="0096121B"/>
    <w:rsid w:val="00974FBA"/>
    <w:rsid w:val="0097613E"/>
    <w:rsid w:val="00984B88"/>
    <w:rsid w:val="009909F5"/>
    <w:rsid w:val="009961EE"/>
    <w:rsid w:val="009967F1"/>
    <w:rsid w:val="009A42F8"/>
    <w:rsid w:val="009A577B"/>
    <w:rsid w:val="009A6556"/>
    <w:rsid w:val="009A7126"/>
    <w:rsid w:val="009B05DC"/>
    <w:rsid w:val="009B0EFE"/>
    <w:rsid w:val="009B3428"/>
    <w:rsid w:val="009B42F8"/>
    <w:rsid w:val="009C1F13"/>
    <w:rsid w:val="009C2202"/>
    <w:rsid w:val="009C6AAE"/>
    <w:rsid w:val="009C7717"/>
    <w:rsid w:val="009D174D"/>
    <w:rsid w:val="009D1AC6"/>
    <w:rsid w:val="009D4383"/>
    <w:rsid w:val="009D5358"/>
    <w:rsid w:val="009D760D"/>
    <w:rsid w:val="009D7E76"/>
    <w:rsid w:val="009F2E84"/>
    <w:rsid w:val="009F3606"/>
    <w:rsid w:val="009F65BD"/>
    <w:rsid w:val="009F7B2D"/>
    <w:rsid w:val="00A1112D"/>
    <w:rsid w:val="00A1285B"/>
    <w:rsid w:val="00A13E7C"/>
    <w:rsid w:val="00A17E76"/>
    <w:rsid w:val="00A2051E"/>
    <w:rsid w:val="00A317DF"/>
    <w:rsid w:val="00A53677"/>
    <w:rsid w:val="00A56F71"/>
    <w:rsid w:val="00A57DB0"/>
    <w:rsid w:val="00A61EA8"/>
    <w:rsid w:val="00A63500"/>
    <w:rsid w:val="00A807D8"/>
    <w:rsid w:val="00A8361B"/>
    <w:rsid w:val="00A86A63"/>
    <w:rsid w:val="00A90505"/>
    <w:rsid w:val="00A909C1"/>
    <w:rsid w:val="00A93700"/>
    <w:rsid w:val="00A94CC3"/>
    <w:rsid w:val="00A94F81"/>
    <w:rsid w:val="00AA054A"/>
    <w:rsid w:val="00AA1D8B"/>
    <w:rsid w:val="00AA234A"/>
    <w:rsid w:val="00AA5312"/>
    <w:rsid w:val="00AA5718"/>
    <w:rsid w:val="00AB2079"/>
    <w:rsid w:val="00AC0C14"/>
    <w:rsid w:val="00AC3AFA"/>
    <w:rsid w:val="00AE16C3"/>
    <w:rsid w:val="00AE447A"/>
    <w:rsid w:val="00AE5280"/>
    <w:rsid w:val="00AE7AA9"/>
    <w:rsid w:val="00B154CD"/>
    <w:rsid w:val="00B23B92"/>
    <w:rsid w:val="00B35642"/>
    <w:rsid w:val="00B749E5"/>
    <w:rsid w:val="00B772AC"/>
    <w:rsid w:val="00B81270"/>
    <w:rsid w:val="00B82B17"/>
    <w:rsid w:val="00B82E7A"/>
    <w:rsid w:val="00B9296E"/>
    <w:rsid w:val="00B96C17"/>
    <w:rsid w:val="00BA675C"/>
    <w:rsid w:val="00BB01C8"/>
    <w:rsid w:val="00BB0636"/>
    <w:rsid w:val="00BB3F64"/>
    <w:rsid w:val="00BB6E83"/>
    <w:rsid w:val="00BC0549"/>
    <w:rsid w:val="00BC1555"/>
    <w:rsid w:val="00BC33CC"/>
    <w:rsid w:val="00BC62E7"/>
    <w:rsid w:val="00BD79A3"/>
    <w:rsid w:val="00BE2AC8"/>
    <w:rsid w:val="00BF2FDE"/>
    <w:rsid w:val="00BF5E36"/>
    <w:rsid w:val="00BF7227"/>
    <w:rsid w:val="00C10C6E"/>
    <w:rsid w:val="00C11C57"/>
    <w:rsid w:val="00C11E67"/>
    <w:rsid w:val="00C12857"/>
    <w:rsid w:val="00C13867"/>
    <w:rsid w:val="00C17D99"/>
    <w:rsid w:val="00C21022"/>
    <w:rsid w:val="00C22040"/>
    <w:rsid w:val="00C2466C"/>
    <w:rsid w:val="00C26AF4"/>
    <w:rsid w:val="00C32E44"/>
    <w:rsid w:val="00C34959"/>
    <w:rsid w:val="00C41D60"/>
    <w:rsid w:val="00C4265A"/>
    <w:rsid w:val="00C43F44"/>
    <w:rsid w:val="00C64008"/>
    <w:rsid w:val="00C65A0B"/>
    <w:rsid w:val="00C65AE7"/>
    <w:rsid w:val="00C65D84"/>
    <w:rsid w:val="00C65F70"/>
    <w:rsid w:val="00C81866"/>
    <w:rsid w:val="00C8583D"/>
    <w:rsid w:val="00C91C79"/>
    <w:rsid w:val="00C95FC6"/>
    <w:rsid w:val="00CA1382"/>
    <w:rsid w:val="00CB7C5E"/>
    <w:rsid w:val="00CD275C"/>
    <w:rsid w:val="00CF01DA"/>
    <w:rsid w:val="00CF05E7"/>
    <w:rsid w:val="00CF3A04"/>
    <w:rsid w:val="00D03E22"/>
    <w:rsid w:val="00D0571F"/>
    <w:rsid w:val="00D15DD9"/>
    <w:rsid w:val="00D17D74"/>
    <w:rsid w:val="00D3274E"/>
    <w:rsid w:val="00D37D49"/>
    <w:rsid w:val="00D4120F"/>
    <w:rsid w:val="00D42AC5"/>
    <w:rsid w:val="00D432A9"/>
    <w:rsid w:val="00D464D3"/>
    <w:rsid w:val="00D516EF"/>
    <w:rsid w:val="00D55934"/>
    <w:rsid w:val="00D6139E"/>
    <w:rsid w:val="00D62F85"/>
    <w:rsid w:val="00D71D87"/>
    <w:rsid w:val="00D81205"/>
    <w:rsid w:val="00D843F4"/>
    <w:rsid w:val="00D86F93"/>
    <w:rsid w:val="00D920A1"/>
    <w:rsid w:val="00DA0D01"/>
    <w:rsid w:val="00DA49FC"/>
    <w:rsid w:val="00DB425E"/>
    <w:rsid w:val="00DC1EAE"/>
    <w:rsid w:val="00DE1E55"/>
    <w:rsid w:val="00DE34F4"/>
    <w:rsid w:val="00DE51A3"/>
    <w:rsid w:val="00DF300C"/>
    <w:rsid w:val="00DF6AAD"/>
    <w:rsid w:val="00E0024A"/>
    <w:rsid w:val="00E05DCA"/>
    <w:rsid w:val="00E05EE2"/>
    <w:rsid w:val="00E06FAB"/>
    <w:rsid w:val="00E12853"/>
    <w:rsid w:val="00E1721F"/>
    <w:rsid w:val="00E21146"/>
    <w:rsid w:val="00E222CB"/>
    <w:rsid w:val="00E26229"/>
    <w:rsid w:val="00E270E3"/>
    <w:rsid w:val="00E326E7"/>
    <w:rsid w:val="00E47C63"/>
    <w:rsid w:val="00E61060"/>
    <w:rsid w:val="00E6151F"/>
    <w:rsid w:val="00E64431"/>
    <w:rsid w:val="00E6645B"/>
    <w:rsid w:val="00E77E9D"/>
    <w:rsid w:val="00E937C2"/>
    <w:rsid w:val="00EA5323"/>
    <w:rsid w:val="00EA6C37"/>
    <w:rsid w:val="00EB0406"/>
    <w:rsid w:val="00EB2B08"/>
    <w:rsid w:val="00EC0D81"/>
    <w:rsid w:val="00EC2B2D"/>
    <w:rsid w:val="00EC731F"/>
    <w:rsid w:val="00EE2A05"/>
    <w:rsid w:val="00EE390C"/>
    <w:rsid w:val="00EE5506"/>
    <w:rsid w:val="00EF60BD"/>
    <w:rsid w:val="00F136C9"/>
    <w:rsid w:val="00F140B4"/>
    <w:rsid w:val="00F1624D"/>
    <w:rsid w:val="00F22F43"/>
    <w:rsid w:val="00F33B94"/>
    <w:rsid w:val="00F4148F"/>
    <w:rsid w:val="00F41E64"/>
    <w:rsid w:val="00F50609"/>
    <w:rsid w:val="00F534FA"/>
    <w:rsid w:val="00F56D12"/>
    <w:rsid w:val="00F61040"/>
    <w:rsid w:val="00F633CB"/>
    <w:rsid w:val="00F658BA"/>
    <w:rsid w:val="00F668E2"/>
    <w:rsid w:val="00F6725C"/>
    <w:rsid w:val="00F70F84"/>
    <w:rsid w:val="00F870BE"/>
    <w:rsid w:val="00F9081F"/>
    <w:rsid w:val="00FA33E0"/>
    <w:rsid w:val="00FB3B26"/>
    <w:rsid w:val="00FB4529"/>
    <w:rsid w:val="00FB5F61"/>
    <w:rsid w:val="00FC297F"/>
    <w:rsid w:val="00FC7E10"/>
    <w:rsid w:val="00FD1337"/>
    <w:rsid w:val="00FD51F0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6D0CE"/>
  <w15:chartTrackingRefBased/>
  <w15:docId w15:val="{34991C32-277A-4912-B1AF-EFC9B10B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eading 3 Char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spacing w:line="360" w:lineRule="auto"/>
      <w:ind w:left="1418"/>
      <w:outlineLvl w:val="3"/>
    </w:pPr>
    <w:rPr>
      <w:rFonts w:ascii="TimesNewRoman,Italic" w:hAnsi="TimesNewRoman,Italic"/>
      <w:i/>
      <w:iCs/>
      <w:color w:val="00000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ind w:left="2160"/>
      <w:outlineLvl w:val="7"/>
    </w:pPr>
    <w:rPr>
      <w:rFonts w:ascii="TimesNewRoman,Italic" w:hAnsi="TimesNewRoman,Italic"/>
      <w:i/>
      <w:iCs/>
      <w:color w:val="00000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-bold,b,bt,Tekst podstawowy Znak Znak Znak Znak Znak Znak Znak Znak,block style,wypunktowanie,Tekst podstawowy Znak,szaro,numerowany,aga,Tekst podstawowyG,b1,Tekst podstawowy Znak Znak,(F2),anita1"/>
    <w:basedOn w:val="Normalny"/>
    <w:pPr>
      <w:autoSpaceDE w:val="0"/>
      <w:autoSpaceDN w:val="0"/>
      <w:adjustRightInd w:val="0"/>
      <w:jc w:val="both"/>
    </w:pPr>
    <w:rPr>
      <w:szCs w:val="23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BodyText21">
    <w:name w:val="Body Text 21"/>
    <w:basedOn w:val="Normalny"/>
    <w:pPr>
      <w:suppressAutoHyphens/>
      <w:jc w:val="both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cel1">
    <w:name w:val="cel 1"/>
    <w:basedOn w:val="Normalny"/>
    <w:pPr>
      <w:widowControl w:val="0"/>
      <w:tabs>
        <w:tab w:val="left" w:pos="1134"/>
      </w:tabs>
      <w:suppressAutoHyphens/>
      <w:spacing w:before="120" w:after="120"/>
      <w:ind w:left="1134" w:hanging="1134"/>
      <w:jc w:val="both"/>
    </w:pPr>
    <w:rPr>
      <w:b/>
      <w:smallCaps/>
      <w:sz w:val="20"/>
      <w:szCs w:val="20"/>
      <w:u w:val="single"/>
    </w:rPr>
  </w:style>
  <w:style w:type="paragraph" w:customStyle="1" w:styleId="NormalnyWyjustowany">
    <w:name w:val="Normalny + Wyjustowany"/>
    <w:basedOn w:val="Normalny"/>
    <w:pPr>
      <w:jc w:val="both"/>
    </w:pPr>
    <w:rPr>
      <w:bCs/>
      <w:sz w:val="20"/>
      <w:szCs w:val="20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customStyle="1" w:styleId="Typedudocument">
    <w:name w:val="Type du document"/>
    <w:basedOn w:val="Normalny"/>
    <w:next w:val="Normalny"/>
    <w:pPr>
      <w:widowControl w:val="0"/>
      <w:spacing w:before="360"/>
      <w:jc w:val="center"/>
    </w:pPr>
    <w:rPr>
      <w:b/>
      <w:bCs/>
      <w:sz w:val="20"/>
      <w:lang w:val="en-GB" w:eastAsia="fr-B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  <w:szCs w:val="20"/>
    </w:rPr>
  </w:style>
  <w:style w:type="paragraph" w:styleId="Tekstpodstawowy2">
    <w:name w:val="Body Text 2"/>
    <w:basedOn w:val="Normalny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pPr>
      <w:spacing w:before="319" w:after="319" w:line="240" w:lineRule="atLeast"/>
    </w:pPr>
    <w:rPr>
      <w:rFonts w:ascii="Tahoma" w:hAnsi="Tahoma" w:cs="Tahoma"/>
      <w:color w:val="000000"/>
      <w:sz w:val="17"/>
      <w:szCs w:val="17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062"/>
      </w:tabs>
      <w:jc w:val="center"/>
    </w:pPr>
    <w:rPr>
      <w:b/>
      <w:noProof/>
    </w:rPr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32"/>
      <w:szCs w:val="28"/>
      <w:u w:val="single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202"/>
      <w:jc w:val="both"/>
    </w:pPr>
    <w:rPr>
      <w:lang w:val="en-GB"/>
    </w:rPr>
  </w:style>
  <w:style w:type="paragraph" w:customStyle="1" w:styleId="ListNumberLevel2">
    <w:name w:val="List Number (Level 2)"/>
    <w:basedOn w:val="Normalny"/>
    <w:pPr>
      <w:spacing w:after="240"/>
      <w:jc w:val="both"/>
    </w:pPr>
    <w:rPr>
      <w:lang w:val="en-GB"/>
    </w:rPr>
  </w:style>
  <w:style w:type="paragraph" w:customStyle="1" w:styleId="Normal-bullet1">
    <w:name w:val="Normal-bullet1"/>
    <w:basedOn w:val="Normalny"/>
    <w:pPr>
      <w:widowControl w:val="0"/>
      <w:numPr>
        <w:numId w:val="2"/>
      </w:numPr>
      <w:tabs>
        <w:tab w:val="left" w:pos="432"/>
        <w:tab w:val="num" w:pos="765"/>
        <w:tab w:val="left" w:pos="1152"/>
        <w:tab w:val="left" w:pos="1440"/>
      </w:tabs>
      <w:ind w:left="765" w:hanging="283"/>
      <w:jc w:val="both"/>
    </w:pPr>
    <w:rPr>
      <w:spacing w:val="-8"/>
      <w:lang w:val="en-GB"/>
    </w:rPr>
  </w:style>
  <w:style w:type="paragraph" w:customStyle="1" w:styleId="CharCharChar1CharChar">
    <w:name w:val="Char Char Char1 Char Char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Nagwek3TimesNewRoman">
    <w:name w:val="Nagłówek 3 + Times New Roman"/>
    <w:aliases w:val="12 pt,Z lewej:  6,98 cm,Pierwszy wiersz:  0 c..."/>
    <w:basedOn w:val="Nagwek3"/>
    <w:pPr>
      <w:numPr>
        <w:ilvl w:val="2"/>
      </w:numPr>
      <w:tabs>
        <w:tab w:val="num" w:pos="4860"/>
      </w:tabs>
      <w:spacing w:before="360" w:after="360"/>
      <w:ind w:left="4860" w:hanging="7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nyPogrubienie">
    <w:name w:val="Normalny + Pogrubienie"/>
    <w:aliases w:val="Wyrównany do środka"/>
    <w:basedOn w:val="Nagwek3"/>
    <w:pPr>
      <w:spacing w:before="120" w:after="0" w:line="360" w:lineRule="auto"/>
      <w:ind w:left="3960"/>
    </w:pPr>
    <w:rPr>
      <w:rFonts w:ascii="Times New Roman" w:hAnsi="Times New Roman" w:cs="Times New Roman"/>
      <w:sz w:val="24"/>
      <w:szCs w:val="24"/>
    </w:rPr>
  </w:style>
  <w:style w:type="paragraph" w:customStyle="1" w:styleId="Akapit">
    <w:name w:val="Akapit"/>
    <w:basedOn w:val="Nagwek6"/>
    <w:pPr>
      <w:keepNext/>
      <w:spacing w:before="0" w:after="0" w:line="360" w:lineRule="auto"/>
      <w:jc w:val="both"/>
    </w:pPr>
    <w:rPr>
      <w:b w:val="0"/>
      <w:bCs w:val="0"/>
      <w:sz w:val="24"/>
      <w:szCs w:val="24"/>
    </w:rPr>
  </w:style>
  <w:style w:type="paragraph" w:customStyle="1" w:styleId="NumPar1">
    <w:name w:val="NumPar 1"/>
    <w:basedOn w:val="Normalny"/>
    <w:next w:val="Normalny"/>
    <w:pPr>
      <w:numPr>
        <w:numId w:val="1"/>
      </w:numPr>
      <w:spacing w:before="120" w:after="120"/>
      <w:jc w:val="both"/>
    </w:pPr>
    <w:rPr>
      <w:szCs w:val="20"/>
      <w:lang w:val="en-GB" w:eastAsia="en-GB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rsid w:val="00132AB8"/>
    <w:rPr>
      <w:sz w:val="16"/>
      <w:szCs w:val="16"/>
    </w:rPr>
  </w:style>
  <w:style w:type="table" w:styleId="Tabela-Siatka">
    <w:name w:val="Table Grid"/>
    <w:basedOn w:val="Standardowy"/>
    <w:rsid w:val="00A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semiHidden/>
    <w:rsid w:val="006C3E36"/>
  </w:style>
  <w:style w:type="character" w:customStyle="1" w:styleId="Stopka0">
    <w:name w:val="Stopka_"/>
    <w:link w:val="Stopka1"/>
    <w:rsid w:val="002722DB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"/>
    <w:rsid w:val="002722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0"/>
    <w:rsid w:val="002722DB"/>
    <w:pPr>
      <w:widowControl w:val="0"/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character" w:customStyle="1" w:styleId="Teksttreci20">
    <w:name w:val="Tekst treści (2)_"/>
    <w:rsid w:val="002722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">
    <w:name w:val="Tekst treści (2) + Kursywa"/>
    <w:rsid w:val="002722D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4D20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4D209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3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0023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2102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58394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7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2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8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6569">
              <w:marLeft w:val="0"/>
              <w:marRight w:val="13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0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7864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637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8834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8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9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4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8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77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2737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8952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0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5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1193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3344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715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4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1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9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3390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2787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1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49483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5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2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2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1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34">
              <w:marLeft w:val="0"/>
              <w:marRight w:val="13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6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3783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7748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55112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5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82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769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2051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71195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2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3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29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9467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60642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1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4164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1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10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2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1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8961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7494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0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63678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0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0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4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234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9969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69372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6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1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6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64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6759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06903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2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9566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3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6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6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1266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82696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6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5770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0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44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7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6524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206382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13279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26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3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68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52016XC0719(05)&amp;from=PL" TargetMode="External"/><Relationship Id="rId13" Type="http://schemas.openxmlformats.org/officeDocument/2006/relationships/hyperlink" Target="https://ec.europa.eu/info/sites/default/files/c_2021_1054_p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competition-policy/state-aid/coronavirus/rrf-guiding-templates_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competition-policy/state-aid/coronavirus/rrf-guiding-templates_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PL/TXT/PDF/?uri=CELEX:52016XC0719(05)&amp;from=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PDF/?uri=CELEX:52016XC0719(05)&amp;from=PL" TargetMode="External"/><Relationship Id="rId14" Type="http://schemas.openxmlformats.org/officeDocument/2006/relationships/hyperlink" Target="https://ec.europa.eu/info/law/better-regulation/have-your-say/initiatives/13071-Recovery-and-resilience-scoreboard-common-indicators-and-detailed-elements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E6EC-1A2A-4085-AC68-B1540C2C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</vt:lpstr>
    </vt:vector>
  </TitlesOfParts>
  <Company>MKiDN</Company>
  <LinksUpToDate>false</LinksUpToDate>
  <CharactersWithSpaces>13208</CharactersWithSpaces>
  <SharedDoc>false</SharedDoc>
  <HLinks>
    <vt:vector size="42" baseType="variant">
      <vt:variant>
        <vt:i4>4980848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https://ec.europa.eu/info/law/better-regulation/have-your-say/initiatives/13071-Recovery-and-resilience-scoreboard-common-indicators-and-detailed-elements_en</vt:lpwstr>
      </vt:variant>
      <vt:variant>
        <vt:lpwstr/>
      </vt:variant>
      <vt:variant>
        <vt:i4>5636151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https://ec.europa.eu/info/sites/default/files/c_2021_1054_pl.pdf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https://ec.europa.eu/competition-policy/state-aid/coronavirus/rrf-guiding-templates_pl</vt:lpwstr>
      </vt:variant>
      <vt:variant>
        <vt:lpwstr/>
      </vt:variant>
      <vt:variant>
        <vt:i4>852084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https://ec.europa.eu/competition-policy/state-aid/coronavirus/rrf-guiding-templates_pl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https://eur-lex.europa.eu/legal-content/PL/TXT/PDF/?uri=CELEX:52016XC0719(05)&amp;from=PL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https://eur-lex.europa.eu/legal-content/PL/TXT/PDF/?uri=CELEX:52016XC0719(05)&amp;from=PL</vt:lpwstr>
      </vt:variant>
      <vt:variant>
        <vt:lpwstr/>
      </vt:variant>
      <vt:variant>
        <vt:i4>6160479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https://eur-lex.europa.eu/legal-content/PL/TXT/PDF/?uri=CELEX:52016XC0719(05)&amp;from=PL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</dc:title>
  <dc:subject/>
  <dc:creator>mczarkowska</dc:creator>
  <cp:keywords/>
  <cp:lastModifiedBy>Przemysław Niedźwiecki</cp:lastModifiedBy>
  <cp:revision>9</cp:revision>
  <cp:lastPrinted>2024-04-05T08:31:00Z</cp:lastPrinted>
  <dcterms:created xsi:type="dcterms:W3CDTF">2024-12-11T14:36:00Z</dcterms:created>
  <dcterms:modified xsi:type="dcterms:W3CDTF">2025-01-09T07:04:00Z</dcterms:modified>
</cp:coreProperties>
</file>