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ayout w:type="fixed"/>
        <w:tblLook w:val="04A0" w:firstRow="1" w:lastRow="0" w:firstColumn="1" w:lastColumn="0" w:noHBand="0" w:noVBand="1"/>
      </w:tblPr>
      <w:tblGrid>
        <w:gridCol w:w="704"/>
        <w:gridCol w:w="1418"/>
        <w:gridCol w:w="1417"/>
        <w:gridCol w:w="5103"/>
        <w:gridCol w:w="5352"/>
      </w:tblGrid>
      <w:tr w:rsidR="002404B1" w:rsidTr="009E208C">
        <w:trPr>
          <w:trHeight w:val="1133"/>
        </w:trPr>
        <w:tc>
          <w:tcPr>
            <w:tcW w:w="13994" w:type="dxa"/>
            <w:gridSpan w:val="5"/>
            <w:vAlign w:val="center"/>
          </w:tcPr>
          <w:p w:rsidR="002404B1" w:rsidRPr="00CF4E33" w:rsidRDefault="00B9129E" w:rsidP="00F14AEB">
            <w:pPr>
              <w:rPr>
                <w:b/>
                <w:sz w:val="28"/>
                <w:szCs w:val="28"/>
              </w:rPr>
            </w:pPr>
            <w:r>
              <w:rPr>
                <w:b/>
                <w:sz w:val="28"/>
                <w:szCs w:val="28"/>
              </w:rPr>
              <w:t>P</w:t>
            </w:r>
            <w:r w:rsidR="00B52F6E" w:rsidRPr="00B52F6E">
              <w:rPr>
                <w:b/>
                <w:sz w:val="28"/>
                <w:szCs w:val="28"/>
              </w:rPr>
              <w:t xml:space="preserve">rojekt rozporządzenia </w:t>
            </w:r>
            <w:r w:rsidR="00F14AEB" w:rsidRPr="00F14AEB">
              <w:rPr>
                <w:b/>
                <w:sz w:val="28"/>
                <w:szCs w:val="28"/>
              </w:rPr>
              <w:t>Ministra Cyfryzacji w sprawie rodzaju i zakresu danych udostępnianych z centralnej ewidencji pojazdów</w:t>
            </w:r>
            <w:r w:rsidR="00F14AEB">
              <w:rPr>
                <w:b/>
                <w:sz w:val="28"/>
                <w:szCs w:val="28"/>
              </w:rPr>
              <w:t xml:space="preserve"> (MC 165</w:t>
            </w:r>
            <w:r w:rsidR="00C85F26" w:rsidRPr="00C85F26">
              <w:rPr>
                <w:b/>
                <w:sz w:val="28"/>
                <w:szCs w:val="28"/>
              </w:rPr>
              <w:t>)</w:t>
            </w:r>
            <w:r w:rsidR="00A5424D">
              <w:rPr>
                <w:b/>
                <w:sz w:val="28"/>
                <w:szCs w:val="28"/>
              </w:rPr>
              <w:t xml:space="preserve"> </w:t>
            </w:r>
            <w:r w:rsidR="009D2188">
              <w:rPr>
                <w:b/>
                <w:sz w:val="28"/>
                <w:szCs w:val="28"/>
              </w:rPr>
              <w:t>– uwagi z uzgodnień międzyresortowych</w:t>
            </w:r>
            <w:bookmarkStart w:id="0" w:name="_GoBack"/>
            <w:bookmarkEnd w:id="0"/>
          </w:p>
        </w:tc>
      </w:tr>
      <w:tr w:rsidR="002404B1" w:rsidRPr="00CF4E33" w:rsidTr="00286BF1">
        <w:tc>
          <w:tcPr>
            <w:tcW w:w="704" w:type="dxa"/>
          </w:tcPr>
          <w:p w:rsidR="002404B1" w:rsidRPr="00CF4E33" w:rsidRDefault="009E208C" w:rsidP="00CF4E33">
            <w:pPr>
              <w:jc w:val="center"/>
              <w:rPr>
                <w:b/>
              </w:rPr>
            </w:pPr>
            <w:r>
              <w:rPr>
                <w:b/>
              </w:rPr>
              <w:t>L.</w:t>
            </w:r>
            <w:r w:rsidR="002404B1" w:rsidRPr="00CF4E33">
              <w:rPr>
                <w:b/>
              </w:rPr>
              <w:t>p.</w:t>
            </w:r>
          </w:p>
        </w:tc>
        <w:tc>
          <w:tcPr>
            <w:tcW w:w="1418" w:type="dxa"/>
          </w:tcPr>
          <w:p w:rsidR="002404B1" w:rsidRPr="00CF4E33" w:rsidRDefault="002404B1" w:rsidP="00CF4E33">
            <w:pPr>
              <w:jc w:val="center"/>
              <w:rPr>
                <w:b/>
              </w:rPr>
            </w:pPr>
            <w:r w:rsidRPr="00CF4E33">
              <w:rPr>
                <w:b/>
              </w:rPr>
              <w:t>Jednostka redakcyjna</w:t>
            </w:r>
          </w:p>
        </w:tc>
        <w:tc>
          <w:tcPr>
            <w:tcW w:w="1417" w:type="dxa"/>
          </w:tcPr>
          <w:p w:rsidR="002404B1" w:rsidRPr="00CF4E33" w:rsidRDefault="002404B1" w:rsidP="00CF4E33">
            <w:pPr>
              <w:jc w:val="center"/>
              <w:rPr>
                <w:b/>
              </w:rPr>
            </w:pPr>
            <w:r w:rsidRPr="00CF4E33">
              <w:rPr>
                <w:b/>
              </w:rPr>
              <w:t>Podmiot zgłaszający uwagę</w:t>
            </w:r>
          </w:p>
        </w:tc>
        <w:tc>
          <w:tcPr>
            <w:tcW w:w="5103" w:type="dxa"/>
          </w:tcPr>
          <w:p w:rsidR="002404B1" w:rsidRPr="00CF4E33" w:rsidRDefault="002404B1" w:rsidP="00CF4E33">
            <w:pPr>
              <w:jc w:val="center"/>
              <w:rPr>
                <w:b/>
              </w:rPr>
            </w:pPr>
            <w:r w:rsidRPr="00CF4E33">
              <w:rPr>
                <w:b/>
              </w:rPr>
              <w:t>Treść uwagi</w:t>
            </w:r>
          </w:p>
        </w:tc>
        <w:tc>
          <w:tcPr>
            <w:tcW w:w="5352" w:type="dxa"/>
          </w:tcPr>
          <w:p w:rsidR="002404B1" w:rsidRPr="00CF4E33" w:rsidRDefault="002404B1" w:rsidP="00CF4E33">
            <w:pPr>
              <w:jc w:val="center"/>
              <w:rPr>
                <w:b/>
              </w:rPr>
            </w:pPr>
            <w:r>
              <w:rPr>
                <w:b/>
              </w:rPr>
              <w:t>Stanowisko MC</w:t>
            </w:r>
          </w:p>
        </w:tc>
      </w:tr>
      <w:tr w:rsidR="009E208C" w:rsidTr="00286BF1">
        <w:tc>
          <w:tcPr>
            <w:tcW w:w="704" w:type="dxa"/>
          </w:tcPr>
          <w:p w:rsidR="009E208C" w:rsidRDefault="009E208C" w:rsidP="00262CED">
            <w:pPr>
              <w:pStyle w:val="Akapitzlist"/>
              <w:numPr>
                <w:ilvl w:val="0"/>
                <w:numId w:val="1"/>
              </w:numPr>
            </w:pPr>
          </w:p>
        </w:tc>
        <w:tc>
          <w:tcPr>
            <w:tcW w:w="1418" w:type="dxa"/>
          </w:tcPr>
          <w:p w:rsidR="009E208C" w:rsidRDefault="00286BF1" w:rsidP="00C85F26">
            <w:r w:rsidRPr="00286BF1">
              <w:t>§</w:t>
            </w:r>
            <w:r>
              <w:t xml:space="preserve"> </w:t>
            </w:r>
            <w:r w:rsidRPr="00286BF1">
              <w:t>17</w:t>
            </w:r>
          </w:p>
        </w:tc>
        <w:tc>
          <w:tcPr>
            <w:tcW w:w="1417" w:type="dxa"/>
          </w:tcPr>
          <w:p w:rsidR="009E208C" w:rsidRDefault="00286BF1" w:rsidP="00262CED">
            <w:r>
              <w:t>Minister do spraw Unii Europejskiej</w:t>
            </w:r>
          </w:p>
        </w:tc>
        <w:tc>
          <w:tcPr>
            <w:tcW w:w="5103" w:type="dxa"/>
          </w:tcPr>
          <w:p w:rsidR="00286BF1" w:rsidRPr="00286BF1" w:rsidRDefault="00286BF1" w:rsidP="00286BF1">
            <w:pPr>
              <w:jc w:val="both"/>
            </w:pPr>
            <w:r w:rsidRPr="00286BF1">
              <w:t>Projektowany §</w:t>
            </w:r>
            <w:r>
              <w:t xml:space="preserve"> </w:t>
            </w:r>
            <w:r w:rsidRPr="00286BF1">
              <w:t xml:space="preserve">17 rozporządzenia stanowi, że podmiotowi odpowiedzialnemu za prowadzenie katalogu marek i typów pojazdów homologowanych oraz dopuszczonych do ruchu na terytorium Rzeczypospolitej Polskiej, udostępnia się dane, o których mowa m.in. w art. 80b ust. 1 pkt 6 ustawy z dnia 20 czerwca 1997 r. – Prawo o ruchu drogowym. </w:t>
            </w:r>
            <w:r w:rsidRPr="00286BF1">
              <w:br/>
              <w:t xml:space="preserve">Art. 80b ust. 1 pkt 6 tej ustawy określa, że chodzi o następujące dane o obowiązkowym ubezpieczeniu odpowiedzialności cywilnej posiadacza pojazdu: </w:t>
            </w:r>
          </w:p>
          <w:p w:rsidR="00286BF1" w:rsidRPr="00286BF1" w:rsidRDefault="00286BF1" w:rsidP="00286BF1">
            <w:pPr>
              <w:jc w:val="both"/>
            </w:pPr>
            <w:r w:rsidRPr="00286BF1">
              <w:t xml:space="preserve">a) imię i nazwisko (nazwę lub firmę) ubezpieczonego i jego adres zamieszkania (siedziby), </w:t>
            </w:r>
          </w:p>
          <w:p w:rsidR="00286BF1" w:rsidRPr="00286BF1" w:rsidRDefault="00286BF1" w:rsidP="00286BF1">
            <w:pPr>
              <w:jc w:val="both"/>
            </w:pPr>
            <w:r w:rsidRPr="00286BF1">
              <w:t xml:space="preserve">b) numer PESEL, a w przypadku osoby nieposiadającej numer u PESEL - serię, numer i nazwę dokumentu potwierdzającego tożsamość oraz nazwę państwa, które wydało ten dokument, </w:t>
            </w:r>
          </w:p>
          <w:p w:rsidR="00286BF1" w:rsidRPr="00286BF1" w:rsidRDefault="00286BF1" w:rsidP="00286BF1">
            <w:pPr>
              <w:jc w:val="both"/>
            </w:pPr>
            <w:r w:rsidRPr="00286BF1">
              <w:t xml:space="preserve">c) datę i miejsce urodzenia, </w:t>
            </w:r>
          </w:p>
          <w:p w:rsidR="00286BF1" w:rsidRPr="00286BF1" w:rsidRDefault="00286BF1" w:rsidP="00286BF1">
            <w:pPr>
              <w:jc w:val="both"/>
            </w:pPr>
            <w:r w:rsidRPr="00286BF1">
              <w:t xml:space="preserve">d) numer identyfikacyjny REGON, </w:t>
            </w:r>
          </w:p>
          <w:p w:rsidR="00286BF1" w:rsidRPr="00286BF1" w:rsidRDefault="00286BF1" w:rsidP="00286BF1">
            <w:pPr>
              <w:jc w:val="both"/>
            </w:pPr>
            <w:r w:rsidRPr="00286BF1">
              <w:t xml:space="preserve">e) dane zakładu ubezpieczeń, który zawarł umowę, </w:t>
            </w:r>
          </w:p>
          <w:p w:rsidR="00286BF1" w:rsidRPr="00286BF1" w:rsidRDefault="00286BF1" w:rsidP="00286BF1">
            <w:pPr>
              <w:jc w:val="both"/>
            </w:pPr>
            <w:r w:rsidRPr="00286BF1">
              <w:t>f) dane o umowie.</w:t>
            </w:r>
          </w:p>
          <w:p w:rsidR="00286BF1" w:rsidRPr="00286BF1" w:rsidRDefault="00286BF1" w:rsidP="00286BF1">
            <w:pPr>
              <w:jc w:val="both"/>
            </w:pPr>
            <w:r w:rsidRPr="00286BF1">
              <w:t xml:space="preserve">Na podstawie projektowanego przepisu podmiot odpowiedzialny za prowadzenie katalogu będzie zatem pozyskiwał również dane osobowe osób fizycznych. W związku z tym zwracam uwagę na art. 5 ust. 1 lit. c) rozporządzenia Parlamentu Europejskiego i Rady (UE) 2016/679 z dnia 27 kwietnia 2016 r. w sprawie ochrony </w:t>
            </w:r>
            <w:r w:rsidRPr="00286BF1">
              <w:lastRenderedPageBreak/>
              <w:t>osób fizycznych w związku z przetwarzaniem danych osobowych i w sprawie swobodnego przepływu takich danych oraz uchylenia dyrektywy 95/46/WE (ogólne rozporządzenie o ochronie danych), zgodnie z którym dane osobowe muszą być adekwatne, stosowne oraz ograniczone do tego, co niezbędne do celów, w których są przetwarzane (tzw. zasada minimalizacji danych). Oznacza to, że katalogi przetwarzanych danych osobowych powinny być ograniczone do tego, co konieczne.</w:t>
            </w:r>
          </w:p>
          <w:p w:rsidR="00286BF1" w:rsidRPr="00286BF1" w:rsidRDefault="00286BF1" w:rsidP="00286BF1">
            <w:pPr>
              <w:jc w:val="both"/>
            </w:pPr>
            <w:r>
              <w:t>(…)</w:t>
            </w:r>
          </w:p>
          <w:p w:rsidR="00286BF1" w:rsidRPr="00286BF1" w:rsidRDefault="00286BF1" w:rsidP="00286BF1">
            <w:pPr>
              <w:jc w:val="both"/>
            </w:pPr>
            <w:r w:rsidRPr="00286BF1">
              <w:t xml:space="preserve">W tym świetle gromadzenie danych osobowych w zakresie ubezpieczenia odpowiedzialności cywilnej posiadacza pojazdu budzi wątpliwości pod kątem wspomnianej zasady minimalizacji danych, wydaje się bowiem, że wspomniany katalog ma na celu gromadzenie danych technicznych dotyczących pojazdów. Konieczne jest zatem przedstawienie wyjaśnień wskazujących dlaczego gromadzenie opisanych danych osobowych jest niezbędne w tym przypadku, bądź odpowiednie przeredagowanie projektowanego przepisu. </w:t>
            </w:r>
          </w:p>
          <w:p w:rsidR="009E208C" w:rsidRDefault="009E208C" w:rsidP="00C85F26">
            <w:pPr>
              <w:jc w:val="both"/>
            </w:pPr>
          </w:p>
        </w:tc>
        <w:tc>
          <w:tcPr>
            <w:tcW w:w="5352" w:type="dxa"/>
          </w:tcPr>
          <w:p w:rsidR="009E208C" w:rsidRPr="00B54534" w:rsidRDefault="009E208C" w:rsidP="00262CED">
            <w:pPr>
              <w:jc w:val="both"/>
            </w:pPr>
            <w:r w:rsidRPr="00B54534">
              <w:lastRenderedPageBreak/>
              <w:t xml:space="preserve">Uwaga </w:t>
            </w:r>
            <w:r w:rsidR="00B54534" w:rsidRPr="00B54534">
              <w:t>nie</w:t>
            </w:r>
            <w:r w:rsidR="001B05C5">
              <w:t>zasadna</w:t>
            </w:r>
            <w:r w:rsidRPr="00B54534">
              <w:t>.</w:t>
            </w:r>
          </w:p>
          <w:p w:rsidR="00C85F26" w:rsidRDefault="00C85F26" w:rsidP="00262CED">
            <w:pPr>
              <w:jc w:val="both"/>
              <w:rPr>
                <w:b/>
              </w:rPr>
            </w:pPr>
          </w:p>
          <w:p w:rsidR="00C85F26" w:rsidRPr="009E208C" w:rsidRDefault="00286BF1" w:rsidP="00286BF1">
            <w:pPr>
              <w:jc w:val="both"/>
              <w:rPr>
                <w:b/>
              </w:rPr>
            </w:pPr>
            <w:r>
              <w:t xml:space="preserve">Projektowane rozporządzenie wchodzi w życie z dniem 4 grudnia 2020 r. W tym samym terminie wchodzi w życie ustawa z dnia 14 sierpnia 2020 r. o zmianie ustawy – Prawo o ruchu drogowym oraz niektórych innych ustaw (Dz. U. poz. 1517), która przewiduje uchylenie art. 80b ust. 1 pkt 6 lit. a-d ustawy z dnia 20 czerwca 1997 r. – Prawo o ruchu drogowym (art. 1 pkt 24 lit. a </w:t>
            </w:r>
            <w:proofErr w:type="spellStart"/>
            <w:r>
              <w:t>tiret</w:t>
            </w:r>
            <w:proofErr w:type="spellEnd"/>
            <w:r>
              <w:t xml:space="preserve"> pierwsze ustawy z dnia 14 sierpnia 2020 r.). Tym samym, podmiotowi odpowiedzialnemu za prowadzenie katalogu marek i typów pojazdów homologowanych oraz dopuszczonych do ruchu na terytorium Rzeczypospolitej Polskiej nie będą udostępniane dane osobowe, o których mowa w art. 80b ust. 1 pkt 6 lit. a-d ustawy z dnia 20 czerwca 1997 r. – Prawo o ruchu drogowym (ponieważ litery te zostaną uchylone), a jedynie pozostałe dane, o których mowa w art. 80b ust. 1 pkt 6 tej ustawy – czyli dane zakładu ubezpieczeń, który zawarł umowę (lit. e) oraz dane o umowie (lit. f).</w:t>
            </w:r>
          </w:p>
        </w:tc>
      </w:tr>
      <w:tr w:rsidR="00C85F26" w:rsidTr="00286BF1">
        <w:tc>
          <w:tcPr>
            <w:tcW w:w="704" w:type="dxa"/>
          </w:tcPr>
          <w:p w:rsidR="00C85F26" w:rsidRDefault="00C85F26" w:rsidP="00262CED">
            <w:pPr>
              <w:pStyle w:val="Akapitzlist"/>
              <w:numPr>
                <w:ilvl w:val="0"/>
                <w:numId w:val="1"/>
              </w:numPr>
            </w:pPr>
          </w:p>
        </w:tc>
        <w:tc>
          <w:tcPr>
            <w:tcW w:w="1418" w:type="dxa"/>
          </w:tcPr>
          <w:p w:rsidR="00C85F26" w:rsidRDefault="00286BF1" w:rsidP="00262CED">
            <w:r w:rsidRPr="00286BF1">
              <w:t>§ 4</w:t>
            </w:r>
          </w:p>
        </w:tc>
        <w:tc>
          <w:tcPr>
            <w:tcW w:w="1417" w:type="dxa"/>
          </w:tcPr>
          <w:p w:rsidR="00C85F26" w:rsidRDefault="00C85F26" w:rsidP="00262CED">
            <w:r>
              <w:t>RCL</w:t>
            </w:r>
          </w:p>
        </w:tc>
        <w:tc>
          <w:tcPr>
            <w:tcW w:w="5103" w:type="dxa"/>
          </w:tcPr>
          <w:p w:rsidR="00C85F26" w:rsidRDefault="00F14AEB" w:rsidP="00C85F26">
            <w:pPr>
              <w:jc w:val="both"/>
            </w:pPr>
            <w:r>
              <w:t>P</w:t>
            </w:r>
            <w:r w:rsidR="00286BF1" w:rsidRPr="00286BF1">
              <w:t xml:space="preserve">rojektowany przepis wymaga ponownej analizy i odpowiedniej zmiany redakcji. Zgodnie z projektowanym przepisem:  Organom Inspekcji Ochrony Środowiska udostępnia się dane, o których mowa w (…) art. 80b ust. 1 pkt 16 i 17  ustawy w zakresie daty i przyczyny wyrejestrowania pojazdu (…). Analiza treści art. 80b ust. 1 pkt 16 i 17 ustawy z dnia 20 czerwca 1997 r. – Prawo o ruchu drogowym (Dz. U. z 2020 r. poz. 110, z </w:t>
            </w:r>
            <w:proofErr w:type="spellStart"/>
            <w:r w:rsidR="00286BF1" w:rsidRPr="00286BF1">
              <w:t>późń</w:t>
            </w:r>
            <w:proofErr w:type="spellEnd"/>
            <w:r w:rsidR="00286BF1" w:rsidRPr="00286BF1">
              <w:t xml:space="preserve">. zm.), zwanej dalej „ustawą”, wskazuje zaś, iż dane dotyczące daty i przyczyn </w:t>
            </w:r>
            <w:r w:rsidR="00286BF1" w:rsidRPr="00286BF1">
              <w:lastRenderedPageBreak/>
              <w:t xml:space="preserve">wyrejestrowania pojazdu nie mieszczą się w zakresie danych,  o  których mowa w art. 80b ust. 1 pkt 16 ustawy.   </w:t>
            </w:r>
          </w:p>
        </w:tc>
        <w:tc>
          <w:tcPr>
            <w:tcW w:w="5352" w:type="dxa"/>
          </w:tcPr>
          <w:p w:rsidR="00BA649F" w:rsidRDefault="00F14AEB" w:rsidP="00286BF1">
            <w:r>
              <w:lastRenderedPageBreak/>
              <w:t>Uwaga uwzględniona.</w:t>
            </w:r>
          </w:p>
          <w:p w:rsidR="00F14AEB" w:rsidRDefault="00F14AEB" w:rsidP="00286BF1"/>
          <w:p w:rsidR="00F14AEB" w:rsidRPr="00BA649F" w:rsidRDefault="00F14AEB" w:rsidP="00286BF1">
            <w:r>
              <w:t xml:space="preserve">Zmieniono redakcję przepisu. </w:t>
            </w:r>
          </w:p>
        </w:tc>
      </w:tr>
      <w:tr w:rsidR="00C85F26" w:rsidTr="00286BF1">
        <w:tc>
          <w:tcPr>
            <w:tcW w:w="704" w:type="dxa"/>
          </w:tcPr>
          <w:p w:rsidR="00C85F26" w:rsidRDefault="00C85F26" w:rsidP="00262CED">
            <w:pPr>
              <w:pStyle w:val="Akapitzlist"/>
              <w:numPr>
                <w:ilvl w:val="0"/>
                <w:numId w:val="1"/>
              </w:numPr>
            </w:pPr>
          </w:p>
        </w:tc>
        <w:tc>
          <w:tcPr>
            <w:tcW w:w="1418" w:type="dxa"/>
          </w:tcPr>
          <w:p w:rsidR="00C85F26" w:rsidRDefault="00286BF1" w:rsidP="00262CED">
            <w:r>
              <w:t>§ 5, § 6, § 10, § 11, §13, § 16 i § 20</w:t>
            </w:r>
          </w:p>
        </w:tc>
        <w:tc>
          <w:tcPr>
            <w:tcW w:w="1417" w:type="dxa"/>
          </w:tcPr>
          <w:p w:rsidR="00C85F26" w:rsidRDefault="00286BF1" w:rsidP="00262CED">
            <w:r>
              <w:t>RCL</w:t>
            </w:r>
          </w:p>
        </w:tc>
        <w:tc>
          <w:tcPr>
            <w:tcW w:w="5103" w:type="dxa"/>
          </w:tcPr>
          <w:p w:rsidR="00286BF1" w:rsidRDefault="00286BF1" w:rsidP="00286BF1">
            <w:pPr>
              <w:jc w:val="both"/>
            </w:pPr>
            <w:r>
              <w:t xml:space="preserve">Ponownej analizy i odpowiedniej zmiany redakcji wymagają także projektowane: § 5, § 6, § 10, § 11, §13, § 16 i § 20. Tytułem przykładu, w odniesieniu do projektowanego § 5, dane dotyczące marki, kategorii, typu, modelu (nazwy handlowej), wariantu, wersji, rodzaju, roku produkcji pojazdu, pojemności skokowej silnika, maksymalnej mocy netto silnika, maksymalnej mocy netto silnika elektrycznego i rodzaju paliwa nie mieszczą się w zakresie danych,  o których mowa w art. 80b ust. 1 pkt 1–5, 7, 8 i 8b ustawy. Wskazane powyżej dane mieszczą się w zakresie danych, o których mowa w art. 80b ust. 1 pkt 13 ustawy, zdefiniowanych w sposób szczegółowy w § 3 rozporządzenia Ministra Cyfryzacji z dnia 24 grudnia 2019 r. w sprawie katalogu </w:t>
            </w:r>
          </w:p>
          <w:p w:rsidR="00C85F26" w:rsidRDefault="00286BF1" w:rsidP="00843C79">
            <w:pPr>
              <w:jc w:val="both"/>
            </w:pPr>
            <w:r>
              <w:t>danych gromadzonych w Centralnej Ewidencji Pojazdów (Dz. U. poz. 2547 oraz z 2020 r. poz. 1479).</w:t>
            </w:r>
          </w:p>
        </w:tc>
        <w:tc>
          <w:tcPr>
            <w:tcW w:w="5352" w:type="dxa"/>
          </w:tcPr>
          <w:p w:rsidR="00C85F26" w:rsidRDefault="00BA649F" w:rsidP="00286BF1">
            <w:r>
              <w:t>U</w:t>
            </w:r>
            <w:r w:rsidR="003661D9">
              <w:t>waga uwzględniona</w:t>
            </w:r>
            <w:r>
              <w:t xml:space="preserve"> </w:t>
            </w:r>
          </w:p>
          <w:p w:rsidR="00F14AEB" w:rsidRDefault="00F14AEB" w:rsidP="00286BF1"/>
          <w:p w:rsidR="00F14AEB" w:rsidRPr="009E208C" w:rsidRDefault="00F14AEB" w:rsidP="00286BF1">
            <w:pPr>
              <w:rPr>
                <w:b/>
              </w:rPr>
            </w:pPr>
            <w:r>
              <w:t>Zmieniono redakcję przepisu.</w:t>
            </w:r>
          </w:p>
        </w:tc>
      </w:tr>
      <w:tr w:rsidR="00C85F26" w:rsidTr="00286BF1">
        <w:tc>
          <w:tcPr>
            <w:tcW w:w="704" w:type="dxa"/>
          </w:tcPr>
          <w:p w:rsidR="00C85F26" w:rsidRDefault="00C85F26" w:rsidP="00262CED">
            <w:pPr>
              <w:pStyle w:val="Akapitzlist"/>
              <w:numPr>
                <w:ilvl w:val="0"/>
                <w:numId w:val="1"/>
              </w:numPr>
            </w:pPr>
          </w:p>
        </w:tc>
        <w:tc>
          <w:tcPr>
            <w:tcW w:w="1418" w:type="dxa"/>
          </w:tcPr>
          <w:p w:rsidR="00C85F26" w:rsidRDefault="00286BF1" w:rsidP="00262CED">
            <w:r w:rsidRPr="00FF55C1">
              <w:t>§ 2</w:t>
            </w:r>
            <w:r>
              <w:t>0</w:t>
            </w:r>
          </w:p>
        </w:tc>
        <w:tc>
          <w:tcPr>
            <w:tcW w:w="1417" w:type="dxa"/>
          </w:tcPr>
          <w:p w:rsidR="00C85F26" w:rsidRPr="00FF55C1" w:rsidRDefault="00286BF1" w:rsidP="00262CED">
            <w:r>
              <w:t>RCL</w:t>
            </w:r>
          </w:p>
        </w:tc>
        <w:tc>
          <w:tcPr>
            <w:tcW w:w="5103" w:type="dxa"/>
          </w:tcPr>
          <w:p w:rsidR="00C85F26" w:rsidRDefault="00286BF1" w:rsidP="00C85F26">
            <w:pPr>
              <w:jc w:val="both"/>
            </w:pPr>
            <w:r>
              <w:t>P</w:t>
            </w:r>
            <w:r w:rsidRPr="00286BF1">
              <w:t xml:space="preserve">rzepis ten wymaga dostosowania do zmian wprowadzonych ustawą z dnia 14 sierpnia 2020 r. o zmianie ustawy - Prawo o ruchu drogowym oraz niektórych innych ustaw (Dz. U.  poz. 1517). Zgodnie z art. 1 pkt 24 lit. a </w:t>
            </w:r>
            <w:proofErr w:type="spellStart"/>
            <w:r w:rsidRPr="00286BF1">
              <w:t>tiret</w:t>
            </w:r>
            <w:proofErr w:type="spellEnd"/>
            <w:r w:rsidRPr="00286BF1">
              <w:t xml:space="preserve"> pierwsze wskazanej powyżej ustawy, która wejdzie w życie 4 grudnia 2020 r., w art. 80b ust. 1 ustawy w pkt 6 uchyla się lit. a–d.  </w:t>
            </w:r>
          </w:p>
        </w:tc>
        <w:tc>
          <w:tcPr>
            <w:tcW w:w="5352" w:type="dxa"/>
          </w:tcPr>
          <w:p w:rsidR="00FF55C1" w:rsidRDefault="00FF55C1" w:rsidP="00FF55C1">
            <w:r>
              <w:t>Uwaga uwzględniona.</w:t>
            </w:r>
          </w:p>
          <w:p w:rsidR="00FF55C1" w:rsidRDefault="00FF55C1" w:rsidP="00FF55C1"/>
          <w:p w:rsidR="00C85F26" w:rsidRPr="00FF55C1" w:rsidRDefault="00F14AEB" w:rsidP="00286BF1">
            <w:pPr>
              <w:rPr>
                <w:bCs/>
              </w:rPr>
            </w:pPr>
            <w:r>
              <w:rPr>
                <w:bCs/>
              </w:rPr>
              <w:t xml:space="preserve">Dostosowano przepis do </w:t>
            </w:r>
            <w:r w:rsidRPr="00286BF1">
              <w:t>zmian wprowadzonych ustawą z dnia 14 sierpnia 2020 r. o zmianie ustawy - Prawo o ruchu drogowym oraz niektórych innych ustaw (Dz. U.  poz. 1517)</w:t>
            </w:r>
            <w:r>
              <w:t>.</w:t>
            </w:r>
          </w:p>
        </w:tc>
      </w:tr>
      <w:tr w:rsidR="00286BF1" w:rsidTr="00286BF1">
        <w:tc>
          <w:tcPr>
            <w:tcW w:w="704" w:type="dxa"/>
          </w:tcPr>
          <w:p w:rsidR="00286BF1" w:rsidRDefault="00286BF1" w:rsidP="00262CED">
            <w:pPr>
              <w:pStyle w:val="Akapitzlist"/>
              <w:numPr>
                <w:ilvl w:val="0"/>
                <w:numId w:val="1"/>
              </w:numPr>
            </w:pPr>
          </w:p>
        </w:tc>
        <w:tc>
          <w:tcPr>
            <w:tcW w:w="1418" w:type="dxa"/>
          </w:tcPr>
          <w:p w:rsidR="00286BF1" w:rsidRDefault="00286BF1" w:rsidP="00262CED">
            <w:r>
              <w:t>Uzasadnienie</w:t>
            </w:r>
          </w:p>
        </w:tc>
        <w:tc>
          <w:tcPr>
            <w:tcW w:w="1417" w:type="dxa"/>
          </w:tcPr>
          <w:p w:rsidR="00286BF1" w:rsidRPr="00FF55C1" w:rsidRDefault="00286BF1" w:rsidP="00286BF1">
            <w:r>
              <w:t xml:space="preserve">RCL </w:t>
            </w:r>
          </w:p>
        </w:tc>
        <w:tc>
          <w:tcPr>
            <w:tcW w:w="5103" w:type="dxa"/>
          </w:tcPr>
          <w:p w:rsidR="00286BF1" w:rsidRPr="00286BF1" w:rsidRDefault="00286BF1" w:rsidP="00C85F26">
            <w:pPr>
              <w:jc w:val="both"/>
            </w:pPr>
            <w:r w:rsidRPr="00286BF1">
              <w:t>Uzasadnienie projektu rozporządzenia wymagają dostosowania do wymogów określonych w Regulaminie pracy Rady Ministrów, w szczególności określonych w § 33 ust. 2.</w:t>
            </w:r>
          </w:p>
        </w:tc>
        <w:tc>
          <w:tcPr>
            <w:tcW w:w="5352" w:type="dxa"/>
          </w:tcPr>
          <w:p w:rsidR="00286BF1" w:rsidRDefault="00F14AEB" w:rsidP="00FF55C1">
            <w:r>
              <w:t>Uwaga uwzględniona.</w:t>
            </w:r>
          </w:p>
          <w:p w:rsidR="00F14AEB" w:rsidRDefault="00F14AEB" w:rsidP="00FF55C1"/>
          <w:p w:rsidR="00F14AEB" w:rsidRDefault="00F14AEB" w:rsidP="00FF55C1">
            <w:r>
              <w:t>Uzasadnienie zostało uzupełnione.</w:t>
            </w:r>
          </w:p>
        </w:tc>
      </w:tr>
    </w:tbl>
    <w:p w:rsidR="004F612A" w:rsidRDefault="004F612A"/>
    <w:sectPr w:rsidR="004F612A" w:rsidSect="005938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4148E"/>
    <w:multiLevelType w:val="hybridMultilevel"/>
    <w:tmpl w:val="03FC4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0206A46"/>
    <w:multiLevelType w:val="hybridMultilevel"/>
    <w:tmpl w:val="D2A0F9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CFE7441"/>
    <w:multiLevelType w:val="hybridMultilevel"/>
    <w:tmpl w:val="7592E5F8"/>
    <w:lvl w:ilvl="0" w:tplc="FA2ACB2E">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E24A6"/>
    <w:multiLevelType w:val="hybridMultilevel"/>
    <w:tmpl w:val="FCCE0D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88A"/>
    <w:rsid w:val="00082C29"/>
    <w:rsid w:val="001445DE"/>
    <w:rsid w:val="001A070E"/>
    <w:rsid w:val="001A0A6E"/>
    <w:rsid w:val="001B05C5"/>
    <w:rsid w:val="001C0A41"/>
    <w:rsid w:val="001C3950"/>
    <w:rsid w:val="002404B1"/>
    <w:rsid w:val="002811B9"/>
    <w:rsid w:val="00286BF1"/>
    <w:rsid w:val="00334A84"/>
    <w:rsid w:val="0034733E"/>
    <w:rsid w:val="003661D9"/>
    <w:rsid w:val="0039559D"/>
    <w:rsid w:val="003B2A04"/>
    <w:rsid w:val="003F63F3"/>
    <w:rsid w:val="0040340A"/>
    <w:rsid w:val="0049522C"/>
    <w:rsid w:val="004A184A"/>
    <w:rsid w:val="004B53EC"/>
    <w:rsid w:val="004B70A6"/>
    <w:rsid w:val="004F612A"/>
    <w:rsid w:val="00511242"/>
    <w:rsid w:val="005223BE"/>
    <w:rsid w:val="005248C7"/>
    <w:rsid w:val="00524C91"/>
    <w:rsid w:val="00573672"/>
    <w:rsid w:val="0059388A"/>
    <w:rsid w:val="005D65D7"/>
    <w:rsid w:val="00600D3F"/>
    <w:rsid w:val="00673AE0"/>
    <w:rsid w:val="007A555C"/>
    <w:rsid w:val="007C60F8"/>
    <w:rsid w:val="00843C79"/>
    <w:rsid w:val="00877111"/>
    <w:rsid w:val="008A251C"/>
    <w:rsid w:val="00906C5B"/>
    <w:rsid w:val="00906DF6"/>
    <w:rsid w:val="009160E2"/>
    <w:rsid w:val="00943182"/>
    <w:rsid w:val="009A7962"/>
    <w:rsid w:val="009D2188"/>
    <w:rsid w:val="009E208C"/>
    <w:rsid w:val="00A5424D"/>
    <w:rsid w:val="00A76BE1"/>
    <w:rsid w:val="00AA13EA"/>
    <w:rsid w:val="00B52F6E"/>
    <w:rsid w:val="00B54534"/>
    <w:rsid w:val="00B65635"/>
    <w:rsid w:val="00B81EB1"/>
    <w:rsid w:val="00B9129E"/>
    <w:rsid w:val="00BA649F"/>
    <w:rsid w:val="00BD7107"/>
    <w:rsid w:val="00BF36FE"/>
    <w:rsid w:val="00C52943"/>
    <w:rsid w:val="00C84F1D"/>
    <w:rsid w:val="00C85F26"/>
    <w:rsid w:val="00C9796F"/>
    <w:rsid w:val="00CC1E6B"/>
    <w:rsid w:val="00CD4793"/>
    <w:rsid w:val="00CE61DE"/>
    <w:rsid w:val="00CF4E33"/>
    <w:rsid w:val="00D33F97"/>
    <w:rsid w:val="00D87A8F"/>
    <w:rsid w:val="00DB7F15"/>
    <w:rsid w:val="00DE2762"/>
    <w:rsid w:val="00E667C3"/>
    <w:rsid w:val="00EB38B5"/>
    <w:rsid w:val="00F14A58"/>
    <w:rsid w:val="00F14AEB"/>
    <w:rsid w:val="00F14F97"/>
    <w:rsid w:val="00FC501D"/>
    <w:rsid w:val="00FF5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D71CB-D26B-4214-B5E9-9F9B5AF2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93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F4E33"/>
    <w:pPr>
      <w:ind w:left="720"/>
      <w:contextualSpacing/>
    </w:pPr>
  </w:style>
  <w:style w:type="paragraph" w:customStyle="1" w:styleId="LITlitera">
    <w:name w:val="LIT – litera"/>
    <w:basedOn w:val="Normalny"/>
    <w:uiPriority w:val="14"/>
    <w:qFormat/>
    <w:rsid w:val="00F14A58"/>
    <w:pPr>
      <w:spacing w:after="0" w:line="360" w:lineRule="auto"/>
      <w:ind w:left="986" w:hanging="476"/>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967156">
      <w:bodyDiv w:val="1"/>
      <w:marLeft w:val="0"/>
      <w:marRight w:val="0"/>
      <w:marTop w:val="0"/>
      <w:marBottom w:val="0"/>
      <w:divBdr>
        <w:top w:val="none" w:sz="0" w:space="0" w:color="auto"/>
        <w:left w:val="none" w:sz="0" w:space="0" w:color="auto"/>
        <w:bottom w:val="none" w:sz="0" w:space="0" w:color="auto"/>
        <w:right w:val="none" w:sz="0" w:space="0" w:color="auto"/>
      </w:divBdr>
    </w:div>
    <w:div w:id="774986347">
      <w:bodyDiv w:val="1"/>
      <w:marLeft w:val="0"/>
      <w:marRight w:val="0"/>
      <w:marTop w:val="0"/>
      <w:marBottom w:val="0"/>
      <w:divBdr>
        <w:top w:val="none" w:sz="0" w:space="0" w:color="auto"/>
        <w:left w:val="none" w:sz="0" w:space="0" w:color="auto"/>
        <w:bottom w:val="none" w:sz="0" w:space="0" w:color="auto"/>
        <w:right w:val="none" w:sz="0" w:space="0" w:color="auto"/>
      </w:divBdr>
    </w:div>
    <w:div w:id="816413082">
      <w:bodyDiv w:val="1"/>
      <w:marLeft w:val="0"/>
      <w:marRight w:val="0"/>
      <w:marTop w:val="0"/>
      <w:marBottom w:val="0"/>
      <w:divBdr>
        <w:top w:val="none" w:sz="0" w:space="0" w:color="auto"/>
        <w:left w:val="none" w:sz="0" w:space="0" w:color="auto"/>
        <w:bottom w:val="none" w:sz="0" w:space="0" w:color="auto"/>
        <w:right w:val="none" w:sz="0" w:space="0" w:color="auto"/>
      </w:divBdr>
    </w:div>
    <w:div w:id="1589650322">
      <w:bodyDiv w:val="1"/>
      <w:marLeft w:val="0"/>
      <w:marRight w:val="0"/>
      <w:marTop w:val="0"/>
      <w:marBottom w:val="0"/>
      <w:divBdr>
        <w:top w:val="none" w:sz="0" w:space="0" w:color="auto"/>
        <w:left w:val="none" w:sz="0" w:space="0" w:color="auto"/>
        <w:bottom w:val="none" w:sz="0" w:space="0" w:color="auto"/>
        <w:right w:val="none" w:sz="0" w:space="0" w:color="auto"/>
      </w:divBdr>
    </w:div>
    <w:div w:id="2079398447">
      <w:bodyDiv w:val="1"/>
      <w:marLeft w:val="0"/>
      <w:marRight w:val="0"/>
      <w:marTop w:val="0"/>
      <w:marBottom w:val="0"/>
      <w:divBdr>
        <w:top w:val="none" w:sz="0" w:space="0" w:color="auto"/>
        <w:left w:val="none" w:sz="0" w:space="0" w:color="auto"/>
        <w:bottom w:val="none" w:sz="0" w:space="0" w:color="auto"/>
        <w:right w:val="none" w:sz="0" w:space="0" w:color="auto"/>
      </w:divBdr>
    </w:div>
    <w:div w:id="212626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824</Words>
  <Characters>4946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Małgorzata</dc:creator>
  <cp:keywords/>
  <dc:description/>
  <cp:lastModifiedBy>Szulc Iwona</cp:lastModifiedBy>
  <cp:revision>6</cp:revision>
  <dcterms:created xsi:type="dcterms:W3CDTF">2020-11-10T12:59:00Z</dcterms:created>
  <dcterms:modified xsi:type="dcterms:W3CDTF">2020-11-13T07:39:00Z</dcterms:modified>
</cp:coreProperties>
</file>