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31AA" w14:textId="29E24CC2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 w:rsidR="00812A92">
        <w:rPr>
          <w:rFonts w:ascii="Arial" w:hAnsi="Arial" w:cs="Arial"/>
        </w:rPr>
        <w:t>6</w:t>
      </w:r>
      <w:bookmarkStart w:id="0" w:name="_GoBack"/>
      <w:bookmarkEnd w:id="0"/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1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</w:t>
      </w:r>
      <w:proofErr w:type="spellStart"/>
      <w:r w:rsidRPr="0019047B">
        <w:rPr>
          <w:rFonts w:ascii="Arial" w:hAnsi="Arial" w:cs="Arial"/>
          <w:szCs w:val="24"/>
        </w:rPr>
        <w:t>materialno</w:t>
      </w:r>
      <w:proofErr w:type="spellEnd"/>
      <w:r w:rsidRPr="0019047B">
        <w:rPr>
          <w:rFonts w:ascii="Arial" w:hAnsi="Arial" w:cs="Arial"/>
          <w:szCs w:val="24"/>
        </w:rPr>
        <w:t xml:space="preserve">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</w:t>
      </w:r>
      <w:proofErr w:type="spellStart"/>
      <w:r w:rsidRPr="0019047B">
        <w:rPr>
          <w:rFonts w:ascii="Arial" w:hAnsi="Arial" w:cs="Arial"/>
          <w:szCs w:val="24"/>
        </w:rPr>
        <w:t>pózn</w:t>
      </w:r>
      <w:proofErr w:type="spellEnd"/>
      <w:r w:rsidRPr="0019047B">
        <w:rPr>
          <w:rFonts w:ascii="Arial" w:hAnsi="Arial" w:cs="Arial"/>
          <w:szCs w:val="24"/>
        </w:rPr>
        <w:t xml:space="preserve">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 xml:space="preserve">w szczególności wśród dzieci i młodzieży oraz organizacji </w:t>
      </w:r>
      <w:proofErr w:type="spellStart"/>
      <w:r w:rsidRPr="0019047B">
        <w:rPr>
          <w:rFonts w:ascii="Arial" w:hAnsi="Arial" w:cs="Arial"/>
          <w:bCs/>
          <w:szCs w:val="24"/>
        </w:rPr>
        <w:t>proobronnych</w:t>
      </w:r>
      <w:proofErr w:type="spellEnd"/>
      <w:r w:rsidRPr="0019047B">
        <w:rPr>
          <w:rFonts w:ascii="Arial" w:hAnsi="Arial" w:cs="Arial"/>
          <w:bCs/>
          <w:szCs w:val="24"/>
        </w:rPr>
        <w:t>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4F0C22B5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w ramach budowy strzelnicy, zlokalizowanej na działce o nr </w:t>
      </w:r>
      <w:proofErr w:type="spellStart"/>
      <w:r w:rsidR="00AE3BC4" w:rsidRPr="0019047B">
        <w:rPr>
          <w:rFonts w:ascii="Arial" w:hAnsi="Arial" w:cs="Arial"/>
        </w:rPr>
        <w:t>ewidenyjnym</w:t>
      </w:r>
      <w:proofErr w:type="spellEnd"/>
      <w:r w:rsidR="00AE3BC4" w:rsidRPr="0019047B">
        <w:rPr>
          <w:rFonts w:ascii="Arial" w:hAnsi="Arial" w:cs="Arial"/>
        </w:rPr>
        <w:t xml:space="preserve">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48136A56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Termin realizacji zadania ustala się do dnia</w:t>
      </w:r>
      <w:r w:rsidR="0019047B" w:rsidRPr="0019047B">
        <w:rPr>
          <w:rFonts w:ascii="Arial" w:hAnsi="Arial" w:cs="Arial"/>
        </w:rPr>
        <w:t xml:space="preserve"> 31 grudnia 2023</w:t>
      </w:r>
      <w:r w:rsidRPr="0019047B">
        <w:rPr>
          <w:rFonts w:ascii="Arial" w:hAnsi="Arial" w:cs="Arial"/>
        </w:rPr>
        <w:t xml:space="preserve"> r. </w:t>
      </w:r>
    </w:p>
    <w:p w14:paraId="509FCB45" w14:textId="15F1703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wykorzystania dotacji ustala się do dnia </w:t>
      </w:r>
      <w:r w:rsidR="0019047B" w:rsidRPr="0019047B">
        <w:rPr>
          <w:rFonts w:ascii="Arial" w:hAnsi="Arial" w:cs="Arial"/>
        </w:rPr>
        <w:t xml:space="preserve">31 grudnia 2023 </w:t>
      </w:r>
      <w:r w:rsidRPr="0019047B">
        <w:rPr>
          <w:rFonts w:ascii="Arial" w:hAnsi="Arial" w:cs="Arial"/>
        </w:rPr>
        <w:t xml:space="preserve"> r.</w:t>
      </w:r>
    </w:p>
    <w:p w14:paraId="1D45F707" w14:textId="5B3D815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realizacji umowy ustala się do </w:t>
      </w:r>
      <w:r w:rsidR="00520520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lastRenderedPageBreak/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2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2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4AEBB20E" w14:textId="2005936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Strony ustalają, że wypłata środków dotacji będzie następowała w transzach </w:t>
      </w:r>
      <w:r w:rsidRPr="0019047B">
        <w:rPr>
          <w:rFonts w:ascii="Arial" w:hAnsi="Arial" w:cs="Arial"/>
        </w:rPr>
        <w:br/>
        <w:t xml:space="preserve">na rachunek bankowy Beneficjenta nr </w:t>
      </w:r>
      <w:r w:rsidR="00F70652" w:rsidRPr="0019047B">
        <w:rPr>
          <w:rFonts w:ascii="Arial" w:hAnsi="Arial" w:cs="Arial"/>
          <w:b/>
        </w:rPr>
        <w:t>………………………………………….</w:t>
      </w:r>
      <w:r w:rsidRPr="0019047B">
        <w:rPr>
          <w:rFonts w:ascii="Arial" w:hAnsi="Arial" w:cs="Arial"/>
        </w:rPr>
        <w:t>:</w:t>
      </w:r>
    </w:p>
    <w:p w14:paraId="4F1A9CD9" w14:textId="28C69753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pierwszej transzy w wysokości </w:t>
      </w:r>
      <w:r w:rsidR="00F70652" w:rsidRPr="0019047B">
        <w:rPr>
          <w:rFonts w:ascii="Arial" w:hAnsi="Arial" w:cs="Arial"/>
          <w:b/>
        </w:rPr>
        <w:t>………………………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>złotych 00/100</w:t>
      </w:r>
      <w:r w:rsidR="00C76D6D" w:rsidRPr="0019047B">
        <w:rPr>
          <w:rFonts w:ascii="Arial" w:hAnsi="Arial" w:cs="Arial"/>
        </w:rPr>
        <w:t xml:space="preserve">) nastąpi </w:t>
      </w:r>
      <w:r w:rsidRPr="0019047B">
        <w:rPr>
          <w:rFonts w:ascii="Arial" w:hAnsi="Arial" w:cs="Arial"/>
        </w:rPr>
        <w:t xml:space="preserve">w terminie 14 dni od daty wpływu podpisanej umowy do Departamentu Budżetowego Ministerstwa Obrony Narodowej, zwanego dalej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DB MON;</w:t>
      </w:r>
    </w:p>
    <w:p w14:paraId="4B0021E6" w14:textId="7E0972DE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drugiej transzy przez DB MON w wysokości </w:t>
      </w:r>
      <w:r w:rsidR="00F70652" w:rsidRPr="0019047B">
        <w:rPr>
          <w:rFonts w:ascii="Arial" w:hAnsi="Arial" w:cs="Arial"/>
          <w:b/>
        </w:rPr>
        <w:t>.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</w:t>
      </w:r>
      <w:r w:rsidR="00C76D6D" w:rsidRPr="0019047B">
        <w:rPr>
          <w:rFonts w:ascii="Arial" w:hAnsi="Arial" w:cs="Arial"/>
          <w:i/>
        </w:rPr>
        <w:t xml:space="preserve"> 00/100</w:t>
      </w:r>
      <w:r w:rsidR="00C76D6D" w:rsidRPr="0019047B">
        <w:rPr>
          <w:rFonts w:ascii="Arial" w:hAnsi="Arial" w:cs="Arial"/>
        </w:rPr>
        <w:t>) n</w:t>
      </w:r>
      <w:r w:rsidRPr="0019047B">
        <w:rPr>
          <w:rFonts w:ascii="Arial" w:hAnsi="Arial" w:cs="Arial"/>
        </w:rPr>
        <w:t>astąpi</w:t>
      </w:r>
      <w:r w:rsidR="00C76D6D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w terminie 14 dni od daty otrzymania przez DB MON zatwierdzonego przez Dysponenta rozliczenia pierwszej transzy;</w:t>
      </w:r>
    </w:p>
    <w:p w14:paraId="5F215210" w14:textId="1D213047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trzeciej transzy przez DB MON w wysokości </w:t>
      </w:r>
      <w:r w:rsidR="00F70652" w:rsidRPr="0019047B">
        <w:rPr>
          <w:rFonts w:ascii="Arial" w:hAnsi="Arial" w:cs="Arial"/>
          <w:b/>
        </w:rPr>
        <w:t>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…………………………………………………………………….</w:t>
      </w:r>
      <w:r w:rsidR="00C76D6D" w:rsidRPr="0019047B">
        <w:rPr>
          <w:rFonts w:ascii="Arial" w:hAnsi="Arial" w:cs="Arial"/>
          <w:i/>
        </w:rPr>
        <w:t xml:space="preserve"> złotych 00/100</w:t>
      </w:r>
      <w:r w:rsidR="00C76D6D" w:rsidRPr="0019047B">
        <w:rPr>
          <w:rFonts w:ascii="Arial" w:hAnsi="Arial" w:cs="Arial"/>
        </w:rPr>
        <w:t xml:space="preserve">) </w:t>
      </w:r>
      <w:r w:rsidRPr="0019047B">
        <w:rPr>
          <w:rFonts w:ascii="Arial" w:hAnsi="Arial" w:cs="Arial"/>
        </w:rPr>
        <w:t xml:space="preserve">nastąpi </w:t>
      </w:r>
      <w:r w:rsidR="00C76D6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terminie 14 dni od daty otrzymania przez DB MON zatwierdzonego przez Dysponenta rozliczenia  drugiej transzy.</w:t>
      </w:r>
    </w:p>
    <w:p w14:paraId="2FB0EFD2" w14:textId="7771368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Za dzień przekazania dotacji uznaje się dzień obciążenia rachunku DB </w:t>
      </w:r>
      <w:proofErr w:type="spellStart"/>
      <w:r w:rsidRPr="0019047B">
        <w:rPr>
          <w:rFonts w:ascii="Arial" w:hAnsi="Arial" w:cs="Arial"/>
        </w:rPr>
        <w:t>MON.Niewykorzystaną</w:t>
      </w:r>
      <w:proofErr w:type="spellEnd"/>
      <w:r w:rsidRPr="0019047B">
        <w:rPr>
          <w:rFonts w:ascii="Arial" w:hAnsi="Arial" w:cs="Arial"/>
        </w:rPr>
        <w:t xml:space="preserve">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7BDFF4B9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F612EF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6FBBD519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>w przypadku zwrotu środków od dnia 1 stycznia 202</w:t>
      </w:r>
      <w:r w:rsidR="00F612EF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do dnia 31 stycznia 202</w:t>
      </w:r>
      <w:r w:rsidR="00814D03" w:rsidRPr="0019047B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132B0605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>w przypadku zwrotu środków po dniu 31 stycznia 202</w:t>
      </w:r>
      <w:r w:rsidR="00F612EF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704DAFED" w14:textId="1818A55A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uzasadnionych przypadkach, dotyczących konieczności zapewnienia dodatkowych wymogów bezpieczeństwa dla realizowanej inwestycji, niemożliwych do przewidzenia na etapie składania oferty i niezależnych od stron, Dysponent może zwiększyć kwotę przyznanej dotacji o maksymalnie 20 % (dotyczy wyboru wariantów od I do III dla wersji rozbudowanych określonych w ogłoszeniu konkursu ofert „Strzelnica w powiecie 202</w:t>
      </w:r>
      <w:r w:rsidR="00F612EF">
        <w:rPr>
          <w:rFonts w:ascii="Arial" w:hAnsi="Arial" w:cs="Arial"/>
        </w:rPr>
        <w:t>3</w:t>
      </w:r>
      <w:r w:rsidRPr="0019047B">
        <w:rPr>
          <w:rFonts w:ascii="Arial" w:hAnsi="Arial" w:cs="Arial"/>
        </w:rPr>
        <w:t xml:space="preserve">” </w:t>
      </w:r>
      <w:r w:rsidR="00814D03" w:rsidRPr="0019047B">
        <w:rPr>
          <w:rFonts w:ascii="Arial" w:hAnsi="Arial" w:cs="Arial"/>
        </w:rPr>
        <w:t>……………………….</w:t>
      </w:r>
      <w:r w:rsidRPr="0019047B">
        <w:rPr>
          <w:rFonts w:ascii="Arial" w:hAnsi="Arial" w:cs="Arial"/>
        </w:rPr>
        <w:t xml:space="preserve">). Ciężar udowodnienia zaistnienia powyższych okoliczności leży po stronie Beneficjenta. Wszelkie zmiany umowy w przedmiocie zwiększenia kwoty dotacji wymagają pisemnego aneksu, pod rygorem nieważności. </w:t>
      </w:r>
    </w:p>
    <w:p w14:paraId="6F63077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</w:t>
      </w:r>
      <w:proofErr w:type="spellStart"/>
      <w:r w:rsidRPr="0019047B">
        <w:rPr>
          <w:rFonts w:ascii="Arial" w:hAnsi="Arial" w:cs="Arial"/>
        </w:rPr>
        <w:t>formalno</w:t>
      </w:r>
      <w:proofErr w:type="spellEnd"/>
      <w:r w:rsidRPr="0019047B">
        <w:rPr>
          <w:rFonts w:ascii="Arial" w:hAnsi="Arial" w:cs="Arial"/>
        </w:rPr>
        <w:t xml:space="preserve">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38F9E3CE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u w:val="single"/>
        </w:rPr>
      </w:pPr>
      <w:r w:rsidRPr="0019047B">
        <w:rPr>
          <w:rFonts w:ascii="Arial" w:hAnsi="Arial" w:cs="Arial"/>
        </w:rPr>
        <w:t xml:space="preserve">Beneficjent zobowiązany jest w okresie od dnia </w:t>
      </w:r>
      <w:r w:rsidR="00814D03" w:rsidRPr="0019047B">
        <w:rPr>
          <w:rFonts w:ascii="Arial" w:hAnsi="Arial" w:cs="Arial"/>
        </w:rPr>
        <w:t xml:space="preserve">1 </w:t>
      </w:r>
      <w:r w:rsidR="00F612EF">
        <w:rPr>
          <w:rFonts w:ascii="Arial" w:hAnsi="Arial" w:cs="Arial"/>
        </w:rPr>
        <w:t>lutego</w:t>
      </w:r>
      <w:r w:rsidR="00814D03" w:rsidRPr="0019047B">
        <w:rPr>
          <w:rFonts w:ascii="Arial" w:hAnsi="Arial" w:cs="Arial"/>
        </w:rPr>
        <w:t xml:space="preserve"> 202</w:t>
      </w:r>
      <w:r w:rsidR="00F612EF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 do dnia 31 grudnia </w:t>
      </w:r>
      <w:r w:rsidRPr="0019047B">
        <w:rPr>
          <w:rFonts w:ascii="Arial" w:hAnsi="Arial" w:cs="Arial"/>
        </w:rPr>
        <w:br/>
      </w:r>
      <w:r w:rsidR="00814D03" w:rsidRPr="0019047B">
        <w:rPr>
          <w:rFonts w:ascii="Arial" w:hAnsi="Arial" w:cs="Arial"/>
          <w:u w:val="single"/>
        </w:rPr>
        <w:t>2034</w:t>
      </w:r>
      <w:r w:rsidRPr="0019047B">
        <w:rPr>
          <w:rFonts w:ascii="Arial" w:hAnsi="Arial" w:cs="Arial"/>
          <w:u w:val="single"/>
        </w:rPr>
        <w:t xml:space="preserve"> r. 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  <w:u w:val="single"/>
        </w:rPr>
        <w:t xml:space="preserve">zapewnienia bieżącego funkcjonowania strzelnicy w stanie technicznym oraz </w:t>
      </w:r>
      <w:r w:rsidRPr="0019047B">
        <w:rPr>
          <w:rFonts w:ascii="Arial" w:hAnsi="Arial" w:cs="Arial"/>
          <w:u w:val="single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prowadzenia dokumentacji strzelnicy, zgodnie z rozporządzeniem Ministra Spraw Wewnętrznych i Administracji z dnia 15 marca 2000 r. w sprawie wzorcowego regulaminu strzelnic (Dz. U. Nr. 18 poz. 234 z </w:t>
      </w:r>
      <w:proofErr w:type="spellStart"/>
      <w:r w:rsidRPr="0019047B">
        <w:rPr>
          <w:rFonts w:ascii="Arial" w:hAnsi="Arial" w:cs="Arial"/>
        </w:rPr>
        <w:t>późn</w:t>
      </w:r>
      <w:proofErr w:type="spellEnd"/>
      <w:r w:rsidRPr="0019047B">
        <w:rPr>
          <w:rFonts w:ascii="Arial" w:hAnsi="Arial" w:cs="Arial"/>
        </w:rPr>
        <w:t>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75803F8C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</w:t>
      </w:r>
      <w:proofErr w:type="spellStart"/>
      <w:r w:rsidRPr="0019047B">
        <w:rPr>
          <w:rFonts w:ascii="Arial" w:hAnsi="Arial" w:cs="Arial"/>
        </w:rPr>
        <w:t>zapewnienić</w:t>
      </w:r>
      <w:proofErr w:type="spellEnd"/>
      <w:r w:rsidRPr="0019047B">
        <w:rPr>
          <w:rFonts w:ascii="Arial" w:hAnsi="Arial" w:cs="Arial"/>
        </w:rPr>
        <w:t xml:space="preserve">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</w:t>
      </w:r>
      <w:r w:rsidR="00C6768C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r., do dnia </w:t>
      </w:r>
      <w:r w:rsidR="00814D03" w:rsidRPr="0019047B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bezpłatne korzystanie ze strzelnicy zgodnie z jej przeznaczeniem przez: </w:t>
      </w:r>
    </w:p>
    <w:p w14:paraId="553C049C" w14:textId="4F8F0CB6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Siły Zbrojne Rzeczypospolitej Polskiej, w wymiarze do </w:t>
      </w:r>
      <w:r w:rsidR="00C6768C">
        <w:rPr>
          <w:rFonts w:ascii="Arial" w:hAnsi="Arial" w:cs="Arial"/>
        </w:rPr>
        <w:t>80</w:t>
      </w:r>
      <w:r w:rsidRPr="0019047B">
        <w:rPr>
          <w:rFonts w:ascii="Arial" w:hAnsi="Arial" w:cs="Arial"/>
        </w:rPr>
        <w:t xml:space="preserve"> godzin w miesiącu, według harmonogramów uzgodnionych przez Beneficjenta z dowódcami jednostek wojskowych lub kierownikami jednostek organizacyjnych resortu obrony narodowej z zawartych pomiędzy nimi porozumień,</w:t>
      </w:r>
    </w:p>
    <w:p w14:paraId="7A89B4E1" w14:textId="7F9A4529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organizacje pozarządowe prowadzące działalność na rzecz obronności państwa, w wymiarze do </w:t>
      </w:r>
      <w:r w:rsidR="00C6768C">
        <w:rPr>
          <w:rFonts w:ascii="Arial" w:hAnsi="Arial" w:cs="Arial"/>
        </w:rPr>
        <w:t>2</w:t>
      </w:r>
      <w:r w:rsidRPr="0019047B">
        <w:rPr>
          <w:rFonts w:ascii="Arial" w:hAnsi="Arial" w:cs="Arial"/>
        </w:rPr>
        <w:t>0 godzin w miesiącu, według harmonogramów uzgodnionych przez  Beneficjenta z zainteresowanymi organizacjami wynikających z zawartych z nimi porozumień,</w:t>
      </w:r>
    </w:p>
    <w:p w14:paraId="0FED1546" w14:textId="02C4D894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uczniów szkół, które prowadzą działalność dydaktyczno-wychowawczą </w:t>
      </w:r>
      <w:r w:rsidRPr="0019047B">
        <w:rPr>
          <w:rFonts w:ascii="Arial" w:hAnsi="Arial" w:cs="Arial"/>
        </w:rPr>
        <w:br/>
        <w:t xml:space="preserve">w dziedzinie obronności państwa, w wymiarze do </w:t>
      </w:r>
      <w:r w:rsidR="00C6768C">
        <w:rPr>
          <w:rFonts w:ascii="Arial" w:hAnsi="Arial" w:cs="Arial"/>
        </w:rPr>
        <w:t>2</w:t>
      </w:r>
      <w:r w:rsidRPr="0019047B">
        <w:rPr>
          <w:rFonts w:ascii="Arial" w:hAnsi="Arial" w:cs="Arial"/>
        </w:rPr>
        <w:t xml:space="preserve">0 godzin </w:t>
      </w:r>
      <w:r w:rsidRPr="0019047B">
        <w:rPr>
          <w:rFonts w:ascii="Arial" w:hAnsi="Arial" w:cs="Arial"/>
        </w:rPr>
        <w:br/>
        <w:t xml:space="preserve">w miesiącu, według harmonogramów uzgodnionych przez  Beneficjenta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z zainteresowanymi szkołami wynikających z zawartych z nimi porozumień;</w:t>
      </w: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prowadzenie ewidencji wykorzystania strzelnicy przez Siły Zbrojne Rzeczypospolitej Polskiej, organizacje pozarządowe oraz uczniów szkół, o których mowa w pkt 1,  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państwowych funduszy celowych (Dz. U. </w:t>
      </w:r>
      <w:proofErr w:type="spellStart"/>
      <w:r w:rsidRPr="0019047B">
        <w:rPr>
          <w:rFonts w:ascii="Arial" w:hAnsi="Arial" w:cs="Arial"/>
        </w:rPr>
        <w:t>poz</w:t>
      </w:r>
      <w:proofErr w:type="spellEnd"/>
      <w:r w:rsidRPr="0019047B">
        <w:rPr>
          <w:rFonts w:ascii="Arial" w:hAnsi="Arial" w:cs="Arial"/>
        </w:rPr>
        <w:t xml:space="preserve">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4F1E628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19047B">
        <w:rPr>
          <w:rFonts w:ascii="Arial" w:hAnsi="Arial" w:cs="Arial"/>
          <w:b/>
        </w:rPr>
        <w:t>10 stycznia 202</w:t>
      </w:r>
      <w:r w:rsidR="00C6768C">
        <w:rPr>
          <w:rFonts w:ascii="Arial" w:hAnsi="Arial" w:cs="Arial"/>
          <w:b/>
        </w:rPr>
        <w:t>5</w:t>
      </w:r>
      <w:r w:rsidR="00310659" w:rsidRPr="0019047B">
        <w:rPr>
          <w:rFonts w:ascii="Arial" w:hAnsi="Arial" w:cs="Arial"/>
          <w:b/>
        </w:rPr>
        <w:t xml:space="preserve"> roku</w:t>
      </w:r>
      <w:r w:rsidR="00310659" w:rsidRPr="0019047B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3" w:name="_Hlk34899427"/>
      <w:r w:rsidRPr="0019047B">
        <w:rPr>
          <w:rFonts w:ascii="Arial" w:hAnsi="Arial" w:cs="Arial"/>
        </w:rPr>
        <w:t>§</w:t>
      </w:r>
      <w:bookmarkEnd w:id="3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proofErr w:type="spellStart"/>
      <w:r w:rsidR="005E0497" w:rsidRPr="0019047B">
        <w:rPr>
          <w:rFonts w:ascii="Arial" w:hAnsi="Arial" w:cs="Arial"/>
        </w:rPr>
        <w:t>Beneficjenowi</w:t>
      </w:r>
      <w:proofErr w:type="spellEnd"/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19047B">
        <w:rPr>
          <w:rFonts w:ascii="Arial" w:hAnsi="Arial" w:cs="Arial"/>
        </w:rPr>
        <w:t>rozporządzenieo</w:t>
      </w:r>
      <w:proofErr w:type="spellEnd"/>
      <w:r w:rsidRPr="0019047B">
        <w:rPr>
          <w:rFonts w:ascii="Arial" w:hAnsi="Arial" w:cs="Arial"/>
        </w:rPr>
        <w:t xml:space="preserve">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lastRenderedPageBreak/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1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78C8A236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……………………………………………………….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………………………..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02CE59E" w14:textId="15E12E51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9047B">
              <w:rPr>
                <w:rFonts w:ascii="Arial" w:hAnsi="Arial" w:cs="Arial"/>
                <w:b/>
              </w:rPr>
              <w:t>Załacznik</w:t>
            </w:r>
            <w:proofErr w:type="spellEnd"/>
            <w:r w:rsidRPr="0019047B">
              <w:rPr>
                <w:rFonts w:ascii="Arial" w:hAnsi="Arial" w:cs="Arial"/>
                <w:b/>
              </w:rPr>
              <w:t xml:space="preserve">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19047B">
              <w:rPr>
                <w:rFonts w:ascii="Arial" w:hAnsi="Arial" w:cs="Arial"/>
              </w:rPr>
              <w:t>wch</w:t>
            </w:r>
            <w:proofErr w:type="spellEnd"/>
            <w:r w:rsidRPr="0019047B">
              <w:rPr>
                <w:rFonts w:ascii="Arial" w:hAnsi="Arial" w:cs="Arial"/>
              </w:rPr>
              <w:t xml:space="preserve">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2BE3725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8D5E449" w14:textId="167DDC33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Kosztorys inwestorski na </w:t>
            </w:r>
            <w:r w:rsidR="00814D03" w:rsidRPr="0019047B">
              <w:rPr>
                <w:rFonts w:ascii="Arial" w:hAnsi="Arial" w:cs="Arial"/>
              </w:rPr>
              <w:t>………..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3B7A5FAB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665633DF" w14:textId="45ED4679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>Projekt Tech</w:t>
            </w:r>
            <w:r w:rsidR="004747DB" w:rsidRPr="0019047B">
              <w:rPr>
                <w:rFonts w:ascii="Arial" w:hAnsi="Arial" w:cs="Arial"/>
              </w:rPr>
              <w:t xml:space="preserve">nologiczny </w:t>
            </w:r>
            <w:r w:rsidR="00E128A0" w:rsidRPr="0019047B">
              <w:rPr>
                <w:rFonts w:ascii="Arial" w:hAnsi="Arial" w:cs="Arial"/>
              </w:rPr>
              <w:t xml:space="preserve">wraz z Regulaminem </w:t>
            </w:r>
            <w:r w:rsidR="004747DB" w:rsidRPr="0019047B">
              <w:rPr>
                <w:rFonts w:ascii="Arial" w:hAnsi="Arial" w:cs="Arial"/>
              </w:rPr>
              <w:t xml:space="preserve">bezpieczeństwa </w:t>
            </w:r>
            <w:r w:rsidR="00A42DD9" w:rsidRPr="0019047B">
              <w:rPr>
                <w:rFonts w:ascii="Arial" w:hAnsi="Arial" w:cs="Arial"/>
              </w:rPr>
              <w:br/>
            </w:r>
            <w:r w:rsidR="004747DB" w:rsidRPr="0019047B">
              <w:rPr>
                <w:rFonts w:ascii="Arial" w:hAnsi="Arial" w:cs="Arial"/>
              </w:rPr>
              <w:t xml:space="preserve">i użytkowania 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3A3BF646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8 -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46340758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4747DB" w:rsidRPr="0019047B">
              <w:rPr>
                <w:rFonts w:ascii="Arial" w:hAnsi="Arial" w:cs="Arial"/>
                <w:b/>
              </w:rPr>
              <w:t>9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4F1FC5B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6E25FBA1" w:rsidR="00AA6B33" w:rsidRPr="0019047B" w:rsidRDefault="00AA6B33" w:rsidP="004747D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</w:t>
            </w:r>
            <w:r w:rsidR="004747DB" w:rsidRPr="0019047B">
              <w:rPr>
                <w:rFonts w:ascii="Arial" w:hAnsi="Arial" w:cs="Arial"/>
                <w:b/>
              </w:rPr>
              <w:t>0</w:t>
            </w:r>
            <w:r w:rsidRPr="0019047B">
              <w:rPr>
                <w:rFonts w:ascii="Arial" w:hAnsi="Arial" w:cs="Arial"/>
                <w:b/>
              </w:rPr>
              <w:t xml:space="preserve">- </w:t>
            </w:r>
          </w:p>
        </w:tc>
        <w:tc>
          <w:tcPr>
            <w:tcW w:w="7698" w:type="dxa"/>
          </w:tcPr>
          <w:p w14:paraId="71B67754" w14:textId="15F4677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……………..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448D5CEB" w14:textId="77777777" w:rsidR="00AA6B33" w:rsidRPr="0019047B" w:rsidRDefault="00AA6B33" w:rsidP="00761A84">
      <w:pPr>
        <w:rPr>
          <w:rFonts w:ascii="Arial" w:hAnsi="Arial" w:cs="Arial"/>
        </w:rPr>
      </w:pPr>
    </w:p>
    <w:p w14:paraId="7C1490B5" w14:textId="77777777" w:rsidR="00E128A0" w:rsidRPr="0019047B" w:rsidRDefault="00E128A0" w:rsidP="00761A84">
      <w:pPr>
        <w:rPr>
          <w:rFonts w:ascii="Arial" w:hAnsi="Arial" w:cs="Arial"/>
        </w:rPr>
      </w:pPr>
    </w:p>
    <w:p w14:paraId="36407A57" w14:textId="77777777" w:rsidR="00E128A0" w:rsidRPr="0019047B" w:rsidRDefault="00E128A0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DCA3" w14:textId="77777777" w:rsidR="004D0E7E" w:rsidRDefault="004D0E7E">
      <w:r>
        <w:separator/>
      </w:r>
    </w:p>
  </w:endnote>
  <w:endnote w:type="continuationSeparator" w:id="0">
    <w:p w14:paraId="3F5492DE" w14:textId="77777777" w:rsidR="004D0E7E" w:rsidRDefault="004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252E" w14:textId="77777777" w:rsidR="004D0E7E" w:rsidRDefault="004D0E7E">
      <w:r>
        <w:separator/>
      </w:r>
    </w:p>
  </w:footnote>
  <w:footnote w:type="continuationSeparator" w:id="0">
    <w:p w14:paraId="5978A785" w14:textId="77777777" w:rsidR="004D0E7E" w:rsidRDefault="004D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7628C6F6" w:rsidR="00885FE1" w:rsidRPr="0017722D" w:rsidRDefault="004D0E7E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812A92" w:rsidRPr="00812A92">
          <w:rPr>
            <w:rFonts w:ascii="Arial" w:hAnsi="Arial" w:cs="Arial"/>
            <w:noProof/>
            <w:sz w:val="22"/>
            <w:szCs w:val="22"/>
            <w:lang w:val="pl-PL"/>
          </w:rPr>
          <w:t>2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5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1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23"/>
  </w:num>
  <w:num w:numId="10">
    <w:abstractNumId w:val="27"/>
  </w:num>
  <w:num w:numId="11">
    <w:abstractNumId w:val="26"/>
  </w:num>
  <w:num w:numId="12">
    <w:abstractNumId w:val="20"/>
  </w:num>
  <w:num w:numId="13">
    <w:abstractNumId w:val="11"/>
  </w:num>
  <w:num w:numId="14">
    <w:abstractNumId w:val="22"/>
  </w:num>
  <w:num w:numId="15">
    <w:abstractNumId w:val="14"/>
  </w:num>
  <w:num w:numId="16">
    <w:abstractNumId w:val="12"/>
  </w:num>
  <w:num w:numId="17">
    <w:abstractNumId w:val="9"/>
  </w:num>
  <w:num w:numId="18">
    <w:abstractNumId w:val="17"/>
  </w:num>
  <w:num w:numId="19">
    <w:abstractNumId w:val="6"/>
  </w:num>
  <w:num w:numId="20">
    <w:abstractNumId w:val="1"/>
  </w:num>
  <w:num w:numId="21">
    <w:abstractNumId w:val="3"/>
  </w:num>
  <w:num w:numId="22">
    <w:abstractNumId w:val="25"/>
  </w:num>
  <w:num w:numId="23">
    <w:abstractNumId w:val="7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488E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0472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7E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0D7F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3E3E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A92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402C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0A23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3BC4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4F9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6768C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2EF"/>
    <w:rsid w:val="00F61628"/>
    <w:rsid w:val="00F620C3"/>
    <w:rsid w:val="00F62226"/>
    <w:rsid w:val="00F63141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6B88-5477-4A86-BC30-2F4EED528F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DC63ED-669E-43D6-9F23-663BF184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3203</Words>
  <Characters>19220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Krupiński Bogumił</cp:lastModifiedBy>
  <cp:revision>8</cp:revision>
  <cp:lastPrinted>2022-12-20T12:42:00Z</cp:lastPrinted>
  <dcterms:created xsi:type="dcterms:W3CDTF">2022-12-20T12:35:00Z</dcterms:created>
  <dcterms:modified xsi:type="dcterms:W3CDTF">2023-05-31T07:24:00Z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2b05f0a1-bf2f-4ca4-b1e2-414cb7d988ef</vt:lpwstr>
  </op:property>
  <op:property fmtid="{D5CDD505-2E9C-101B-9397-08002B2CF9AE}" pid="3" name="bjSaver">
    <vt:lpwstr>M4sdTBGg7R81JBXcvAYlLD5ieSZk+nNk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ClsUserRVM">
    <vt:lpwstr>[]</vt:lpwstr>
  </op:property>
  <op:property fmtid="{D5CDD505-2E9C-101B-9397-08002B2CF9AE}" pid="8" name="bjPortionMark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