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78" w:type="dxa"/>
        <w:tblInd w:w="-180" w:type="dxa"/>
        <w:tblLayout w:type="fixed"/>
        <w:tblCellMar>
          <w:left w:w="0" w:type="dxa"/>
          <w:right w:w="0" w:type="dxa"/>
        </w:tblCellMar>
        <w:tblLook w:val="0000" w:firstRow="0" w:lastRow="0" w:firstColumn="0" w:lastColumn="0" w:noHBand="0" w:noVBand="0"/>
      </w:tblPr>
      <w:tblGrid>
        <w:gridCol w:w="5400"/>
        <w:gridCol w:w="4278"/>
      </w:tblGrid>
      <w:tr w:rsidR="00B110E7" w:rsidRPr="002E2D1F" w14:paraId="6362210A" w14:textId="77777777">
        <w:tc>
          <w:tcPr>
            <w:tcW w:w="5400" w:type="dxa"/>
          </w:tcPr>
          <w:p w14:paraId="042AE439" w14:textId="77777777" w:rsidR="00B110E7" w:rsidRPr="002E2D1F" w:rsidRDefault="007A65C6" w:rsidP="002E2D1F">
            <w:pPr>
              <w:pStyle w:val="Bezodstpw"/>
              <w:rPr>
                <w:rFonts w:asciiTheme="minorHAnsi" w:hAnsiTheme="minorHAnsi" w:cstheme="minorHAnsi"/>
              </w:rPr>
            </w:pPr>
            <w:r w:rsidRPr="002E2D1F">
              <w:rPr>
                <w:rFonts w:asciiTheme="minorHAnsi" w:hAnsiTheme="minorHAnsi" w:cstheme="minorHAnsi"/>
              </w:rPr>
              <w:t xml:space="preserve"> </w:t>
            </w:r>
            <w:r w:rsidR="00BB359E" w:rsidRPr="002E2D1F">
              <w:rPr>
                <w:rFonts w:asciiTheme="minorHAnsi" w:hAnsiTheme="minorHAnsi" w:cstheme="minorHAnsi"/>
                <w:noProof/>
              </w:rPr>
              <w:object w:dxaOrig="641" w:dyaOrig="721" w14:anchorId="7EDBAB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pt;height:40.5pt;mso-width-percent:0;mso-height-percent:0;mso-width-percent:0;mso-height-percent:0" o:ole="" fillcolor="window">
                  <v:imagedata r:id="rId8" o:title=""/>
                </v:shape>
                <o:OLEObject Type="Embed" ProgID="Word.Picture.8" ShapeID="_x0000_i1025" DrawAspect="Content" ObjectID="_1751194320" r:id="rId9"/>
              </w:object>
            </w:r>
          </w:p>
          <w:p w14:paraId="7C820C69" w14:textId="77777777" w:rsidR="00B110E7" w:rsidRPr="002E2D1F" w:rsidRDefault="00B110E7" w:rsidP="002E2D1F">
            <w:pPr>
              <w:pStyle w:val="Bezodstpw"/>
              <w:rPr>
                <w:rFonts w:asciiTheme="minorHAnsi" w:hAnsiTheme="minorHAnsi" w:cstheme="minorHAnsi"/>
              </w:rPr>
            </w:pPr>
          </w:p>
          <w:p w14:paraId="35D8A801" w14:textId="77777777" w:rsidR="00B110E7" w:rsidRPr="002E2D1F" w:rsidRDefault="00B110E7" w:rsidP="002E2D1F">
            <w:pPr>
              <w:pStyle w:val="Bezodstpw"/>
              <w:rPr>
                <w:rFonts w:asciiTheme="minorHAnsi" w:hAnsiTheme="minorHAnsi" w:cstheme="minorHAnsi"/>
              </w:rPr>
            </w:pPr>
          </w:p>
        </w:tc>
        <w:tc>
          <w:tcPr>
            <w:tcW w:w="4278" w:type="dxa"/>
          </w:tcPr>
          <w:p w14:paraId="53B1EF07" w14:textId="77777777" w:rsidR="00B110E7" w:rsidRPr="002E2D1F" w:rsidRDefault="00B110E7" w:rsidP="002E2D1F">
            <w:pPr>
              <w:pStyle w:val="Bezodstpw"/>
              <w:rPr>
                <w:rFonts w:asciiTheme="minorHAnsi" w:hAnsiTheme="minorHAnsi" w:cstheme="minorHAnsi"/>
              </w:rPr>
            </w:pPr>
          </w:p>
          <w:p w14:paraId="6C2BB003" w14:textId="77777777" w:rsidR="00B110E7" w:rsidRPr="002E2D1F" w:rsidRDefault="00B110E7" w:rsidP="002E2D1F">
            <w:pPr>
              <w:pStyle w:val="Bezodstpw"/>
              <w:rPr>
                <w:rFonts w:asciiTheme="minorHAnsi" w:hAnsiTheme="minorHAnsi" w:cstheme="minorHAnsi"/>
              </w:rPr>
            </w:pPr>
          </w:p>
          <w:p w14:paraId="630C6670" w14:textId="77777777" w:rsidR="00B110E7" w:rsidRPr="002E2D1F" w:rsidRDefault="00B110E7" w:rsidP="002E2D1F">
            <w:pPr>
              <w:pStyle w:val="Bezodstpw"/>
              <w:rPr>
                <w:rFonts w:asciiTheme="minorHAnsi" w:hAnsiTheme="minorHAnsi" w:cstheme="minorHAnsi"/>
              </w:rPr>
            </w:pPr>
          </w:p>
          <w:p w14:paraId="6DC2C08F" w14:textId="2D831EA2" w:rsidR="00B110E7" w:rsidRPr="002E2D1F" w:rsidRDefault="00B110E7" w:rsidP="002E2D1F">
            <w:pPr>
              <w:pStyle w:val="Bezodstpw"/>
              <w:rPr>
                <w:rFonts w:asciiTheme="minorHAnsi" w:hAnsiTheme="minorHAnsi" w:cstheme="minorHAnsi"/>
              </w:rPr>
            </w:pPr>
          </w:p>
        </w:tc>
      </w:tr>
    </w:tbl>
    <w:p w14:paraId="45865486" w14:textId="4A796C5F" w:rsidR="00694743" w:rsidRPr="002E2D1F" w:rsidRDefault="00694743" w:rsidP="002E2D1F">
      <w:pPr>
        <w:pStyle w:val="Bezodstpw"/>
        <w:rPr>
          <w:rFonts w:asciiTheme="minorHAnsi" w:hAnsiTheme="minorHAnsi" w:cstheme="minorHAnsi"/>
          <w:smallCaps/>
        </w:rPr>
      </w:pPr>
      <w:r w:rsidRPr="002E2D1F">
        <w:rPr>
          <w:rFonts w:asciiTheme="minorHAnsi" w:hAnsiTheme="minorHAnsi" w:cstheme="minorHAnsi"/>
          <w:smallCaps/>
        </w:rPr>
        <w:t>Generalny Dyrektor Ochrony Środowiska</w:t>
      </w:r>
    </w:p>
    <w:p w14:paraId="63407FB5" w14:textId="698C5AC1" w:rsidR="00694743" w:rsidRPr="002E2D1F" w:rsidRDefault="00694743" w:rsidP="002E2D1F">
      <w:pPr>
        <w:pStyle w:val="Bezodstpw"/>
        <w:rPr>
          <w:rFonts w:asciiTheme="minorHAnsi" w:hAnsiTheme="minorHAnsi" w:cstheme="minorHAnsi"/>
        </w:rPr>
      </w:pPr>
      <w:r w:rsidRPr="002E2D1F">
        <w:rPr>
          <w:rFonts w:asciiTheme="minorHAnsi" w:hAnsiTheme="minorHAnsi" w:cstheme="minorHAnsi"/>
        </w:rPr>
        <w:t>Warszawa, dnia 17.02.202</w:t>
      </w:r>
      <w:r w:rsidR="002E2D1F" w:rsidRPr="002E2D1F">
        <w:rPr>
          <w:rFonts w:asciiTheme="minorHAnsi" w:hAnsiTheme="minorHAnsi" w:cstheme="minorHAnsi"/>
        </w:rPr>
        <w:t>1</w:t>
      </w:r>
      <w:r w:rsidRPr="002E2D1F">
        <w:rPr>
          <w:rFonts w:asciiTheme="minorHAnsi" w:hAnsiTheme="minorHAnsi" w:cstheme="minorHAnsi"/>
        </w:rPr>
        <w:t xml:space="preserve"> r.</w:t>
      </w:r>
    </w:p>
    <w:p w14:paraId="3C7A73F7" w14:textId="3B630F63" w:rsidR="00D874EB" w:rsidRPr="002E2D1F" w:rsidRDefault="00E9101D" w:rsidP="002E2D1F">
      <w:pPr>
        <w:pStyle w:val="Bezodstpw"/>
        <w:rPr>
          <w:rFonts w:asciiTheme="minorHAnsi" w:hAnsiTheme="minorHAnsi" w:cstheme="minorHAnsi"/>
        </w:rPr>
      </w:pPr>
      <w:r w:rsidRPr="002E2D1F">
        <w:rPr>
          <w:rFonts w:asciiTheme="minorHAnsi" w:hAnsiTheme="minorHAnsi" w:cstheme="minorHAnsi"/>
        </w:rPr>
        <w:t>DOOŚ-WDŚ/ZIL.420.237.2019.EK</w:t>
      </w:r>
      <w:r w:rsidR="00D742A4" w:rsidRPr="002E2D1F">
        <w:rPr>
          <w:rFonts w:asciiTheme="minorHAnsi" w:hAnsiTheme="minorHAnsi" w:cstheme="minorHAnsi"/>
        </w:rPr>
        <w:t>.</w:t>
      </w:r>
      <w:r w:rsidR="004F2C2F" w:rsidRPr="002E2D1F">
        <w:rPr>
          <w:rFonts w:asciiTheme="minorHAnsi" w:hAnsiTheme="minorHAnsi" w:cstheme="minorHAnsi"/>
        </w:rPr>
        <w:t>40</w:t>
      </w:r>
    </w:p>
    <w:p w14:paraId="10FCDF07" w14:textId="6AEA58F1" w:rsidR="00AD054E" w:rsidRPr="002E2D1F" w:rsidRDefault="004D28D3" w:rsidP="002E2D1F">
      <w:pPr>
        <w:pStyle w:val="Bezodstpw"/>
        <w:rPr>
          <w:rFonts w:asciiTheme="minorHAnsi" w:hAnsiTheme="minorHAnsi" w:cstheme="minorHAnsi"/>
        </w:rPr>
      </w:pPr>
      <w:r w:rsidRPr="002E2D1F">
        <w:rPr>
          <w:rFonts w:asciiTheme="minorHAnsi" w:hAnsiTheme="minorHAnsi" w:cstheme="minorHAnsi"/>
        </w:rPr>
        <w:t>DECYZJA</w:t>
      </w:r>
    </w:p>
    <w:p w14:paraId="45223E86" w14:textId="625209ED" w:rsidR="00D874EB" w:rsidRPr="002E2D1F" w:rsidRDefault="00BF3551" w:rsidP="002E2D1F">
      <w:pPr>
        <w:pStyle w:val="Bezodstpw"/>
        <w:rPr>
          <w:rFonts w:asciiTheme="minorHAnsi" w:hAnsiTheme="minorHAnsi" w:cstheme="minorHAnsi"/>
        </w:rPr>
      </w:pPr>
      <w:r w:rsidRPr="002E2D1F">
        <w:rPr>
          <w:rFonts w:asciiTheme="minorHAnsi" w:hAnsiTheme="minorHAnsi" w:cstheme="minorHAnsi"/>
        </w:rPr>
        <w:t>Na podstawie art. 1</w:t>
      </w:r>
      <w:r w:rsidR="00763BB9" w:rsidRPr="002E2D1F">
        <w:rPr>
          <w:rFonts w:asciiTheme="minorHAnsi" w:hAnsiTheme="minorHAnsi" w:cstheme="minorHAnsi"/>
        </w:rPr>
        <w:t xml:space="preserve">51 </w:t>
      </w:r>
      <w:r w:rsidRPr="002E2D1F">
        <w:rPr>
          <w:rFonts w:asciiTheme="minorHAnsi" w:hAnsiTheme="minorHAnsi" w:cstheme="minorHAnsi"/>
        </w:rPr>
        <w:t>§ 1</w:t>
      </w:r>
      <w:r w:rsidR="00AD054E" w:rsidRPr="002E2D1F">
        <w:rPr>
          <w:rFonts w:asciiTheme="minorHAnsi" w:hAnsiTheme="minorHAnsi" w:cstheme="minorHAnsi"/>
        </w:rPr>
        <w:t xml:space="preserve"> </w:t>
      </w:r>
      <w:r w:rsidR="00F95FD9" w:rsidRPr="002E2D1F">
        <w:rPr>
          <w:rFonts w:asciiTheme="minorHAnsi" w:hAnsiTheme="minorHAnsi" w:cstheme="minorHAnsi"/>
        </w:rPr>
        <w:t xml:space="preserve">pkt 1 </w:t>
      </w:r>
      <w:r w:rsidR="00763BB9" w:rsidRPr="002E2D1F">
        <w:rPr>
          <w:rFonts w:asciiTheme="minorHAnsi" w:hAnsiTheme="minorHAnsi" w:cstheme="minorHAnsi"/>
        </w:rPr>
        <w:t xml:space="preserve">w związku z art. </w:t>
      </w:r>
      <w:bookmarkStart w:id="0" w:name="_Hlk90454843"/>
      <w:r w:rsidR="00763BB9" w:rsidRPr="002E2D1F">
        <w:rPr>
          <w:rFonts w:asciiTheme="minorHAnsi" w:hAnsiTheme="minorHAnsi" w:cstheme="minorHAnsi"/>
        </w:rPr>
        <w:t xml:space="preserve">145 </w:t>
      </w:r>
      <w:r w:rsidR="00AD054E" w:rsidRPr="002E2D1F">
        <w:rPr>
          <w:rFonts w:asciiTheme="minorHAnsi" w:hAnsiTheme="minorHAnsi" w:cstheme="minorHAnsi"/>
        </w:rPr>
        <w:t xml:space="preserve">§ </w:t>
      </w:r>
      <w:r w:rsidR="00A27BA7" w:rsidRPr="002E2D1F">
        <w:rPr>
          <w:rFonts w:asciiTheme="minorHAnsi" w:hAnsiTheme="minorHAnsi" w:cstheme="minorHAnsi"/>
        </w:rPr>
        <w:t>1 pkt 5</w:t>
      </w:r>
      <w:r w:rsidR="00AD054E" w:rsidRPr="002E2D1F">
        <w:rPr>
          <w:rFonts w:asciiTheme="minorHAnsi" w:hAnsiTheme="minorHAnsi" w:cstheme="minorHAnsi"/>
        </w:rPr>
        <w:t xml:space="preserve"> </w:t>
      </w:r>
      <w:bookmarkEnd w:id="0"/>
      <w:r w:rsidR="0085331E" w:rsidRPr="002E2D1F">
        <w:rPr>
          <w:rFonts w:asciiTheme="minorHAnsi" w:hAnsiTheme="minorHAnsi" w:cstheme="minorHAnsi"/>
        </w:rPr>
        <w:t>ustawy</w:t>
      </w:r>
      <w:r w:rsidR="00FA152F" w:rsidRPr="002E2D1F">
        <w:rPr>
          <w:rFonts w:asciiTheme="minorHAnsi" w:hAnsiTheme="minorHAnsi" w:cstheme="minorHAnsi"/>
        </w:rPr>
        <w:t xml:space="preserve"> z dnia 14 czerwca 1960 r.</w:t>
      </w:r>
      <w:r w:rsidRPr="002E2D1F">
        <w:rPr>
          <w:rFonts w:asciiTheme="minorHAnsi" w:hAnsiTheme="minorHAnsi" w:cstheme="minorHAnsi"/>
        </w:rPr>
        <w:t xml:space="preserve"> </w:t>
      </w:r>
      <w:r w:rsidR="005B6000" w:rsidRPr="002E2D1F">
        <w:rPr>
          <w:rFonts w:asciiTheme="minorHAnsi" w:hAnsiTheme="minorHAnsi" w:cstheme="minorHAnsi"/>
        </w:rPr>
        <w:t xml:space="preserve">- </w:t>
      </w:r>
      <w:r w:rsidRPr="002E2D1F">
        <w:rPr>
          <w:rFonts w:asciiTheme="minorHAnsi" w:hAnsiTheme="minorHAnsi" w:cstheme="minorHAnsi"/>
        </w:rPr>
        <w:t>Kodeks postępowania administracyjnego (Dz. U. 20</w:t>
      </w:r>
      <w:r w:rsidR="007718A0" w:rsidRPr="002E2D1F">
        <w:rPr>
          <w:rFonts w:asciiTheme="minorHAnsi" w:hAnsiTheme="minorHAnsi" w:cstheme="minorHAnsi"/>
        </w:rPr>
        <w:t>21 r.</w:t>
      </w:r>
      <w:r w:rsidRPr="002E2D1F">
        <w:rPr>
          <w:rFonts w:asciiTheme="minorHAnsi" w:hAnsiTheme="minorHAnsi" w:cstheme="minorHAnsi"/>
        </w:rPr>
        <w:t xml:space="preserve"> poz.</w:t>
      </w:r>
      <w:r w:rsidR="00C6249A" w:rsidRPr="002E2D1F">
        <w:rPr>
          <w:rFonts w:asciiTheme="minorHAnsi" w:hAnsiTheme="minorHAnsi" w:cstheme="minorHAnsi"/>
        </w:rPr>
        <w:t xml:space="preserve"> </w:t>
      </w:r>
      <w:r w:rsidR="007718A0" w:rsidRPr="002E2D1F">
        <w:rPr>
          <w:rFonts w:asciiTheme="minorHAnsi" w:hAnsiTheme="minorHAnsi" w:cstheme="minorHAnsi"/>
        </w:rPr>
        <w:t>735</w:t>
      </w:r>
      <w:r w:rsidR="00C86725" w:rsidRPr="002E2D1F">
        <w:rPr>
          <w:rFonts w:asciiTheme="minorHAnsi" w:hAnsiTheme="minorHAnsi" w:cstheme="minorHAnsi"/>
        </w:rPr>
        <w:t>,</w:t>
      </w:r>
      <w:r w:rsidRPr="002E2D1F">
        <w:rPr>
          <w:rFonts w:asciiTheme="minorHAnsi" w:hAnsiTheme="minorHAnsi" w:cstheme="minorHAnsi"/>
        </w:rPr>
        <w:t xml:space="preserve"> </w:t>
      </w:r>
      <w:r w:rsidR="00A17949" w:rsidRPr="002E2D1F">
        <w:rPr>
          <w:rFonts w:asciiTheme="minorHAnsi" w:hAnsiTheme="minorHAnsi" w:cstheme="minorHAnsi"/>
        </w:rPr>
        <w:t>z</w:t>
      </w:r>
      <w:r w:rsidR="00DC3980" w:rsidRPr="002E2D1F">
        <w:rPr>
          <w:rFonts w:asciiTheme="minorHAnsi" w:hAnsiTheme="minorHAnsi" w:cstheme="minorHAnsi"/>
        </w:rPr>
        <w:t>e zm.),</w:t>
      </w:r>
      <w:r w:rsidR="009F5CBA" w:rsidRPr="002E2D1F">
        <w:rPr>
          <w:rFonts w:asciiTheme="minorHAnsi" w:hAnsiTheme="minorHAnsi" w:cstheme="minorHAnsi"/>
        </w:rPr>
        <w:t xml:space="preserve"> dalej Kpa,</w:t>
      </w:r>
      <w:r w:rsidR="00DC3980" w:rsidRPr="002E2D1F">
        <w:rPr>
          <w:rFonts w:asciiTheme="minorHAnsi" w:hAnsiTheme="minorHAnsi" w:cstheme="minorHAnsi"/>
        </w:rPr>
        <w:t xml:space="preserve"> po</w:t>
      </w:r>
      <w:r w:rsidR="009F5CBA" w:rsidRPr="002E2D1F">
        <w:rPr>
          <w:rFonts w:asciiTheme="minorHAnsi" w:hAnsiTheme="minorHAnsi" w:cstheme="minorHAnsi"/>
        </w:rPr>
        <w:t xml:space="preserve"> przeprowadzeniu</w:t>
      </w:r>
      <w:r w:rsidR="00BA2ADC" w:rsidRPr="002E2D1F">
        <w:rPr>
          <w:rFonts w:asciiTheme="minorHAnsi" w:hAnsiTheme="minorHAnsi" w:cstheme="minorHAnsi"/>
        </w:rPr>
        <w:t xml:space="preserve"> wznowionego</w:t>
      </w:r>
      <w:r w:rsidR="004D28D3" w:rsidRPr="002E2D1F">
        <w:rPr>
          <w:rFonts w:asciiTheme="minorHAnsi" w:hAnsiTheme="minorHAnsi" w:cstheme="minorHAnsi"/>
        </w:rPr>
        <w:t xml:space="preserve"> z urzędu </w:t>
      </w:r>
      <w:r w:rsidR="00BA2ADC" w:rsidRPr="002E2D1F">
        <w:rPr>
          <w:rFonts w:asciiTheme="minorHAnsi" w:hAnsiTheme="minorHAnsi" w:cstheme="minorHAnsi"/>
        </w:rPr>
        <w:t xml:space="preserve">postępowania </w:t>
      </w:r>
      <w:r w:rsidR="00C86725" w:rsidRPr="002E2D1F">
        <w:rPr>
          <w:rFonts w:asciiTheme="minorHAnsi" w:hAnsiTheme="minorHAnsi" w:cstheme="minorHAnsi"/>
        </w:rPr>
        <w:t xml:space="preserve">co do przyczyn wznowienia </w:t>
      </w:r>
      <w:r w:rsidR="00503385" w:rsidRPr="002E2D1F">
        <w:rPr>
          <w:rFonts w:asciiTheme="minorHAnsi" w:hAnsiTheme="minorHAnsi" w:cstheme="minorHAnsi"/>
        </w:rPr>
        <w:t xml:space="preserve">w </w:t>
      </w:r>
      <w:r w:rsidR="00BA2ADC" w:rsidRPr="002E2D1F">
        <w:rPr>
          <w:rFonts w:asciiTheme="minorHAnsi" w:hAnsiTheme="minorHAnsi" w:cstheme="minorHAnsi"/>
        </w:rPr>
        <w:t xml:space="preserve">sprawie </w:t>
      </w:r>
      <w:r w:rsidR="00C86725" w:rsidRPr="002E2D1F">
        <w:rPr>
          <w:rFonts w:asciiTheme="minorHAnsi" w:hAnsiTheme="minorHAnsi" w:cstheme="minorHAnsi"/>
        </w:rPr>
        <w:t>zakończonej ostateczną decyzją Generalnego Dyrektora Ochrony Środowiska z dnia 16 maja 2016 r., znak: DOOŚoaII.4200.24.2015.EK.7, uchylającą w części i orzekającej w tym zakresie, a w pozostałym zakresie utrzymującą w mocy decyzję Regionalnego Dyrektora Ochrony Środowiska we Wrocławiu z dnia 30 września 2015 r., znak: WOOŚ.4233.8.2013.ŁCK.54, o środowiskowych uwarunkowaniach realizacji inwestycji pod nazwą: „Budowa suchego zbiornika Szalejów Górny na rzece Bystrzycy Dusznickiej”,</w:t>
      </w:r>
    </w:p>
    <w:p w14:paraId="58EEBDD6" w14:textId="0053B573" w:rsidR="00EE7830" w:rsidRPr="002E2D1F" w:rsidRDefault="002241AA" w:rsidP="002E2D1F">
      <w:pPr>
        <w:pStyle w:val="Bezodstpw"/>
        <w:rPr>
          <w:rFonts w:asciiTheme="minorHAnsi" w:hAnsiTheme="minorHAnsi" w:cstheme="minorHAnsi"/>
        </w:rPr>
      </w:pPr>
      <w:r w:rsidRPr="002E2D1F">
        <w:rPr>
          <w:rFonts w:asciiTheme="minorHAnsi" w:hAnsiTheme="minorHAnsi" w:cstheme="minorHAnsi"/>
        </w:rPr>
        <w:t xml:space="preserve">odmawiam uchylenia </w:t>
      </w:r>
      <w:r w:rsidR="00C86725" w:rsidRPr="002E2D1F">
        <w:rPr>
          <w:rFonts w:asciiTheme="minorHAnsi" w:hAnsiTheme="minorHAnsi" w:cstheme="minorHAnsi"/>
        </w:rPr>
        <w:t xml:space="preserve">dotychczasowej </w:t>
      </w:r>
      <w:r w:rsidR="009F5CBA" w:rsidRPr="002E2D1F">
        <w:rPr>
          <w:rFonts w:asciiTheme="minorHAnsi" w:hAnsiTheme="minorHAnsi" w:cstheme="minorHAnsi"/>
        </w:rPr>
        <w:t xml:space="preserve">decyzji </w:t>
      </w:r>
      <w:r w:rsidR="00BD46CD" w:rsidRPr="002E2D1F">
        <w:rPr>
          <w:rFonts w:asciiTheme="minorHAnsi" w:hAnsiTheme="minorHAnsi" w:cstheme="minorHAnsi"/>
        </w:rPr>
        <w:t>ostatec</w:t>
      </w:r>
      <w:r w:rsidR="009F5CBA" w:rsidRPr="002E2D1F">
        <w:rPr>
          <w:rFonts w:asciiTheme="minorHAnsi" w:hAnsiTheme="minorHAnsi" w:cstheme="minorHAnsi"/>
        </w:rPr>
        <w:t>znej</w:t>
      </w:r>
      <w:r w:rsidR="004D28D3" w:rsidRPr="002E2D1F">
        <w:rPr>
          <w:rFonts w:asciiTheme="minorHAnsi" w:hAnsiTheme="minorHAnsi" w:cstheme="minorHAnsi"/>
        </w:rPr>
        <w:t>.</w:t>
      </w:r>
    </w:p>
    <w:p w14:paraId="41C43697" w14:textId="2664A2EB" w:rsidR="00EE7830" w:rsidRPr="002E2D1F" w:rsidRDefault="004D28D3" w:rsidP="002E2D1F">
      <w:pPr>
        <w:pStyle w:val="Bezodstpw"/>
        <w:rPr>
          <w:rFonts w:asciiTheme="minorHAnsi" w:hAnsiTheme="minorHAnsi" w:cstheme="minorHAnsi"/>
        </w:rPr>
      </w:pPr>
      <w:r w:rsidRPr="002E2D1F">
        <w:rPr>
          <w:rFonts w:asciiTheme="minorHAnsi" w:hAnsiTheme="minorHAnsi" w:cstheme="minorHAnsi"/>
        </w:rPr>
        <w:t>UZASADNIENIE</w:t>
      </w:r>
    </w:p>
    <w:p w14:paraId="36373500" w14:textId="6E9C691F" w:rsidR="00D634CB" w:rsidRPr="002E2D1F" w:rsidRDefault="007C27B2" w:rsidP="002E2D1F">
      <w:pPr>
        <w:pStyle w:val="Bezodstpw"/>
        <w:rPr>
          <w:rFonts w:asciiTheme="minorHAnsi" w:hAnsiTheme="minorHAnsi" w:cstheme="minorHAnsi"/>
        </w:rPr>
      </w:pPr>
      <w:r w:rsidRPr="002E2D1F">
        <w:rPr>
          <w:rFonts w:asciiTheme="minorHAnsi" w:hAnsiTheme="minorHAnsi" w:cstheme="minorHAnsi"/>
        </w:rPr>
        <w:t>Generalny Dyrektor Ochrony Środowiska</w:t>
      </w:r>
      <w:r w:rsidR="00BE44A3" w:rsidRPr="002E2D1F">
        <w:rPr>
          <w:rFonts w:asciiTheme="minorHAnsi" w:hAnsiTheme="minorHAnsi" w:cstheme="minorHAnsi"/>
        </w:rPr>
        <w:t>,</w:t>
      </w:r>
      <w:r w:rsidRPr="002E2D1F">
        <w:rPr>
          <w:rFonts w:asciiTheme="minorHAnsi" w:hAnsiTheme="minorHAnsi" w:cstheme="minorHAnsi"/>
        </w:rPr>
        <w:t xml:space="preserve"> </w:t>
      </w:r>
      <w:r w:rsidR="00BE44A3" w:rsidRPr="002E2D1F">
        <w:rPr>
          <w:rFonts w:asciiTheme="minorHAnsi" w:hAnsiTheme="minorHAnsi" w:cstheme="minorHAnsi"/>
        </w:rPr>
        <w:t xml:space="preserve">dalej GDOŚ, </w:t>
      </w:r>
      <w:r w:rsidR="00D634CB" w:rsidRPr="002E2D1F">
        <w:rPr>
          <w:rFonts w:asciiTheme="minorHAnsi" w:hAnsiTheme="minorHAnsi" w:cstheme="minorHAnsi"/>
        </w:rPr>
        <w:t>decyzją dnia 16 maja 2016 r., znak: DOOŚoaII.4200.24.2015.EK.7, uchylił w części i orzekł w tym zakresie, a w pozostałym zakresie utrzymał w mocy decyzję Regionalnego Dyrektora Ochrony Środowiska we Wrocławiu</w:t>
      </w:r>
      <w:r w:rsidR="00BE44A3" w:rsidRPr="002E2D1F">
        <w:rPr>
          <w:rFonts w:asciiTheme="minorHAnsi" w:hAnsiTheme="minorHAnsi" w:cstheme="minorHAnsi"/>
        </w:rPr>
        <w:t>, dalej RDOŚ we Wrocławiu,</w:t>
      </w:r>
      <w:r w:rsidR="00D634CB" w:rsidRPr="002E2D1F">
        <w:rPr>
          <w:rFonts w:asciiTheme="minorHAnsi" w:hAnsiTheme="minorHAnsi" w:cstheme="minorHAnsi"/>
        </w:rPr>
        <w:t xml:space="preserve"> z dnia 30 września 2015 r., znak: WOOŚ.4233.8.2013.ŁCK.54, o środowiskowych uwarunkowaniach dla inwestycji pod nazwą: „Budowa suchego zbiornika Szalejów Górny na rzece Bystrzycy Dusznickiej”.</w:t>
      </w:r>
    </w:p>
    <w:p w14:paraId="4E7169E4" w14:textId="3D90C096" w:rsidR="001E6252" w:rsidRPr="002E2D1F" w:rsidRDefault="001E6252" w:rsidP="002E2D1F">
      <w:pPr>
        <w:pStyle w:val="Bezodstpw"/>
        <w:rPr>
          <w:rFonts w:asciiTheme="minorHAnsi" w:hAnsiTheme="minorHAnsi" w:cstheme="minorHAnsi"/>
        </w:rPr>
      </w:pPr>
      <w:r w:rsidRPr="002E2D1F">
        <w:rPr>
          <w:rFonts w:asciiTheme="minorHAnsi" w:hAnsiTheme="minorHAnsi" w:cstheme="minorHAnsi"/>
        </w:rPr>
        <w:t>Pismem</w:t>
      </w:r>
      <w:r w:rsidR="00BE44A3" w:rsidRPr="002E2D1F">
        <w:rPr>
          <w:rFonts w:asciiTheme="minorHAnsi" w:hAnsiTheme="minorHAnsi" w:cstheme="minorHAnsi"/>
        </w:rPr>
        <w:t xml:space="preserve"> z dnia 4 września 2019 r. Stowarzyszenie Ekologiczne EKO-UNIA, reprezentowane przez </w:t>
      </w:r>
      <w:r w:rsidR="001174C1" w:rsidRPr="002E2D1F">
        <w:rPr>
          <w:rFonts w:asciiTheme="minorHAnsi" w:hAnsiTheme="minorHAnsi" w:cstheme="minorHAnsi"/>
        </w:rPr>
        <w:t>(…)</w:t>
      </w:r>
      <w:r w:rsidR="00BE44A3" w:rsidRPr="002E2D1F">
        <w:rPr>
          <w:rFonts w:asciiTheme="minorHAnsi" w:hAnsiTheme="minorHAnsi" w:cstheme="minorHAnsi"/>
        </w:rPr>
        <w:t xml:space="preserve">, wystąpiło do RDOŚ we Wrocławiu, na podstawie art. 31 § 1 pkt 1 Kpa, o wszczęcie z urzędu postępowania w przedmiocie wznowienia postępowania zakończonego decyzją GDOŚ z dnia 16 maja 2016 r. Stowarzyszenie, jako przesłankę wznowienia postępowania, wskazało art. 145 § 1 pkt 5 Kpa. </w:t>
      </w:r>
      <w:r w:rsidR="00D634CB" w:rsidRPr="002E2D1F">
        <w:rPr>
          <w:rFonts w:asciiTheme="minorHAnsi" w:hAnsiTheme="minorHAnsi" w:cstheme="minorHAnsi"/>
        </w:rPr>
        <w:t>Wniosek został przekazany wg właściwości do GDOŚ pismem RDOŚ we Wrocławiu z dnia 11 września 2019 r., znak: WOOŚ.4233.8.2013.ŁCK.64.</w:t>
      </w:r>
    </w:p>
    <w:p w14:paraId="18345DF0" w14:textId="5EA51771" w:rsidR="00D634CB" w:rsidRPr="002E2D1F" w:rsidRDefault="00D634CB" w:rsidP="002E2D1F">
      <w:pPr>
        <w:pStyle w:val="Bezodstpw"/>
        <w:rPr>
          <w:rFonts w:asciiTheme="minorHAnsi" w:hAnsiTheme="minorHAnsi" w:cstheme="minorHAnsi"/>
        </w:rPr>
      </w:pPr>
      <w:bookmarkStart w:id="1" w:name="_Hlk90458546"/>
      <w:r w:rsidRPr="002E2D1F">
        <w:rPr>
          <w:rFonts w:asciiTheme="minorHAnsi" w:hAnsiTheme="minorHAnsi" w:cstheme="minorHAnsi"/>
        </w:rPr>
        <w:t xml:space="preserve">Postanowieniem z dnia 13 grudnia 2019 r., </w:t>
      </w:r>
      <w:bookmarkEnd w:id="1"/>
      <w:r w:rsidRPr="002E2D1F">
        <w:rPr>
          <w:rFonts w:asciiTheme="minorHAnsi" w:hAnsiTheme="minorHAnsi" w:cstheme="minorHAnsi"/>
        </w:rPr>
        <w:t xml:space="preserve">znak: DOOŚ-WDŚ/ZIL.420.237.2019.EK, GDOŚ wznowił z urzędu postępowanie zakończone decyzją </w:t>
      </w:r>
      <w:r w:rsidR="001E6252" w:rsidRPr="002E2D1F">
        <w:rPr>
          <w:rFonts w:asciiTheme="minorHAnsi" w:hAnsiTheme="minorHAnsi" w:cstheme="minorHAnsi"/>
        </w:rPr>
        <w:t xml:space="preserve">ostateczną i tym samym przesądził o dopuszczeniu stowarzyszenia do udziału w nim jako organizacji społecznej. </w:t>
      </w:r>
    </w:p>
    <w:p w14:paraId="78A806B8" w14:textId="1ED2B306" w:rsidR="000A6BFA" w:rsidRPr="002E2D1F" w:rsidRDefault="00D634CB" w:rsidP="002E2D1F">
      <w:pPr>
        <w:pStyle w:val="Bezodstpw"/>
        <w:rPr>
          <w:rFonts w:asciiTheme="minorHAnsi" w:hAnsiTheme="minorHAnsi" w:cstheme="minorHAnsi"/>
        </w:rPr>
      </w:pPr>
      <w:r w:rsidRPr="002E2D1F">
        <w:rPr>
          <w:rFonts w:asciiTheme="minorHAnsi" w:hAnsiTheme="minorHAnsi" w:cstheme="minorHAnsi"/>
        </w:rPr>
        <w:t xml:space="preserve">W piśmie z dnia </w:t>
      </w:r>
      <w:bookmarkStart w:id="2" w:name="_Hlk90453743"/>
      <w:r w:rsidRPr="002E2D1F">
        <w:rPr>
          <w:rFonts w:asciiTheme="minorHAnsi" w:hAnsiTheme="minorHAnsi" w:cstheme="minorHAnsi"/>
        </w:rPr>
        <w:t xml:space="preserve">4 września 2019 r. </w:t>
      </w:r>
      <w:bookmarkEnd w:id="2"/>
      <w:r w:rsidRPr="002E2D1F">
        <w:rPr>
          <w:rFonts w:asciiTheme="minorHAnsi" w:hAnsiTheme="minorHAnsi" w:cstheme="minorHAnsi"/>
        </w:rPr>
        <w:t xml:space="preserve">stowarzyszenie zawarło obok żądania wszczęcia postępowania wznowieniowego także żądanie wstrzymania wykonania decyzji </w:t>
      </w:r>
      <w:r w:rsidR="001E6252" w:rsidRPr="002E2D1F">
        <w:rPr>
          <w:rFonts w:asciiTheme="minorHAnsi" w:hAnsiTheme="minorHAnsi" w:cstheme="minorHAnsi"/>
        </w:rPr>
        <w:t>o środowiskowych uwarunkowaniach ukształtowanej rozstrzygnięciami organów obydwu instancji</w:t>
      </w:r>
      <w:r w:rsidRPr="002E2D1F">
        <w:rPr>
          <w:rFonts w:asciiTheme="minorHAnsi" w:hAnsiTheme="minorHAnsi" w:cstheme="minorHAnsi"/>
        </w:rPr>
        <w:t xml:space="preserve"> na podstawie art. 152 § 1 Kpa</w:t>
      </w:r>
      <w:r w:rsidR="001E6252" w:rsidRPr="002E2D1F">
        <w:rPr>
          <w:rFonts w:asciiTheme="minorHAnsi" w:hAnsiTheme="minorHAnsi" w:cstheme="minorHAnsi"/>
        </w:rPr>
        <w:t xml:space="preserve">. </w:t>
      </w:r>
      <w:r w:rsidR="00876379" w:rsidRPr="002E2D1F">
        <w:rPr>
          <w:rFonts w:asciiTheme="minorHAnsi" w:hAnsiTheme="minorHAnsi" w:cstheme="minorHAnsi"/>
        </w:rPr>
        <w:t>W stosunku do powyższego żądania</w:t>
      </w:r>
      <w:r w:rsidR="005B6000" w:rsidRPr="002E2D1F">
        <w:rPr>
          <w:rFonts w:asciiTheme="minorHAnsi" w:hAnsiTheme="minorHAnsi" w:cstheme="minorHAnsi"/>
        </w:rPr>
        <w:t>,</w:t>
      </w:r>
      <w:r w:rsidR="00876379" w:rsidRPr="002E2D1F">
        <w:rPr>
          <w:rFonts w:asciiTheme="minorHAnsi" w:hAnsiTheme="minorHAnsi" w:cstheme="minorHAnsi"/>
        </w:rPr>
        <w:t xml:space="preserve"> GDOŚ postanowienie</w:t>
      </w:r>
      <w:r w:rsidR="005B6000" w:rsidRPr="002E2D1F">
        <w:rPr>
          <w:rFonts w:asciiTheme="minorHAnsi" w:hAnsiTheme="minorHAnsi" w:cstheme="minorHAnsi"/>
        </w:rPr>
        <w:t>m</w:t>
      </w:r>
      <w:r w:rsidR="00876379" w:rsidRPr="002E2D1F">
        <w:rPr>
          <w:rFonts w:asciiTheme="minorHAnsi" w:hAnsiTheme="minorHAnsi" w:cstheme="minorHAnsi"/>
        </w:rPr>
        <w:t xml:space="preserve"> z dnia </w:t>
      </w:r>
      <w:r w:rsidR="00415FFA" w:rsidRPr="002E2D1F">
        <w:rPr>
          <w:rFonts w:asciiTheme="minorHAnsi" w:hAnsiTheme="minorHAnsi" w:cstheme="minorHAnsi"/>
        </w:rPr>
        <w:t>2</w:t>
      </w:r>
      <w:r w:rsidR="008214F3" w:rsidRPr="002E2D1F">
        <w:rPr>
          <w:rFonts w:asciiTheme="minorHAnsi" w:hAnsiTheme="minorHAnsi" w:cstheme="minorHAnsi"/>
        </w:rPr>
        <w:t xml:space="preserve"> grudnia 2021 r., znak: DOOŚ-WDŚ/ZIL.420.237.2019.EK.33, odmówił wstrzymania wykonania </w:t>
      </w:r>
      <w:r w:rsidR="001E6252" w:rsidRPr="002E2D1F">
        <w:rPr>
          <w:rFonts w:asciiTheme="minorHAnsi" w:hAnsiTheme="minorHAnsi" w:cstheme="minorHAnsi"/>
        </w:rPr>
        <w:t xml:space="preserve">ww. </w:t>
      </w:r>
      <w:r w:rsidR="008214F3" w:rsidRPr="002E2D1F">
        <w:rPr>
          <w:rFonts w:asciiTheme="minorHAnsi" w:hAnsiTheme="minorHAnsi" w:cstheme="minorHAnsi"/>
        </w:rPr>
        <w:t>decyzji</w:t>
      </w:r>
      <w:r w:rsidR="001E6252" w:rsidRPr="002E2D1F">
        <w:rPr>
          <w:rFonts w:asciiTheme="minorHAnsi" w:hAnsiTheme="minorHAnsi" w:cstheme="minorHAnsi"/>
        </w:rPr>
        <w:t>.</w:t>
      </w:r>
    </w:p>
    <w:p w14:paraId="1611D51F" w14:textId="1D2CD367" w:rsidR="000A6BFA" w:rsidRPr="002E2D1F" w:rsidRDefault="000A6BFA" w:rsidP="002E2D1F">
      <w:pPr>
        <w:pStyle w:val="Bezodstpw"/>
        <w:rPr>
          <w:rFonts w:asciiTheme="minorHAnsi" w:hAnsiTheme="minorHAnsi" w:cstheme="minorHAnsi"/>
        </w:rPr>
      </w:pPr>
      <w:r w:rsidRPr="002E2D1F">
        <w:rPr>
          <w:rFonts w:asciiTheme="minorHAnsi" w:hAnsiTheme="minorHAnsi" w:cstheme="minorHAnsi"/>
        </w:rPr>
        <w:t>W stosunku do żądania dopuszczenia stowarzyszenia do udziału w przedmiotowym postępowaniu także jako organizacji ekologicznej</w:t>
      </w:r>
      <w:r w:rsidR="00363F63" w:rsidRPr="002E2D1F">
        <w:rPr>
          <w:rFonts w:asciiTheme="minorHAnsi" w:hAnsiTheme="minorHAnsi" w:cstheme="minorHAnsi"/>
        </w:rPr>
        <w:t>, GDOŚ postanowieniem z dnia</w:t>
      </w:r>
      <w:r w:rsidR="003343E4" w:rsidRPr="002E2D1F">
        <w:rPr>
          <w:rFonts w:asciiTheme="minorHAnsi" w:hAnsiTheme="minorHAnsi" w:cstheme="minorHAnsi"/>
        </w:rPr>
        <w:t xml:space="preserve"> </w:t>
      </w:r>
      <w:r w:rsidR="003343E4" w:rsidRPr="002E2D1F">
        <w:rPr>
          <w:rFonts w:asciiTheme="minorHAnsi" w:hAnsiTheme="minorHAnsi" w:cstheme="minorHAnsi"/>
          <w:color w:val="000000"/>
        </w:rPr>
        <w:t>17 stycznia</w:t>
      </w:r>
      <w:r w:rsidR="003343E4" w:rsidRPr="002E2D1F">
        <w:rPr>
          <w:rFonts w:asciiTheme="minorHAnsi" w:hAnsiTheme="minorHAnsi" w:cstheme="minorHAnsi"/>
        </w:rPr>
        <w:t xml:space="preserve"> </w:t>
      </w:r>
      <w:r w:rsidR="003343E4" w:rsidRPr="002E2D1F">
        <w:rPr>
          <w:rFonts w:asciiTheme="minorHAnsi" w:hAnsiTheme="minorHAnsi" w:cstheme="minorHAnsi"/>
          <w:color w:val="000000"/>
        </w:rPr>
        <w:t>2022 r.</w:t>
      </w:r>
      <w:r w:rsidR="00363F63" w:rsidRPr="002E2D1F">
        <w:rPr>
          <w:rFonts w:asciiTheme="minorHAnsi" w:hAnsiTheme="minorHAnsi" w:cstheme="minorHAnsi"/>
        </w:rPr>
        <w:t xml:space="preserve">, znak: DOOŚ-WDŚ/ZIL.420.237.2019.EK.40, odmówił dopuszczenia na podstawie art. 44 ust. 4 ustawy z dnia 3 października 2008 r. o udostępnianiu informacji o środowisku i jego ochronie, udziale społeczeństwa w ochronie środowiska oraz o ocenach oddziaływania na środowisko (Dz. U. 2021 r. poz. 247, ze zm.), dalej ustawa </w:t>
      </w:r>
      <w:proofErr w:type="spellStart"/>
      <w:r w:rsidR="00363F63" w:rsidRPr="002E2D1F">
        <w:rPr>
          <w:rFonts w:asciiTheme="minorHAnsi" w:hAnsiTheme="minorHAnsi" w:cstheme="minorHAnsi"/>
        </w:rPr>
        <w:t>ooś</w:t>
      </w:r>
      <w:proofErr w:type="spellEnd"/>
      <w:r w:rsidR="00363F63" w:rsidRPr="002E2D1F">
        <w:rPr>
          <w:rFonts w:asciiTheme="minorHAnsi" w:hAnsiTheme="minorHAnsi" w:cstheme="minorHAnsi"/>
        </w:rPr>
        <w:t xml:space="preserve">. </w:t>
      </w:r>
    </w:p>
    <w:p w14:paraId="564F5DEB" w14:textId="48C56CDE" w:rsidR="007718A0" w:rsidRPr="002E2D1F" w:rsidRDefault="000A6BFA" w:rsidP="002E2D1F">
      <w:pPr>
        <w:pStyle w:val="Bezodstpw"/>
        <w:rPr>
          <w:rFonts w:asciiTheme="minorHAnsi" w:hAnsiTheme="minorHAnsi" w:cstheme="minorHAnsi"/>
        </w:rPr>
      </w:pPr>
      <w:r w:rsidRPr="002E2D1F">
        <w:rPr>
          <w:rFonts w:asciiTheme="minorHAnsi" w:hAnsiTheme="minorHAnsi" w:cstheme="minorHAnsi"/>
        </w:rPr>
        <w:t xml:space="preserve">Zawiadomieniami z dnia 9 grudnia 2021 r., znak: DOOŚ-WDŚ/ZIL.420.237.2019.EK.36 oraz DOOŚ-WDŚ/ZIL.420.237.2019.EK.37, GDOŚ poinformował strony, na podstawie art. 10 § 1 </w:t>
      </w:r>
      <w:r w:rsidRPr="002E2D1F">
        <w:rPr>
          <w:rFonts w:asciiTheme="minorHAnsi" w:hAnsiTheme="minorHAnsi" w:cstheme="minorHAnsi"/>
        </w:rPr>
        <w:lastRenderedPageBreak/>
        <w:t xml:space="preserve">Kpa, o możliwości zapoznania się z aktami sprawy oraz wypowiedzenia co do zebranych dowodów i materiałów oraz zgłoszonych żądań. Żadna ze stron nie wniosła w wyznaczonym terminie dodatkowych uwag czy też żądań. </w:t>
      </w:r>
    </w:p>
    <w:p w14:paraId="683DD9B5" w14:textId="214807EC" w:rsidR="00181291" w:rsidRPr="002E2D1F" w:rsidRDefault="00181291" w:rsidP="002E2D1F">
      <w:pPr>
        <w:pStyle w:val="Bezodstpw"/>
        <w:rPr>
          <w:rFonts w:asciiTheme="minorHAnsi" w:hAnsiTheme="minorHAnsi" w:cstheme="minorHAnsi"/>
        </w:rPr>
      </w:pPr>
      <w:r w:rsidRPr="002E2D1F">
        <w:rPr>
          <w:rFonts w:asciiTheme="minorHAnsi" w:hAnsiTheme="minorHAnsi" w:cstheme="minorHAnsi"/>
        </w:rPr>
        <w:t>Stowarzyszenie jako podstaw</w:t>
      </w:r>
      <w:r w:rsidR="001E6252" w:rsidRPr="002E2D1F">
        <w:rPr>
          <w:rFonts w:asciiTheme="minorHAnsi" w:hAnsiTheme="minorHAnsi" w:cstheme="minorHAnsi"/>
        </w:rPr>
        <w:t>ę</w:t>
      </w:r>
      <w:r w:rsidRPr="002E2D1F">
        <w:rPr>
          <w:rFonts w:asciiTheme="minorHAnsi" w:hAnsiTheme="minorHAnsi" w:cstheme="minorHAnsi"/>
        </w:rPr>
        <w:t xml:space="preserve"> prawn</w:t>
      </w:r>
      <w:r w:rsidR="001E6252" w:rsidRPr="002E2D1F">
        <w:rPr>
          <w:rFonts w:asciiTheme="minorHAnsi" w:hAnsiTheme="minorHAnsi" w:cstheme="minorHAnsi"/>
        </w:rPr>
        <w:t>ą</w:t>
      </w:r>
      <w:r w:rsidRPr="002E2D1F">
        <w:rPr>
          <w:rFonts w:asciiTheme="minorHAnsi" w:hAnsiTheme="minorHAnsi" w:cstheme="minorHAnsi"/>
        </w:rPr>
        <w:t xml:space="preserve"> do wznowienia postępowania w przedmiotowej sprawie wymieniło art. 145 § 1 pkt 5 Kpa. Zdaniem </w:t>
      </w:r>
      <w:r w:rsidR="001E6252" w:rsidRPr="002E2D1F">
        <w:rPr>
          <w:rFonts w:asciiTheme="minorHAnsi" w:hAnsiTheme="minorHAnsi" w:cstheme="minorHAnsi"/>
        </w:rPr>
        <w:t>s</w:t>
      </w:r>
      <w:r w:rsidRPr="002E2D1F">
        <w:rPr>
          <w:rFonts w:asciiTheme="minorHAnsi" w:hAnsiTheme="minorHAnsi" w:cstheme="minorHAnsi"/>
        </w:rPr>
        <w:t xml:space="preserve">towarzyszenia zarówno w decyzji organu pierwszej jak i drugiej instancji zupełnie pominięto </w:t>
      </w:r>
      <w:r w:rsidR="00B6381A" w:rsidRPr="002E2D1F">
        <w:rPr>
          <w:rFonts w:asciiTheme="minorHAnsi" w:hAnsiTheme="minorHAnsi" w:cstheme="minorHAnsi"/>
        </w:rPr>
        <w:t>oddziaływanie</w:t>
      </w:r>
      <w:r w:rsidRPr="002E2D1F">
        <w:rPr>
          <w:rFonts w:asciiTheme="minorHAnsi" w:hAnsiTheme="minorHAnsi" w:cstheme="minorHAnsi"/>
        </w:rPr>
        <w:t xml:space="preserve"> inwestycji na modraszka </w:t>
      </w:r>
      <w:proofErr w:type="spellStart"/>
      <w:r w:rsidRPr="002E2D1F">
        <w:rPr>
          <w:rFonts w:asciiTheme="minorHAnsi" w:hAnsiTheme="minorHAnsi" w:cstheme="minorHAnsi"/>
        </w:rPr>
        <w:t>nausistousa</w:t>
      </w:r>
      <w:proofErr w:type="spellEnd"/>
      <w:r w:rsidRPr="002E2D1F">
        <w:rPr>
          <w:rFonts w:asciiTheme="minorHAnsi" w:hAnsiTheme="minorHAnsi" w:cstheme="minorHAnsi"/>
        </w:rPr>
        <w:t xml:space="preserve"> (</w:t>
      </w:r>
      <w:proofErr w:type="spellStart"/>
      <w:r w:rsidRPr="002E2D1F">
        <w:rPr>
          <w:rFonts w:asciiTheme="minorHAnsi" w:hAnsiTheme="minorHAnsi" w:cstheme="minorHAnsi"/>
        </w:rPr>
        <w:t>Maculinea</w:t>
      </w:r>
      <w:proofErr w:type="spellEnd"/>
      <w:r w:rsidRPr="002E2D1F">
        <w:rPr>
          <w:rFonts w:asciiTheme="minorHAnsi" w:hAnsiTheme="minorHAnsi" w:cstheme="minorHAnsi"/>
        </w:rPr>
        <w:t xml:space="preserve"> </w:t>
      </w:r>
      <w:proofErr w:type="spellStart"/>
      <w:r w:rsidRPr="002E2D1F">
        <w:rPr>
          <w:rFonts w:asciiTheme="minorHAnsi" w:hAnsiTheme="minorHAnsi" w:cstheme="minorHAnsi"/>
        </w:rPr>
        <w:t>nausitous</w:t>
      </w:r>
      <w:proofErr w:type="spellEnd"/>
      <w:r w:rsidRPr="002E2D1F">
        <w:rPr>
          <w:rFonts w:asciiTheme="minorHAnsi" w:hAnsiTheme="minorHAnsi" w:cstheme="minorHAnsi"/>
        </w:rPr>
        <w:t xml:space="preserve">), tj. cenny gatunek motyla objętego ochroną ścisłą i czynną na mocy </w:t>
      </w:r>
      <w:r w:rsidR="001E6252" w:rsidRPr="002E2D1F">
        <w:rPr>
          <w:rFonts w:asciiTheme="minorHAnsi" w:hAnsiTheme="minorHAnsi" w:cstheme="minorHAnsi"/>
        </w:rPr>
        <w:t>(pozycja 567 z załącznika nr 1) r</w:t>
      </w:r>
      <w:r w:rsidRPr="002E2D1F">
        <w:rPr>
          <w:rFonts w:asciiTheme="minorHAnsi" w:hAnsiTheme="minorHAnsi" w:cstheme="minorHAnsi"/>
        </w:rPr>
        <w:t xml:space="preserve">ozporządzenia Ministra Środowiska z dnia 16 grudnia 2016 r. w sprawie ochrony gatunkowej zwierząt </w:t>
      </w:r>
      <w:r w:rsidR="001E6252" w:rsidRPr="002E2D1F">
        <w:rPr>
          <w:rFonts w:asciiTheme="minorHAnsi" w:hAnsiTheme="minorHAnsi" w:cstheme="minorHAnsi"/>
        </w:rPr>
        <w:t>(Dz. U. z 2016 r. poz. 2183)</w:t>
      </w:r>
      <w:r w:rsidRPr="002E2D1F">
        <w:rPr>
          <w:rFonts w:asciiTheme="minorHAnsi" w:hAnsiTheme="minorHAnsi" w:cstheme="minorHAnsi"/>
        </w:rPr>
        <w:t xml:space="preserve">. Ponadto zgodnie z § 6 ust. 2 tego </w:t>
      </w:r>
      <w:r w:rsidR="001E6252" w:rsidRPr="002E2D1F">
        <w:rPr>
          <w:rFonts w:asciiTheme="minorHAnsi" w:hAnsiTheme="minorHAnsi" w:cstheme="minorHAnsi"/>
        </w:rPr>
        <w:t>r</w:t>
      </w:r>
      <w:r w:rsidRPr="002E2D1F">
        <w:rPr>
          <w:rFonts w:asciiTheme="minorHAnsi" w:hAnsiTheme="minorHAnsi" w:cstheme="minorHAnsi"/>
        </w:rPr>
        <w:t>ozporządzenia wprowadzono dodatkowo zakaz umyślnego płoszenia lub niepokojenia tego gatunku.</w:t>
      </w:r>
    </w:p>
    <w:p w14:paraId="75D2E028" w14:textId="0BF2CF4F" w:rsidR="007B15D5" w:rsidRPr="002E2D1F" w:rsidRDefault="007B15D5" w:rsidP="002E2D1F">
      <w:pPr>
        <w:pStyle w:val="Bezodstpw"/>
        <w:rPr>
          <w:rFonts w:asciiTheme="minorHAnsi" w:hAnsiTheme="minorHAnsi" w:cstheme="minorHAnsi"/>
        </w:rPr>
      </w:pPr>
      <w:r w:rsidRPr="002E2D1F">
        <w:rPr>
          <w:rFonts w:asciiTheme="minorHAnsi" w:hAnsiTheme="minorHAnsi" w:cstheme="minorHAnsi"/>
        </w:rPr>
        <w:t xml:space="preserve">Skarżący </w:t>
      </w:r>
      <w:r w:rsidR="00D0614A" w:rsidRPr="002E2D1F">
        <w:rPr>
          <w:rFonts w:asciiTheme="minorHAnsi" w:hAnsiTheme="minorHAnsi" w:cstheme="minorHAnsi"/>
        </w:rPr>
        <w:t>wskazuje</w:t>
      </w:r>
      <w:r w:rsidR="00181291" w:rsidRPr="002E2D1F">
        <w:rPr>
          <w:rFonts w:asciiTheme="minorHAnsi" w:hAnsiTheme="minorHAnsi" w:cstheme="minorHAnsi"/>
        </w:rPr>
        <w:t xml:space="preserve"> również, że raport o oddziaływaniu przedsięwzięcia na środowisko nie zawierał części entomologicznej, która </w:t>
      </w:r>
      <w:r w:rsidRPr="002E2D1F">
        <w:rPr>
          <w:rFonts w:asciiTheme="minorHAnsi" w:hAnsiTheme="minorHAnsi" w:cstheme="minorHAnsi"/>
        </w:rPr>
        <w:t xml:space="preserve">była kluczowa dla określenia oddziaływania inwestycji na modraszki, co stanowi naruszenie art. 66 ust. 1 </w:t>
      </w:r>
      <w:r w:rsidR="00363F63" w:rsidRPr="002E2D1F">
        <w:rPr>
          <w:rFonts w:asciiTheme="minorHAnsi" w:hAnsiTheme="minorHAnsi" w:cstheme="minorHAnsi"/>
        </w:rPr>
        <w:t xml:space="preserve">ustawy </w:t>
      </w:r>
      <w:proofErr w:type="spellStart"/>
      <w:r w:rsidR="00363F63" w:rsidRPr="002E2D1F">
        <w:rPr>
          <w:rFonts w:asciiTheme="minorHAnsi" w:hAnsiTheme="minorHAnsi" w:cstheme="minorHAnsi"/>
        </w:rPr>
        <w:t>ooś</w:t>
      </w:r>
      <w:proofErr w:type="spellEnd"/>
      <w:r w:rsidR="00363F63" w:rsidRPr="002E2D1F">
        <w:rPr>
          <w:rFonts w:asciiTheme="minorHAnsi" w:hAnsiTheme="minorHAnsi" w:cstheme="minorHAnsi"/>
        </w:rPr>
        <w:t>.</w:t>
      </w:r>
    </w:p>
    <w:p w14:paraId="49492CFF" w14:textId="556A3DAB" w:rsidR="005326DE" w:rsidRPr="002E2D1F" w:rsidRDefault="00D0614A" w:rsidP="002E2D1F">
      <w:pPr>
        <w:pStyle w:val="Bezodstpw"/>
        <w:rPr>
          <w:rFonts w:asciiTheme="minorHAnsi" w:hAnsiTheme="minorHAnsi" w:cstheme="minorHAnsi"/>
        </w:rPr>
      </w:pPr>
      <w:r w:rsidRPr="002E2D1F">
        <w:rPr>
          <w:rFonts w:asciiTheme="minorHAnsi" w:hAnsiTheme="minorHAnsi" w:cstheme="minorHAnsi"/>
        </w:rPr>
        <w:t>Stowarzyszenie podkreśla, że w dniu 5 sierpnia 2019 roku, w trakcie botanicznej eksploracji czaszy budowanego zbiornika pn. Szalejów Górny na rzece Bystrzycy Dusznickiej</w:t>
      </w:r>
      <w:r w:rsidR="00106767" w:rsidRPr="002E2D1F">
        <w:rPr>
          <w:rFonts w:asciiTheme="minorHAnsi" w:hAnsiTheme="minorHAnsi" w:cstheme="minorHAnsi"/>
        </w:rPr>
        <w:t>,</w:t>
      </w:r>
      <w:r w:rsidRPr="002E2D1F">
        <w:rPr>
          <w:rFonts w:asciiTheme="minorHAnsi" w:hAnsiTheme="minorHAnsi" w:cstheme="minorHAnsi"/>
        </w:rPr>
        <w:t xml:space="preserve"> współpracująca ze </w:t>
      </w:r>
      <w:r w:rsidR="00106767" w:rsidRPr="002E2D1F">
        <w:rPr>
          <w:rFonts w:asciiTheme="minorHAnsi" w:hAnsiTheme="minorHAnsi" w:cstheme="minorHAnsi"/>
        </w:rPr>
        <w:t>s</w:t>
      </w:r>
      <w:r w:rsidRPr="002E2D1F">
        <w:rPr>
          <w:rFonts w:asciiTheme="minorHAnsi" w:hAnsiTheme="minorHAnsi" w:cstheme="minorHAnsi"/>
        </w:rPr>
        <w:t xml:space="preserve">towarzyszeniem mgr biologii, </w:t>
      </w:r>
      <w:r w:rsidR="001174C1" w:rsidRPr="002E2D1F">
        <w:rPr>
          <w:rFonts w:asciiTheme="minorHAnsi" w:hAnsiTheme="minorHAnsi" w:cstheme="minorHAnsi"/>
        </w:rPr>
        <w:t>(…)</w:t>
      </w:r>
      <w:r w:rsidR="00106767" w:rsidRPr="002E2D1F">
        <w:rPr>
          <w:rFonts w:asciiTheme="minorHAnsi" w:hAnsiTheme="minorHAnsi" w:cstheme="minorHAnsi"/>
        </w:rPr>
        <w:t>,</w:t>
      </w:r>
      <w:r w:rsidRPr="002E2D1F">
        <w:rPr>
          <w:rFonts w:asciiTheme="minorHAnsi" w:hAnsiTheme="minorHAnsi" w:cstheme="minorHAnsi"/>
        </w:rPr>
        <w:t xml:space="preserve"> stwierdziła w wielu miejscach czaszy zbiornika stanowiska modraszka </w:t>
      </w:r>
      <w:proofErr w:type="spellStart"/>
      <w:r w:rsidRPr="002E2D1F">
        <w:rPr>
          <w:rFonts w:asciiTheme="minorHAnsi" w:hAnsiTheme="minorHAnsi" w:cstheme="minorHAnsi"/>
        </w:rPr>
        <w:t>nausistousa</w:t>
      </w:r>
      <w:proofErr w:type="spellEnd"/>
      <w:r w:rsidRPr="002E2D1F">
        <w:rPr>
          <w:rFonts w:asciiTheme="minorHAnsi" w:hAnsiTheme="minorHAnsi" w:cstheme="minorHAnsi"/>
        </w:rPr>
        <w:t xml:space="preserve">. Jako dowód załączono do wniosku z dnia 4 września 2019 r. </w:t>
      </w:r>
      <w:r w:rsidR="00E73688" w:rsidRPr="002E2D1F">
        <w:rPr>
          <w:rFonts w:asciiTheme="minorHAnsi" w:hAnsiTheme="minorHAnsi" w:cstheme="minorHAnsi"/>
        </w:rPr>
        <w:t xml:space="preserve">pisma </w:t>
      </w:r>
      <w:r w:rsidR="001174C1" w:rsidRPr="002E2D1F">
        <w:rPr>
          <w:rFonts w:asciiTheme="minorHAnsi" w:hAnsiTheme="minorHAnsi" w:cstheme="minorHAnsi"/>
        </w:rPr>
        <w:t>(…)</w:t>
      </w:r>
      <w:r w:rsidR="00E73688" w:rsidRPr="002E2D1F">
        <w:rPr>
          <w:rFonts w:asciiTheme="minorHAnsi" w:hAnsiTheme="minorHAnsi" w:cstheme="minorHAnsi"/>
        </w:rPr>
        <w:t xml:space="preserve">, w których zawarto zdjęcie modraszka </w:t>
      </w:r>
      <w:proofErr w:type="spellStart"/>
      <w:r w:rsidR="00E73688" w:rsidRPr="002E2D1F">
        <w:rPr>
          <w:rFonts w:asciiTheme="minorHAnsi" w:hAnsiTheme="minorHAnsi" w:cstheme="minorHAnsi"/>
        </w:rPr>
        <w:t>nausistousa</w:t>
      </w:r>
      <w:proofErr w:type="spellEnd"/>
      <w:r w:rsidR="00E73688" w:rsidRPr="002E2D1F">
        <w:rPr>
          <w:rFonts w:asciiTheme="minorHAnsi" w:hAnsiTheme="minorHAnsi" w:cstheme="minorHAnsi"/>
        </w:rPr>
        <w:t xml:space="preserve"> wykonane w </w:t>
      </w:r>
      <w:r w:rsidR="00106767" w:rsidRPr="002E2D1F">
        <w:rPr>
          <w:rFonts w:asciiTheme="minorHAnsi" w:hAnsiTheme="minorHAnsi" w:cstheme="minorHAnsi"/>
        </w:rPr>
        <w:t>punkcie oznaczonym współrzędnymi</w:t>
      </w:r>
      <w:r w:rsidR="00E73688" w:rsidRPr="002E2D1F">
        <w:rPr>
          <w:rFonts w:asciiTheme="minorHAnsi" w:hAnsiTheme="minorHAnsi" w:cstheme="minorHAnsi"/>
        </w:rPr>
        <w:t xml:space="preserve"> N </w:t>
      </w:r>
      <w:r w:rsidR="001174C1" w:rsidRPr="002E2D1F">
        <w:rPr>
          <w:rFonts w:asciiTheme="minorHAnsi" w:hAnsiTheme="minorHAnsi" w:cstheme="minorHAnsi"/>
        </w:rPr>
        <w:t>(…)</w:t>
      </w:r>
      <w:r w:rsidR="00E73688" w:rsidRPr="002E2D1F">
        <w:rPr>
          <w:rFonts w:asciiTheme="minorHAnsi" w:hAnsiTheme="minorHAnsi" w:cstheme="minorHAnsi"/>
        </w:rPr>
        <w:t xml:space="preserve">, E </w:t>
      </w:r>
      <w:r w:rsidR="001174C1" w:rsidRPr="002E2D1F">
        <w:rPr>
          <w:rFonts w:asciiTheme="minorHAnsi" w:hAnsiTheme="minorHAnsi" w:cstheme="minorHAnsi"/>
        </w:rPr>
        <w:t>(…)</w:t>
      </w:r>
      <w:r w:rsidR="00E73688" w:rsidRPr="002E2D1F">
        <w:rPr>
          <w:rFonts w:asciiTheme="minorHAnsi" w:hAnsiTheme="minorHAnsi" w:cstheme="minorHAnsi"/>
        </w:rPr>
        <w:t xml:space="preserve">. </w:t>
      </w:r>
    </w:p>
    <w:p w14:paraId="4039E408" w14:textId="4A15B25C" w:rsidR="007B15D5" w:rsidRPr="002E2D1F" w:rsidRDefault="00E73688" w:rsidP="002E2D1F">
      <w:pPr>
        <w:pStyle w:val="Bezodstpw"/>
        <w:rPr>
          <w:rFonts w:asciiTheme="minorHAnsi" w:hAnsiTheme="minorHAnsi" w:cstheme="minorHAnsi"/>
        </w:rPr>
      </w:pPr>
      <w:r w:rsidRPr="002E2D1F">
        <w:rPr>
          <w:rFonts w:asciiTheme="minorHAnsi" w:hAnsiTheme="minorHAnsi" w:cstheme="minorHAnsi"/>
        </w:rPr>
        <w:t xml:space="preserve">Zdaniem Stowarzyszenia miejsca rozrodu modraszka </w:t>
      </w:r>
      <w:proofErr w:type="spellStart"/>
      <w:r w:rsidRPr="002E2D1F">
        <w:rPr>
          <w:rFonts w:asciiTheme="minorHAnsi" w:hAnsiTheme="minorHAnsi" w:cstheme="minorHAnsi"/>
        </w:rPr>
        <w:t>nausitous</w:t>
      </w:r>
      <w:proofErr w:type="spellEnd"/>
      <w:r w:rsidRPr="002E2D1F">
        <w:rPr>
          <w:rFonts w:asciiTheme="minorHAnsi" w:hAnsiTheme="minorHAnsi" w:cstheme="minorHAnsi"/>
        </w:rPr>
        <w:t xml:space="preserve"> są bezsprzecznie niszczone poprzez składowanie pryzm z masami ziemnymi oraz </w:t>
      </w:r>
      <w:proofErr w:type="spellStart"/>
      <w:r w:rsidRPr="002E2D1F">
        <w:rPr>
          <w:rFonts w:asciiTheme="minorHAnsi" w:hAnsiTheme="minorHAnsi" w:cstheme="minorHAnsi"/>
        </w:rPr>
        <w:t>odhumusowanie</w:t>
      </w:r>
      <w:proofErr w:type="spellEnd"/>
      <w:r w:rsidRPr="002E2D1F">
        <w:rPr>
          <w:rFonts w:asciiTheme="minorHAnsi" w:hAnsiTheme="minorHAnsi" w:cstheme="minorHAnsi"/>
        </w:rPr>
        <w:t xml:space="preserve"> na wielohektarowej przestrzeni przez inwestora.</w:t>
      </w:r>
      <w:r w:rsidR="005326DE" w:rsidRPr="002E2D1F">
        <w:rPr>
          <w:rFonts w:asciiTheme="minorHAnsi" w:hAnsiTheme="minorHAnsi" w:cstheme="minorHAnsi"/>
        </w:rPr>
        <w:t xml:space="preserve"> Ponadto </w:t>
      </w:r>
      <w:r w:rsidR="005326DE" w:rsidRPr="002E2D1F">
        <w:rPr>
          <w:rFonts w:asciiTheme="minorHAnsi" w:hAnsiTheme="minorHAnsi" w:cstheme="minorHAnsi"/>
          <w:color w:val="000000"/>
          <w:lang w:bidi="pl-PL"/>
        </w:rPr>
        <w:t xml:space="preserve">znaczna część mokrych łąk stanowiących siedlisko modraszka została także zniszczona w trakcie wykopów pod zaporę czołową. W opinii </w:t>
      </w:r>
      <w:r w:rsidR="00106767" w:rsidRPr="002E2D1F">
        <w:rPr>
          <w:rFonts w:asciiTheme="minorHAnsi" w:hAnsiTheme="minorHAnsi" w:cstheme="minorHAnsi"/>
          <w:color w:val="000000"/>
          <w:lang w:bidi="pl-PL"/>
        </w:rPr>
        <w:t>s</w:t>
      </w:r>
      <w:r w:rsidR="005326DE" w:rsidRPr="002E2D1F">
        <w:rPr>
          <w:rFonts w:asciiTheme="minorHAnsi" w:hAnsiTheme="minorHAnsi" w:cstheme="minorHAnsi"/>
          <w:color w:val="000000"/>
          <w:lang w:bidi="pl-PL"/>
        </w:rPr>
        <w:t>towarzyszenia</w:t>
      </w:r>
      <w:r w:rsidR="00106767" w:rsidRPr="002E2D1F">
        <w:rPr>
          <w:rFonts w:asciiTheme="minorHAnsi" w:hAnsiTheme="minorHAnsi" w:cstheme="minorHAnsi"/>
          <w:color w:val="000000"/>
          <w:lang w:bidi="pl-PL"/>
        </w:rPr>
        <w:t>,</w:t>
      </w:r>
      <w:r w:rsidR="005326DE" w:rsidRPr="002E2D1F">
        <w:rPr>
          <w:rFonts w:asciiTheme="minorHAnsi" w:hAnsiTheme="minorHAnsi" w:cstheme="minorHAnsi"/>
          <w:color w:val="000000"/>
          <w:lang w:bidi="pl-PL"/>
        </w:rPr>
        <w:t xml:space="preserve"> </w:t>
      </w:r>
      <w:r w:rsidR="005326DE" w:rsidRPr="002E2D1F">
        <w:rPr>
          <w:rFonts w:asciiTheme="minorHAnsi" w:hAnsiTheme="minorHAnsi" w:cstheme="minorHAnsi"/>
        </w:rPr>
        <w:t xml:space="preserve">jeśli inwestor będzie </w:t>
      </w:r>
      <w:proofErr w:type="spellStart"/>
      <w:r w:rsidR="005326DE" w:rsidRPr="002E2D1F">
        <w:rPr>
          <w:rFonts w:asciiTheme="minorHAnsi" w:hAnsiTheme="minorHAnsi" w:cstheme="minorHAnsi"/>
        </w:rPr>
        <w:t>odhumusowywał</w:t>
      </w:r>
      <w:proofErr w:type="spellEnd"/>
      <w:r w:rsidR="005326DE" w:rsidRPr="002E2D1F">
        <w:rPr>
          <w:rFonts w:asciiTheme="minorHAnsi" w:hAnsiTheme="minorHAnsi" w:cstheme="minorHAnsi"/>
        </w:rPr>
        <w:t xml:space="preserve"> teren oraz przekładał koryta Bystrzycy Dusznickiej</w:t>
      </w:r>
      <w:r w:rsidR="00106767" w:rsidRPr="002E2D1F">
        <w:rPr>
          <w:rFonts w:asciiTheme="minorHAnsi" w:hAnsiTheme="minorHAnsi" w:cstheme="minorHAnsi"/>
        </w:rPr>
        <w:t>,</w:t>
      </w:r>
      <w:r w:rsidR="005326DE" w:rsidRPr="002E2D1F">
        <w:rPr>
          <w:rFonts w:asciiTheme="minorHAnsi" w:hAnsiTheme="minorHAnsi" w:cstheme="minorHAnsi"/>
        </w:rPr>
        <w:t xml:space="preserve"> chronione motyle w tej części doliny Bystrzycy Dusznickiej</w:t>
      </w:r>
      <w:r w:rsidR="00106767" w:rsidRPr="002E2D1F">
        <w:rPr>
          <w:rFonts w:asciiTheme="minorHAnsi" w:hAnsiTheme="minorHAnsi" w:cstheme="minorHAnsi"/>
        </w:rPr>
        <w:t xml:space="preserve"> </w:t>
      </w:r>
      <w:r w:rsidR="005326DE" w:rsidRPr="002E2D1F">
        <w:rPr>
          <w:rFonts w:asciiTheme="minorHAnsi" w:hAnsiTheme="minorHAnsi" w:cstheme="minorHAnsi"/>
        </w:rPr>
        <w:t>czeka całkowita zagłada.</w:t>
      </w:r>
    </w:p>
    <w:p w14:paraId="2DA292C4" w14:textId="6F0535AC" w:rsidR="00876379" w:rsidRPr="002E2D1F" w:rsidRDefault="005326DE" w:rsidP="002E2D1F">
      <w:pPr>
        <w:pStyle w:val="Bezodstpw"/>
        <w:rPr>
          <w:rFonts w:asciiTheme="minorHAnsi" w:hAnsiTheme="minorHAnsi" w:cstheme="minorHAnsi"/>
        </w:rPr>
      </w:pPr>
      <w:r w:rsidRPr="002E2D1F">
        <w:rPr>
          <w:rFonts w:asciiTheme="minorHAnsi" w:hAnsiTheme="minorHAnsi" w:cstheme="minorHAnsi"/>
        </w:rPr>
        <w:t>Skarżący jednoznacznie twierdzi, że modraszki musiały się znajdować w</w:t>
      </w:r>
      <w:r w:rsidR="00106767" w:rsidRPr="002E2D1F">
        <w:rPr>
          <w:rFonts w:asciiTheme="minorHAnsi" w:hAnsiTheme="minorHAnsi" w:cstheme="minorHAnsi"/>
        </w:rPr>
        <w:t xml:space="preserve"> granicach</w:t>
      </w:r>
      <w:r w:rsidRPr="002E2D1F">
        <w:rPr>
          <w:rFonts w:asciiTheme="minorHAnsi" w:hAnsiTheme="minorHAnsi" w:cstheme="minorHAnsi"/>
        </w:rPr>
        <w:t xml:space="preserve"> </w:t>
      </w:r>
      <w:r w:rsidR="00106767" w:rsidRPr="002E2D1F">
        <w:rPr>
          <w:rFonts w:asciiTheme="minorHAnsi" w:hAnsiTheme="minorHAnsi" w:cstheme="minorHAnsi"/>
        </w:rPr>
        <w:t xml:space="preserve">terenu </w:t>
      </w:r>
      <w:r w:rsidRPr="002E2D1F">
        <w:rPr>
          <w:rFonts w:asciiTheme="minorHAnsi" w:hAnsiTheme="minorHAnsi" w:cstheme="minorHAnsi"/>
        </w:rPr>
        <w:t xml:space="preserve">inwestycji w chwili wydawania </w:t>
      </w:r>
      <w:r w:rsidR="00106767" w:rsidRPr="002E2D1F">
        <w:rPr>
          <w:rFonts w:asciiTheme="minorHAnsi" w:hAnsiTheme="minorHAnsi" w:cstheme="minorHAnsi"/>
        </w:rPr>
        <w:t xml:space="preserve">ostatecznej </w:t>
      </w:r>
      <w:r w:rsidRPr="002E2D1F">
        <w:rPr>
          <w:rFonts w:asciiTheme="minorHAnsi" w:hAnsiTheme="minorHAnsi" w:cstheme="minorHAnsi"/>
        </w:rPr>
        <w:t xml:space="preserve">decyzji. Ich cykl życiowy jest bowiem skomplikowany i zależny zarówno od obecności rośliny trwałej, jaką jest krwiściąg jak i od mrówki wścieklicy, na której pasożytuje larwa. Modraszek </w:t>
      </w:r>
      <w:proofErr w:type="spellStart"/>
      <w:r w:rsidRPr="002E2D1F">
        <w:rPr>
          <w:rFonts w:asciiTheme="minorHAnsi" w:hAnsiTheme="minorHAnsi" w:cstheme="minorHAnsi"/>
        </w:rPr>
        <w:t>nausitous</w:t>
      </w:r>
      <w:proofErr w:type="spellEnd"/>
      <w:r w:rsidRPr="002E2D1F">
        <w:rPr>
          <w:rFonts w:asciiTheme="minorHAnsi" w:hAnsiTheme="minorHAnsi" w:cstheme="minorHAnsi"/>
        </w:rPr>
        <w:t xml:space="preserve"> jest gatunkiem </w:t>
      </w:r>
      <w:proofErr w:type="spellStart"/>
      <w:r w:rsidRPr="002E2D1F">
        <w:rPr>
          <w:rFonts w:asciiTheme="minorHAnsi" w:hAnsiTheme="minorHAnsi" w:cstheme="minorHAnsi"/>
        </w:rPr>
        <w:t>myrmekofdnym</w:t>
      </w:r>
      <w:proofErr w:type="spellEnd"/>
      <w:r w:rsidRPr="002E2D1F">
        <w:rPr>
          <w:rFonts w:asciiTheme="minorHAnsi" w:hAnsiTheme="minorHAnsi" w:cstheme="minorHAnsi"/>
        </w:rPr>
        <w:t xml:space="preserve">, zależnym tylko od jednego gatunku mrówki: </w:t>
      </w:r>
      <w:proofErr w:type="spellStart"/>
      <w:r w:rsidRPr="002E2D1F">
        <w:rPr>
          <w:rFonts w:asciiTheme="minorHAnsi" w:hAnsiTheme="minorHAnsi" w:cstheme="minorHAnsi"/>
        </w:rPr>
        <w:t>Myrmica</w:t>
      </w:r>
      <w:proofErr w:type="spellEnd"/>
      <w:r w:rsidRPr="002E2D1F">
        <w:rPr>
          <w:rFonts w:asciiTheme="minorHAnsi" w:hAnsiTheme="minorHAnsi" w:cstheme="minorHAnsi"/>
        </w:rPr>
        <w:t xml:space="preserve"> rubra. Posiada bardzo wąską niszę ekologiczną, związaną z jednoczesnym współwystępowaniem </w:t>
      </w:r>
      <w:proofErr w:type="spellStart"/>
      <w:r w:rsidRPr="002E2D1F">
        <w:rPr>
          <w:rFonts w:asciiTheme="minorHAnsi" w:hAnsiTheme="minorHAnsi" w:cstheme="minorHAnsi"/>
        </w:rPr>
        <w:t>krwiściąga</w:t>
      </w:r>
      <w:proofErr w:type="spellEnd"/>
      <w:r w:rsidRPr="002E2D1F">
        <w:rPr>
          <w:rFonts w:asciiTheme="minorHAnsi" w:hAnsiTheme="minorHAnsi" w:cstheme="minorHAnsi"/>
        </w:rPr>
        <w:t xml:space="preserve"> jak i mrówki wścieklicy, która nigdy nie pojawia się w pierwszych stadiach sukcesji. Złożony system współzależności pomiędzy krwiściągiem-modraszkiem </w:t>
      </w:r>
      <w:proofErr w:type="spellStart"/>
      <w:r w:rsidRPr="002E2D1F">
        <w:rPr>
          <w:rFonts w:asciiTheme="minorHAnsi" w:hAnsiTheme="minorHAnsi" w:cstheme="minorHAnsi"/>
        </w:rPr>
        <w:t>nausitousem</w:t>
      </w:r>
      <w:proofErr w:type="spellEnd"/>
      <w:r w:rsidRPr="002E2D1F">
        <w:rPr>
          <w:rFonts w:asciiTheme="minorHAnsi" w:hAnsiTheme="minorHAnsi" w:cstheme="minorHAnsi"/>
        </w:rPr>
        <w:t xml:space="preserve">-mrówką wścieklicą związany jest z dojrzałymi stadiami sukcesji i konkretnymi zbiorowiskami roślinnymi zależnymi od wód podziemnych, wykształcającymi się w danym miejscu w ciągu wielu dziesiątek a nie kilku lat: takimi jak wilgotne łąki eutroficzne z rzędu </w:t>
      </w:r>
      <w:proofErr w:type="spellStart"/>
      <w:r w:rsidRPr="002E2D1F">
        <w:rPr>
          <w:rFonts w:asciiTheme="minorHAnsi" w:hAnsiTheme="minorHAnsi" w:cstheme="minorHAnsi"/>
        </w:rPr>
        <w:t>Calthion</w:t>
      </w:r>
      <w:proofErr w:type="spellEnd"/>
      <w:r w:rsidRPr="002E2D1F">
        <w:rPr>
          <w:rFonts w:asciiTheme="minorHAnsi" w:hAnsiTheme="minorHAnsi" w:cstheme="minorHAnsi"/>
        </w:rPr>
        <w:t xml:space="preserve"> czy też </w:t>
      </w:r>
      <w:proofErr w:type="spellStart"/>
      <w:r w:rsidRPr="002E2D1F">
        <w:rPr>
          <w:rFonts w:asciiTheme="minorHAnsi" w:hAnsiTheme="minorHAnsi" w:cstheme="minorHAnsi"/>
        </w:rPr>
        <w:t>zmiennowilgotne</w:t>
      </w:r>
      <w:proofErr w:type="spellEnd"/>
      <w:r w:rsidRPr="002E2D1F">
        <w:rPr>
          <w:rFonts w:asciiTheme="minorHAnsi" w:hAnsiTheme="minorHAnsi" w:cstheme="minorHAnsi"/>
        </w:rPr>
        <w:t xml:space="preserve"> łąki z rzędu </w:t>
      </w:r>
      <w:proofErr w:type="spellStart"/>
      <w:r w:rsidRPr="002E2D1F">
        <w:rPr>
          <w:rFonts w:asciiTheme="minorHAnsi" w:hAnsiTheme="minorHAnsi" w:cstheme="minorHAnsi"/>
        </w:rPr>
        <w:t>Molinion</w:t>
      </w:r>
      <w:proofErr w:type="spellEnd"/>
      <w:r w:rsidRPr="002E2D1F">
        <w:rPr>
          <w:rFonts w:asciiTheme="minorHAnsi" w:hAnsiTheme="minorHAnsi" w:cstheme="minorHAnsi"/>
        </w:rPr>
        <w:t xml:space="preserve">, które są dojrzałymi biocenozami półnaturalnymi o dużym bogactwie gatunkowym. Zdaniem </w:t>
      </w:r>
      <w:r w:rsidR="00106767" w:rsidRPr="002E2D1F">
        <w:rPr>
          <w:rFonts w:asciiTheme="minorHAnsi" w:hAnsiTheme="minorHAnsi" w:cstheme="minorHAnsi"/>
        </w:rPr>
        <w:t>s</w:t>
      </w:r>
      <w:r w:rsidRPr="002E2D1F">
        <w:rPr>
          <w:rFonts w:asciiTheme="minorHAnsi" w:hAnsiTheme="minorHAnsi" w:cstheme="minorHAnsi"/>
        </w:rPr>
        <w:t>towarzyszeni</w:t>
      </w:r>
      <w:r w:rsidR="008E028C" w:rsidRPr="002E2D1F">
        <w:rPr>
          <w:rFonts w:asciiTheme="minorHAnsi" w:hAnsiTheme="minorHAnsi" w:cstheme="minorHAnsi"/>
        </w:rPr>
        <w:t>a</w:t>
      </w:r>
      <w:r w:rsidRPr="002E2D1F">
        <w:rPr>
          <w:rFonts w:asciiTheme="minorHAnsi" w:hAnsiTheme="minorHAnsi" w:cstheme="minorHAnsi"/>
        </w:rPr>
        <w:t xml:space="preserve"> w momencie wydawania decyzji zarówno organu pierwszej jak i drugiej instancji </w:t>
      </w:r>
      <w:r w:rsidR="00457526" w:rsidRPr="002E2D1F">
        <w:rPr>
          <w:rFonts w:asciiTheme="minorHAnsi" w:hAnsiTheme="minorHAnsi" w:cstheme="minorHAnsi"/>
        </w:rPr>
        <w:t>w obszarze przeznaczonym pod realizację przedmiotowej inwestycji występował</w:t>
      </w:r>
      <w:r w:rsidR="00106767" w:rsidRPr="002E2D1F">
        <w:rPr>
          <w:rFonts w:asciiTheme="minorHAnsi" w:hAnsiTheme="minorHAnsi" w:cstheme="minorHAnsi"/>
        </w:rPr>
        <w:t>y osobniki tego gatunku</w:t>
      </w:r>
      <w:r w:rsidR="00457526" w:rsidRPr="002E2D1F">
        <w:rPr>
          <w:rFonts w:asciiTheme="minorHAnsi" w:hAnsiTheme="minorHAnsi" w:cstheme="minorHAnsi"/>
        </w:rPr>
        <w:t>. Ze względu jednak na brak części entomologicznej w raporcie o oddziaływaniu na środowisko zarówno organ pierwszej jak i drugiej instancji w momencie wydawania decyzji nie posiadały informacji o występowaniu ww. gatunku. Powyższe świadczy o zaistnieniu przesłanki w</w:t>
      </w:r>
      <w:r w:rsidR="00A73924" w:rsidRPr="002E2D1F">
        <w:rPr>
          <w:rFonts w:asciiTheme="minorHAnsi" w:hAnsiTheme="minorHAnsi" w:cstheme="minorHAnsi"/>
        </w:rPr>
        <w:t>z</w:t>
      </w:r>
      <w:r w:rsidR="00457526" w:rsidRPr="002E2D1F">
        <w:rPr>
          <w:rFonts w:asciiTheme="minorHAnsi" w:hAnsiTheme="minorHAnsi" w:cstheme="minorHAnsi"/>
        </w:rPr>
        <w:t xml:space="preserve">nowieniowej określonej w art. 145 § 1 pkt 5 Kpa, </w:t>
      </w:r>
      <w:r w:rsidR="00A73924" w:rsidRPr="002E2D1F">
        <w:rPr>
          <w:rFonts w:asciiTheme="minorHAnsi" w:hAnsiTheme="minorHAnsi" w:cstheme="minorHAnsi"/>
        </w:rPr>
        <w:t xml:space="preserve">tj. wyszły </w:t>
      </w:r>
      <w:r w:rsidR="00457526" w:rsidRPr="002E2D1F">
        <w:rPr>
          <w:rFonts w:asciiTheme="minorHAnsi" w:hAnsiTheme="minorHAnsi" w:cstheme="minorHAnsi"/>
        </w:rPr>
        <w:t>na jaw istotne dla sprawy nowe okoliczności faktyczne lub nowe dowody istniejące w dniu wydania decyzji, nieznane organowi, który wydał decyzję</w:t>
      </w:r>
      <w:r w:rsidR="00A73924" w:rsidRPr="002E2D1F">
        <w:rPr>
          <w:rFonts w:asciiTheme="minorHAnsi" w:hAnsiTheme="minorHAnsi" w:cstheme="minorHAnsi"/>
        </w:rPr>
        <w:t>.</w:t>
      </w:r>
    </w:p>
    <w:p w14:paraId="44B6F522" w14:textId="77777777" w:rsidR="00106767" w:rsidRPr="002E2D1F" w:rsidRDefault="00106767" w:rsidP="002E2D1F">
      <w:pPr>
        <w:pStyle w:val="Bezodstpw"/>
        <w:rPr>
          <w:rFonts w:asciiTheme="minorHAnsi" w:hAnsiTheme="minorHAnsi" w:cstheme="minorHAnsi"/>
        </w:rPr>
      </w:pPr>
    </w:p>
    <w:p w14:paraId="0CC682B6" w14:textId="7E607E43" w:rsidR="00106767" w:rsidRPr="002E2D1F" w:rsidRDefault="00106767" w:rsidP="002E2D1F">
      <w:pPr>
        <w:pStyle w:val="Bezodstpw"/>
        <w:rPr>
          <w:rFonts w:asciiTheme="minorHAnsi" w:hAnsiTheme="minorHAnsi" w:cstheme="minorHAnsi"/>
        </w:rPr>
      </w:pPr>
      <w:r w:rsidRPr="002E2D1F">
        <w:rPr>
          <w:rFonts w:asciiTheme="minorHAnsi" w:hAnsiTheme="minorHAnsi" w:cstheme="minorHAnsi"/>
        </w:rPr>
        <w:t>GDOŚ zważył i ustalił co następuje.</w:t>
      </w:r>
    </w:p>
    <w:p w14:paraId="6BB4A90F" w14:textId="77777777" w:rsidR="00106767" w:rsidRPr="002E2D1F" w:rsidRDefault="00106767" w:rsidP="002E2D1F">
      <w:pPr>
        <w:pStyle w:val="Bezodstpw"/>
        <w:rPr>
          <w:rFonts w:asciiTheme="minorHAnsi" w:hAnsiTheme="minorHAnsi" w:cstheme="minorHAnsi"/>
        </w:rPr>
      </w:pPr>
    </w:p>
    <w:p w14:paraId="00F9AA30" w14:textId="30BEC726" w:rsidR="00076D44" w:rsidRPr="002E2D1F" w:rsidRDefault="00106767" w:rsidP="002E2D1F">
      <w:pPr>
        <w:pStyle w:val="Bezodstpw"/>
        <w:rPr>
          <w:rFonts w:asciiTheme="minorHAnsi" w:hAnsiTheme="minorHAnsi" w:cstheme="minorHAnsi"/>
        </w:rPr>
      </w:pPr>
      <w:r w:rsidRPr="002E2D1F">
        <w:rPr>
          <w:rFonts w:asciiTheme="minorHAnsi" w:hAnsiTheme="minorHAnsi" w:cstheme="minorHAnsi"/>
        </w:rPr>
        <w:t>W</w:t>
      </w:r>
      <w:r w:rsidR="00E9101D" w:rsidRPr="002E2D1F">
        <w:rPr>
          <w:rFonts w:asciiTheme="minorHAnsi" w:hAnsiTheme="minorHAnsi" w:cstheme="minorHAnsi"/>
        </w:rPr>
        <w:t>znowienie postępowania jest jednym z nadzwyczajnych trybów postępowa</w:t>
      </w:r>
      <w:r w:rsidR="000A6BFA" w:rsidRPr="002E2D1F">
        <w:rPr>
          <w:rFonts w:asciiTheme="minorHAnsi" w:hAnsiTheme="minorHAnsi" w:cstheme="minorHAnsi"/>
        </w:rPr>
        <w:t>nia administracyjnego</w:t>
      </w:r>
      <w:r w:rsidR="00E9101D" w:rsidRPr="002E2D1F">
        <w:rPr>
          <w:rFonts w:asciiTheme="minorHAnsi" w:hAnsiTheme="minorHAnsi" w:cstheme="minorHAnsi"/>
        </w:rPr>
        <w:t>, którego przedmiotem jest weryfikacja prawidłowości decyzji ostatecznej wydanej w zwykłym postępowaniu.</w:t>
      </w:r>
      <w:r w:rsidR="00CD7C18" w:rsidRPr="002E2D1F">
        <w:rPr>
          <w:rFonts w:asciiTheme="minorHAnsi" w:hAnsiTheme="minorHAnsi" w:cstheme="minorHAnsi"/>
        </w:rPr>
        <w:t xml:space="preserve"> Celem wznowionego postępowania</w:t>
      </w:r>
      <w:r w:rsidR="00E9101D" w:rsidRPr="002E2D1F">
        <w:rPr>
          <w:rFonts w:asciiTheme="minorHAnsi" w:hAnsiTheme="minorHAnsi" w:cstheme="minorHAnsi"/>
        </w:rPr>
        <w:t xml:space="preserve"> </w:t>
      </w:r>
      <w:r w:rsidR="00CD7C18" w:rsidRPr="002E2D1F">
        <w:rPr>
          <w:rFonts w:asciiTheme="minorHAnsi" w:hAnsiTheme="minorHAnsi" w:cstheme="minorHAnsi"/>
        </w:rPr>
        <w:t>jest ustalenie czy zakończone postępowanie było dotknięte określonymi wadami i usunięcie jego ewentualnych wadliwości, ustalenie czy i w jakim zakresie wadliwość zakończonego postępowania wpłynęła na byt prawny wydanej decyzji ostatecznej, oraz w razie stwierdzenia określonej wadliwości decyzji dotychczasowej doprowadzenie do jej uchylenia i wydania nowej decyzji rozstrzygającej o istocie sprawy albo stwierdzenie, że decyzja dotychczasowa wydana została z określonym naruszeniem prawa (art. 151 § 1 pkt 1 i 2 i § 2 Kpa) (</w:t>
      </w:r>
      <w:r w:rsidR="005B6000" w:rsidRPr="002E2D1F">
        <w:rPr>
          <w:rFonts w:asciiTheme="minorHAnsi" w:hAnsiTheme="minorHAnsi" w:cstheme="minorHAnsi"/>
        </w:rPr>
        <w:t xml:space="preserve">por. </w:t>
      </w:r>
      <w:r w:rsidR="00CD7C18" w:rsidRPr="002E2D1F">
        <w:rPr>
          <w:rFonts w:asciiTheme="minorHAnsi" w:hAnsiTheme="minorHAnsi" w:cstheme="minorHAnsi"/>
        </w:rPr>
        <w:t xml:space="preserve">wyrok Wojewódzkiego Sądu Administracyjnego w Kielcach z dnia 7 września 2007r., </w:t>
      </w:r>
      <w:r w:rsidR="002E2D1F">
        <w:rPr>
          <w:rFonts w:asciiTheme="minorHAnsi" w:hAnsiTheme="minorHAnsi" w:cstheme="minorHAnsi"/>
        </w:rPr>
        <w:t>s</w:t>
      </w:r>
      <w:r w:rsidR="005B6000" w:rsidRPr="002E2D1F">
        <w:rPr>
          <w:rFonts w:asciiTheme="minorHAnsi" w:hAnsiTheme="minorHAnsi" w:cstheme="minorHAnsi"/>
        </w:rPr>
        <w:t>ygn</w:t>
      </w:r>
      <w:r w:rsidR="00CD7C18" w:rsidRPr="002E2D1F">
        <w:rPr>
          <w:rFonts w:asciiTheme="minorHAnsi" w:hAnsiTheme="minorHAnsi" w:cstheme="minorHAnsi"/>
        </w:rPr>
        <w:t xml:space="preserve">. </w:t>
      </w:r>
      <w:r w:rsidR="005B6000" w:rsidRPr="002E2D1F">
        <w:rPr>
          <w:rFonts w:asciiTheme="minorHAnsi" w:hAnsiTheme="minorHAnsi" w:cstheme="minorHAnsi"/>
        </w:rPr>
        <w:t>A</w:t>
      </w:r>
      <w:r w:rsidR="00CD7C18" w:rsidRPr="002E2D1F">
        <w:rPr>
          <w:rFonts w:asciiTheme="minorHAnsi" w:hAnsiTheme="minorHAnsi" w:cstheme="minorHAnsi"/>
        </w:rPr>
        <w:t>kt: II SA/</w:t>
      </w:r>
      <w:proofErr w:type="spellStart"/>
      <w:r w:rsidR="00CD7C18" w:rsidRPr="002E2D1F">
        <w:rPr>
          <w:rFonts w:asciiTheme="minorHAnsi" w:hAnsiTheme="minorHAnsi" w:cstheme="minorHAnsi"/>
        </w:rPr>
        <w:t>Ke</w:t>
      </w:r>
      <w:proofErr w:type="spellEnd"/>
      <w:r w:rsidR="00CD7C18" w:rsidRPr="002E2D1F">
        <w:rPr>
          <w:rFonts w:asciiTheme="minorHAnsi" w:hAnsiTheme="minorHAnsi" w:cstheme="minorHAnsi"/>
        </w:rPr>
        <w:t xml:space="preserve"> 274/07). </w:t>
      </w:r>
    </w:p>
    <w:p w14:paraId="289259DE" w14:textId="3EEF0216" w:rsidR="00C25196" w:rsidRPr="002E2D1F" w:rsidRDefault="000F5AB7" w:rsidP="002E2D1F">
      <w:pPr>
        <w:pStyle w:val="Bezodstpw"/>
        <w:rPr>
          <w:rFonts w:asciiTheme="minorHAnsi" w:hAnsiTheme="minorHAnsi" w:cstheme="minorHAnsi"/>
          <w:color w:val="000000"/>
        </w:rPr>
      </w:pPr>
      <w:r w:rsidRPr="002E2D1F">
        <w:rPr>
          <w:rFonts w:asciiTheme="minorHAnsi" w:hAnsiTheme="minorHAnsi" w:cstheme="minorHAnsi"/>
          <w:color w:val="000000"/>
        </w:rPr>
        <w:t xml:space="preserve">Przesłanką uzasadniającą wznowienie postępowania, na którą powołało się </w:t>
      </w:r>
      <w:r w:rsidR="00363F63" w:rsidRPr="002E2D1F">
        <w:rPr>
          <w:rFonts w:asciiTheme="minorHAnsi" w:hAnsiTheme="minorHAnsi" w:cstheme="minorHAnsi"/>
          <w:color w:val="000000"/>
        </w:rPr>
        <w:t>s</w:t>
      </w:r>
      <w:r w:rsidRPr="002E2D1F">
        <w:rPr>
          <w:rFonts w:asciiTheme="minorHAnsi" w:hAnsiTheme="minorHAnsi" w:cstheme="minorHAnsi"/>
          <w:color w:val="000000"/>
        </w:rPr>
        <w:t xml:space="preserve">towarzyszenie jest </w:t>
      </w:r>
      <w:r w:rsidR="005F5B12" w:rsidRPr="002E2D1F">
        <w:rPr>
          <w:rFonts w:asciiTheme="minorHAnsi" w:hAnsiTheme="minorHAnsi" w:cstheme="minorHAnsi"/>
          <w:color w:val="000000"/>
        </w:rPr>
        <w:t>a</w:t>
      </w:r>
      <w:r w:rsidR="005B6000" w:rsidRPr="002E2D1F">
        <w:rPr>
          <w:rFonts w:asciiTheme="minorHAnsi" w:hAnsiTheme="minorHAnsi" w:cstheme="minorHAnsi"/>
          <w:color w:val="000000"/>
        </w:rPr>
        <w:t>rt</w:t>
      </w:r>
      <w:r w:rsidRPr="002E2D1F">
        <w:rPr>
          <w:rFonts w:asciiTheme="minorHAnsi" w:hAnsiTheme="minorHAnsi" w:cstheme="minorHAnsi"/>
          <w:color w:val="000000"/>
        </w:rPr>
        <w:t>. 145 § 1 pkt 5 Kpa, zgodnie z którym w sprawie zakończonej decyzją ostateczną wznawia się postępowanie, jeżeli wyjdą na jaw istotne dla sprawy nowe okoliczności faktyczne lub nowe dowody istniejące w dniu wydania decyzji, nieznane organowi, który wydał decyzję.</w:t>
      </w:r>
      <w:r w:rsidR="00BF388B" w:rsidRPr="002E2D1F">
        <w:rPr>
          <w:rFonts w:asciiTheme="minorHAnsi" w:hAnsiTheme="minorHAnsi" w:cstheme="minorHAnsi"/>
          <w:color w:val="000000"/>
        </w:rPr>
        <w:t xml:space="preserve"> Jak wspomniano powyżej</w:t>
      </w:r>
      <w:r w:rsidR="00363F63" w:rsidRPr="002E2D1F">
        <w:rPr>
          <w:rFonts w:asciiTheme="minorHAnsi" w:hAnsiTheme="minorHAnsi" w:cstheme="minorHAnsi"/>
          <w:color w:val="000000"/>
        </w:rPr>
        <w:t>,</w:t>
      </w:r>
      <w:r w:rsidR="00BF388B" w:rsidRPr="002E2D1F">
        <w:rPr>
          <w:rFonts w:asciiTheme="minorHAnsi" w:hAnsiTheme="minorHAnsi" w:cstheme="minorHAnsi"/>
          <w:color w:val="000000"/>
        </w:rPr>
        <w:t xml:space="preserve"> zdaniem </w:t>
      </w:r>
      <w:r w:rsidR="00363F63" w:rsidRPr="002E2D1F">
        <w:rPr>
          <w:rFonts w:asciiTheme="minorHAnsi" w:hAnsiTheme="minorHAnsi" w:cstheme="minorHAnsi"/>
          <w:color w:val="000000"/>
        </w:rPr>
        <w:t>s</w:t>
      </w:r>
      <w:r w:rsidR="00BF388B" w:rsidRPr="002E2D1F">
        <w:rPr>
          <w:rFonts w:asciiTheme="minorHAnsi" w:hAnsiTheme="minorHAnsi" w:cstheme="minorHAnsi"/>
          <w:color w:val="000000"/>
        </w:rPr>
        <w:t>towarzyszenia</w:t>
      </w:r>
      <w:r w:rsidR="00363F63" w:rsidRPr="002E2D1F">
        <w:rPr>
          <w:rFonts w:asciiTheme="minorHAnsi" w:hAnsiTheme="minorHAnsi" w:cstheme="minorHAnsi"/>
          <w:color w:val="000000"/>
        </w:rPr>
        <w:t>,</w:t>
      </w:r>
      <w:r w:rsidR="00BF388B" w:rsidRPr="002E2D1F">
        <w:rPr>
          <w:rFonts w:asciiTheme="minorHAnsi" w:hAnsiTheme="minorHAnsi" w:cstheme="minorHAnsi"/>
          <w:color w:val="000000"/>
        </w:rPr>
        <w:t xml:space="preserve"> zarówno RDOŚ we Wrocławiu jak i GDOŚ w momencie wydawania decyzji nie posiadały wiedzy o występowaniu modraszka </w:t>
      </w:r>
      <w:proofErr w:type="spellStart"/>
      <w:r w:rsidR="00BF388B" w:rsidRPr="002E2D1F">
        <w:rPr>
          <w:rFonts w:asciiTheme="minorHAnsi" w:hAnsiTheme="minorHAnsi" w:cstheme="minorHAnsi"/>
          <w:color w:val="000000"/>
        </w:rPr>
        <w:t>nausitousa</w:t>
      </w:r>
      <w:proofErr w:type="spellEnd"/>
      <w:r w:rsidR="00BF388B" w:rsidRPr="002E2D1F">
        <w:rPr>
          <w:rFonts w:asciiTheme="minorHAnsi" w:hAnsiTheme="minorHAnsi" w:cstheme="minorHAnsi"/>
          <w:color w:val="000000"/>
        </w:rPr>
        <w:t xml:space="preserve"> w obszarze realizacji inwestycji. Powyższe mogło mieć wpływ na wynik spraw</w:t>
      </w:r>
      <w:r w:rsidR="000852EF" w:rsidRPr="002E2D1F">
        <w:rPr>
          <w:rFonts w:asciiTheme="minorHAnsi" w:hAnsiTheme="minorHAnsi" w:cstheme="minorHAnsi"/>
          <w:color w:val="000000"/>
        </w:rPr>
        <w:t>y,</w:t>
      </w:r>
      <w:r w:rsidR="00BF388B" w:rsidRPr="002E2D1F">
        <w:rPr>
          <w:rFonts w:asciiTheme="minorHAnsi" w:hAnsiTheme="minorHAnsi" w:cstheme="minorHAnsi"/>
          <w:color w:val="000000"/>
        </w:rPr>
        <w:t xml:space="preserve"> np. na zmianę warunków realizacji inwestycji, wprowadzenie dodatkowych obowiązków mających na celu ochronę ww. gatunku.</w:t>
      </w:r>
    </w:p>
    <w:p w14:paraId="397FC1D8" w14:textId="5F1DEC7A" w:rsidR="007355D6" w:rsidRPr="002E2D1F" w:rsidRDefault="007355D6" w:rsidP="002E2D1F">
      <w:pPr>
        <w:pStyle w:val="Bezodstpw"/>
        <w:rPr>
          <w:rFonts w:asciiTheme="minorHAnsi" w:hAnsiTheme="minorHAnsi" w:cstheme="minorHAnsi"/>
          <w:color w:val="000000"/>
        </w:rPr>
      </w:pPr>
      <w:r w:rsidRPr="002E2D1F">
        <w:rPr>
          <w:rFonts w:asciiTheme="minorHAnsi" w:hAnsiTheme="minorHAnsi" w:cstheme="minorHAnsi"/>
          <w:color w:val="000000"/>
        </w:rPr>
        <w:t>Zgodnie z orzecznictwem sądów administracyjnych spełnienie przesłan</w:t>
      </w:r>
      <w:r w:rsidR="000852EF" w:rsidRPr="002E2D1F">
        <w:rPr>
          <w:rFonts w:asciiTheme="minorHAnsi" w:hAnsiTheme="minorHAnsi" w:cstheme="minorHAnsi"/>
          <w:color w:val="000000"/>
        </w:rPr>
        <w:t xml:space="preserve">ki </w:t>
      </w:r>
      <w:r w:rsidRPr="002E2D1F">
        <w:rPr>
          <w:rFonts w:asciiTheme="minorHAnsi" w:hAnsiTheme="minorHAnsi" w:cstheme="minorHAnsi"/>
          <w:color w:val="000000"/>
        </w:rPr>
        <w:t xml:space="preserve">z art. 145 § 1 pkt 5 </w:t>
      </w:r>
      <w:r w:rsidR="00363F63" w:rsidRPr="002E2D1F">
        <w:rPr>
          <w:rFonts w:asciiTheme="minorHAnsi" w:hAnsiTheme="minorHAnsi" w:cstheme="minorHAnsi"/>
          <w:color w:val="000000"/>
        </w:rPr>
        <w:t>K</w:t>
      </w:r>
      <w:r w:rsidRPr="002E2D1F">
        <w:rPr>
          <w:rFonts w:asciiTheme="minorHAnsi" w:hAnsiTheme="minorHAnsi" w:cstheme="minorHAnsi"/>
          <w:color w:val="000000"/>
        </w:rPr>
        <w:t>pa, otwierającej ponowne rozpoznanie i rozstrzygnięcie sprawy zakończonej ostateczną decyzją, wymaga wystąpienia łącznie trzech wyliczonych w przywołanym przepisie warunków. W wyroku z dnia 5 kwietnia</w:t>
      </w:r>
      <w:r w:rsidR="005F5B12" w:rsidRPr="002E2D1F">
        <w:rPr>
          <w:rFonts w:asciiTheme="minorHAnsi" w:hAnsiTheme="minorHAnsi" w:cstheme="minorHAnsi"/>
          <w:color w:val="000000"/>
        </w:rPr>
        <w:t>,</w:t>
      </w:r>
      <w:r w:rsidRPr="002E2D1F">
        <w:rPr>
          <w:rFonts w:asciiTheme="minorHAnsi" w:hAnsiTheme="minorHAnsi" w:cstheme="minorHAnsi"/>
          <w:color w:val="000000"/>
        </w:rPr>
        <w:t xml:space="preserve"> 2</w:t>
      </w:r>
      <w:r w:rsidR="005F5B12" w:rsidRPr="002E2D1F">
        <w:rPr>
          <w:rFonts w:asciiTheme="minorHAnsi" w:hAnsiTheme="minorHAnsi" w:cstheme="minorHAnsi"/>
          <w:color w:val="000000"/>
        </w:rPr>
        <w:t xml:space="preserve">015 </w:t>
      </w:r>
      <w:r w:rsidRPr="002E2D1F">
        <w:rPr>
          <w:rFonts w:asciiTheme="minorHAnsi" w:hAnsiTheme="minorHAnsi" w:cstheme="minorHAnsi"/>
          <w:color w:val="000000"/>
        </w:rPr>
        <w:t>r., sygn. akt</w:t>
      </w:r>
      <w:r w:rsidR="00CD7C18" w:rsidRPr="002E2D1F">
        <w:rPr>
          <w:rFonts w:asciiTheme="minorHAnsi" w:hAnsiTheme="minorHAnsi" w:cstheme="minorHAnsi"/>
          <w:color w:val="000000"/>
        </w:rPr>
        <w:t>:</w:t>
      </w:r>
      <w:r w:rsidRPr="002E2D1F">
        <w:rPr>
          <w:rFonts w:asciiTheme="minorHAnsi" w:hAnsiTheme="minorHAnsi" w:cstheme="minorHAnsi"/>
          <w:color w:val="000000"/>
        </w:rPr>
        <w:t xml:space="preserve"> II OSK 2010/15, Naczelny Sąd Administracyjny wskazał, iż „pierwszy warunek to zgłoszone okoliczności faktyczne lub dowody, są nowe, a zatem nie były znane organowi rozpoznającemu sprawę w postępowaniu zwykłym. Drugi warunek stanowi, że nowe okoliczności faktyczne, nowe dowody, mają istotne znaczenie dla sprawy. Występuje tu związek z regulacją materialną</w:t>
      </w:r>
      <w:r w:rsidR="005B6000" w:rsidRPr="002E2D1F">
        <w:rPr>
          <w:rFonts w:asciiTheme="minorHAnsi" w:hAnsiTheme="minorHAnsi" w:cstheme="minorHAnsi"/>
          <w:color w:val="000000"/>
        </w:rPr>
        <w:t>,</w:t>
      </w:r>
      <w:r w:rsidRPr="002E2D1F">
        <w:rPr>
          <w:rFonts w:asciiTheme="minorHAnsi" w:hAnsiTheme="minorHAnsi" w:cstheme="minorHAnsi"/>
          <w:color w:val="000000"/>
        </w:rPr>
        <w:t xml:space="preserve"> przepisami prawa sprawy rozstrzygniętej decyzją objętą żądaniem wznowienia postępowania. Tylko bowiem na podstawie przepisu prawa materialnego możliwa jest ocena, czy nowa okoliczność faktyczna, nowy dowód dotyczy ustalenia stanu faktycznego zapisanego w tym przepisie prawa. Trzeci warunek, to istnienie okoliczności faktycznej, istnienie dowodu w dniu wydania decyzji objętej żądaniem wznowienia postępowania. Spełnienie łącznie tych trzech warunków daje podstawy do stwierdzenia, że postępowanie zakończone ostateczną decyzją zostało dotknięte istotnym naruszeniem przepisów prawa procesowego co do ustalenia stanu faktycznego, uzasadniającym ponowne rozpoznanie i rozstrzygnięcie sprawy”.</w:t>
      </w:r>
    </w:p>
    <w:p w14:paraId="753C426C" w14:textId="08A92544" w:rsidR="007355D6" w:rsidRPr="002E2D1F" w:rsidRDefault="007355D6" w:rsidP="002E2D1F">
      <w:pPr>
        <w:pStyle w:val="Bezodstpw"/>
        <w:rPr>
          <w:rFonts w:asciiTheme="minorHAnsi" w:hAnsiTheme="minorHAnsi" w:cstheme="minorHAnsi"/>
          <w:color w:val="000000"/>
        </w:rPr>
      </w:pPr>
      <w:r w:rsidRPr="002E2D1F">
        <w:rPr>
          <w:rFonts w:asciiTheme="minorHAnsi" w:hAnsiTheme="minorHAnsi" w:cstheme="minorHAnsi"/>
          <w:color w:val="000000"/>
        </w:rPr>
        <w:t>Należy przy tym zauważyć, że pojęcie nowej okoliczności faktycznej nie jest tożsame z pojęciem nowego dowodu. Dowód musi istnieć w dacie wydania decyzji, aby mógł stanowić podstawę do wznowienia postępowania. Okolicznością faktyczną istotną dla sprawy jest taka okoliczność, która mogła mieć wpływ na odmienne rozstrzygnięcie sprawy, co oznacza, że w sprawie mogłaby zapaść decyzja co do swej istoty odmienna od rozstrzygnięcia dotychczasowego (por. wyrok Wojewódzkiego Sądu Administracyjnego w Warszawie z dnia 9 marca 2006 r., sygn. akt</w:t>
      </w:r>
      <w:r w:rsidR="00CD7C18" w:rsidRPr="002E2D1F">
        <w:rPr>
          <w:rFonts w:asciiTheme="minorHAnsi" w:hAnsiTheme="minorHAnsi" w:cstheme="minorHAnsi"/>
          <w:color w:val="000000"/>
        </w:rPr>
        <w:t>:</w:t>
      </w:r>
      <w:r w:rsidRPr="002E2D1F">
        <w:rPr>
          <w:rFonts w:asciiTheme="minorHAnsi" w:hAnsiTheme="minorHAnsi" w:cstheme="minorHAnsi"/>
          <w:color w:val="000000"/>
        </w:rPr>
        <w:t xml:space="preserve"> V SA/</w:t>
      </w:r>
      <w:proofErr w:type="spellStart"/>
      <w:r w:rsidRPr="002E2D1F">
        <w:rPr>
          <w:rFonts w:asciiTheme="minorHAnsi" w:hAnsiTheme="minorHAnsi" w:cstheme="minorHAnsi"/>
          <w:color w:val="000000"/>
        </w:rPr>
        <w:t>Wa</w:t>
      </w:r>
      <w:proofErr w:type="spellEnd"/>
      <w:r w:rsidRPr="002E2D1F">
        <w:rPr>
          <w:rFonts w:asciiTheme="minorHAnsi" w:hAnsiTheme="minorHAnsi" w:cstheme="minorHAnsi"/>
          <w:color w:val="000000"/>
        </w:rPr>
        <w:t xml:space="preserve"> 2510/05).</w:t>
      </w:r>
    </w:p>
    <w:p w14:paraId="5695B000" w14:textId="6E94F58F" w:rsidR="00F90151" w:rsidRPr="002E2D1F" w:rsidRDefault="00F90151" w:rsidP="002E2D1F">
      <w:pPr>
        <w:pStyle w:val="Bezodstpw"/>
        <w:rPr>
          <w:rFonts w:asciiTheme="minorHAnsi" w:hAnsiTheme="minorHAnsi" w:cstheme="minorHAnsi"/>
        </w:rPr>
      </w:pPr>
      <w:r w:rsidRPr="002E2D1F">
        <w:rPr>
          <w:rFonts w:asciiTheme="minorHAnsi" w:hAnsiTheme="minorHAnsi" w:cstheme="minorHAnsi"/>
          <w:color w:val="000000"/>
        </w:rPr>
        <w:t xml:space="preserve">W przedmiotowej sprawie stowarzyszenie wskazało jako podstawę wznowieniową wyjście na jaw okoliczności faktycznych polegających na tym, że w trakcie już realizacji przedsięwzięcia odkryte zostały, w granicach terenu realizacji inwestycji, stanowiska osobników gatunku modraszek </w:t>
      </w:r>
      <w:proofErr w:type="spellStart"/>
      <w:r w:rsidRPr="002E2D1F">
        <w:rPr>
          <w:rFonts w:asciiTheme="minorHAnsi" w:hAnsiTheme="minorHAnsi" w:cstheme="minorHAnsi"/>
          <w:color w:val="000000"/>
        </w:rPr>
        <w:t>nausitous</w:t>
      </w:r>
      <w:proofErr w:type="spellEnd"/>
      <w:r w:rsidRPr="002E2D1F">
        <w:rPr>
          <w:rFonts w:asciiTheme="minorHAnsi" w:hAnsiTheme="minorHAnsi" w:cstheme="minorHAnsi"/>
          <w:color w:val="000000"/>
        </w:rPr>
        <w:t xml:space="preserve">. Dołączona do wniosku stowarzyszenia dokumentacja fotograficzna nie stanowi odrębnej podstawy wznowieniowej w rozumieniu art. 145 § </w:t>
      </w:r>
      <w:r w:rsidRPr="002E2D1F">
        <w:rPr>
          <w:rFonts w:asciiTheme="minorHAnsi" w:hAnsiTheme="minorHAnsi" w:cstheme="minorHAnsi"/>
        </w:rPr>
        <w:t xml:space="preserve">1 pkt 5 Kpa, ale została dołączona do wniosku na potwierdzenie wskazanej okoliczności faktycznej. </w:t>
      </w:r>
    </w:p>
    <w:p w14:paraId="2435CCFE" w14:textId="3F90F02F" w:rsidR="00E74C39" w:rsidRPr="002E2D1F" w:rsidRDefault="00F90151" w:rsidP="002E2D1F">
      <w:pPr>
        <w:pStyle w:val="Bezodstpw"/>
        <w:rPr>
          <w:rFonts w:asciiTheme="minorHAnsi" w:hAnsiTheme="minorHAnsi" w:cstheme="minorHAnsi"/>
        </w:rPr>
      </w:pPr>
      <w:r w:rsidRPr="002E2D1F">
        <w:rPr>
          <w:rFonts w:asciiTheme="minorHAnsi" w:hAnsiTheme="minorHAnsi" w:cstheme="minorHAnsi"/>
        </w:rPr>
        <w:lastRenderedPageBreak/>
        <w:t>Odnosząc się do</w:t>
      </w:r>
      <w:r w:rsidR="007D19F6" w:rsidRPr="002E2D1F">
        <w:rPr>
          <w:rFonts w:asciiTheme="minorHAnsi" w:hAnsiTheme="minorHAnsi" w:cstheme="minorHAnsi"/>
        </w:rPr>
        <w:t xml:space="preserve"> pierwszego z warunków określonego w art. 145 § 1 pkt 5 Kpa, tj.</w:t>
      </w:r>
      <w:r w:rsidRPr="002E2D1F">
        <w:rPr>
          <w:rFonts w:asciiTheme="minorHAnsi" w:hAnsiTheme="minorHAnsi" w:cstheme="minorHAnsi"/>
        </w:rPr>
        <w:t xml:space="preserve"> warunku nowości</w:t>
      </w:r>
      <w:r w:rsidR="007D19F6" w:rsidRPr="002E2D1F">
        <w:rPr>
          <w:rFonts w:asciiTheme="minorHAnsi" w:hAnsiTheme="minorHAnsi" w:cstheme="minorHAnsi"/>
        </w:rPr>
        <w:t>, wskazać należy, że ujawnienie w terenie inwestycji tego chronionego gatunk</w:t>
      </w:r>
      <w:r w:rsidR="005A05D0" w:rsidRPr="002E2D1F">
        <w:rPr>
          <w:rFonts w:asciiTheme="minorHAnsi" w:hAnsiTheme="minorHAnsi" w:cstheme="minorHAnsi"/>
        </w:rPr>
        <w:t>u motyla jest okolicznością nowo odkrytą, dopiero co zgłoszoną przez stronę</w:t>
      </w:r>
      <w:r w:rsidR="007D19F6" w:rsidRPr="002E2D1F">
        <w:rPr>
          <w:rFonts w:asciiTheme="minorHAnsi" w:hAnsiTheme="minorHAnsi" w:cstheme="minorHAnsi"/>
        </w:rPr>
        <w:t>. Jak skarżący słusznie wskazali, raport o oddziaływaniu przedsięwzięcia, będący podstawą wydania decyzji o środowiskowych uwarunkowani</w:t>
      </w:r>
      <w:r w:rsidR="005A05D0" w:rsidRPr="002E2D1F">
        <w:rPr>
          <w:rFonts w:asciiTheme="minorHAnsi" w:hAnsiTheme="minorHAnsi" w:cstheme="minorHAnsi"/>
        </w:rPr>
        <w:t xml:space="preserve">ach, w części </w:t>
      </w:r>
      <w:r w:rsidR="005B6000" w:rsidRPr="002E2D1F">
        <w:rPr>
          <w:rFonts w:asciiTheme="minorHAnsi" w:hAnsiTheme="minorHAnsi" w:cstheme="minorHAnsi"/>
        </w:rPr>
        <w:t>inwentaryzacyjnej</w:t>
      </w:r>
      <w:r w:rsidR="005A05D0" w:rsidRPr="002E2D1F">
        <w:rPr>
          <w:rFonts w:asciiTheme="minorHAnsi" w:hAnsiTheme="minorHAnsi" w:cstheme="minorHAnsi"/>
        </w:rPr>
        <w:t xml:space="preserve">, </w:t>
      </w:r>
      <w:r w:rsidR="007D19F6" w:rsidRPr="002E2D1F">
        <w:rPr>
          <w:rFonts w:asciiTheme="minorHAnsi" w:hAnsiTheme="minorHAnsi" w:cstheme="minorHAnsi"/>
        </w:rPr>
        <w:t xml:space="preserve">nie stwierdził występowania w czaszy zbiornika modraszka </w:t>
      </w:r>
      <w:proofErr w:type="spellStart"/>
      <w:r w:rsidR="007D19F6" w:rsidRPr="002E2D1F">
        <w:rPr>
          <w:rFonts w:asciiTheme="minorHAnsi" w:hAnsiTheme="minorHAnsi" w:cstheme="minorHAnsi"/>
        </w:rPr>
        <w:t>nausitous</w:t>
      </w:r>
      <w:proofErr w:type="spellEnd"/>
      <w:r w:rsidR="007D19F6" w:rsidRPr="002E2D1F">
        <w:rPr>
          <w:rFonts w:asciiTheme="minorHAnsi" w:hAnsiTheme="minorHAnsi" w:cstheme="minorHAnsi"/>
        </w:rPr>
        <w:t xml:space="preserve">. Także w pozostałych aktach sprawy brak jest jakiejkolwiek wzmianki o występowaniu w związku z realizacją ww. inwestycji, tego gatunku motyla. </w:t>
      </w:r>
      <w:r w:rsidR="005A05D0" w:rsidRPr="002E2D1F">
        <w:rPr>
          <w:rFonts w:asciiTheme="minorHAnsi" w:hAnsiTheme="minorHAnsi" w:cstheme="minorHAnsi"/>
        </w:rPr>
        <w:t xml:space="preserve">Przy czym nie ma znaczenia to co zdaje się sugerować stowarzyszenie, że ujawnione okoliczności nie były znane organowi prowadzącemu postępowanie pierwotnie w wyniku zaniedbań, czy też z innych powodów. Warunkiem wznowienia postępowania jest w tym przypadku jedynie to, aby nowa okoliczność miała istotne znaczenie dla sprawy i istniała w dniu wydania decyzji, przy czym nie była znana organowi, który wydał decyzję (por. wyrok Naczelnego Sądu Administracyjnego z dnia 19 lipca 2012 r., sygn. akt II OSK 768/11). </w:t>
      </w:r>
    </w:p>
    <w:p w14:paraId="639D70A7" w14:textId="1157BC48" w:rsidR="00F90151" w:rsidRPr="002E2D1F" w:rsidRDefault="005A05D0" w:rsidP="002E2D1F">
      <w:pPr>
        <w:pStyle w:val="Bezodstpw"/>
        <w:rPr>
          <w:rFonts w:asciiTheme="minorHAnsi" w:hAnsiTheme="minorHAnsi" w:cstheme="minorHAnsi"/>
        </w:rPr>
      </w:pPr>
      <w:r w:rsidRPr="002E2D1F">
        <w:rPr>
          <w:rFonts w:asciiTheme="minorHAnsi" w:hAnsiTheme="minorHAnsi" w:cstheme="minorHAnsi"/>
        </w:rPr>
        <w:t>Aby przyjąć, że dana okoliczność była nieznana organowi</w:t>
      </w:r>
      <w:r w:rsidR="00E74C39" w:rsidRPr="002E2D1F">
        <w:rPr>
          <w:rFonts w:asciiTheme="minorHAnsi" w:hAnsiTheme="minorHAnsi" w:cstheme="minorHAnsi"/>
        </w:rPr>
        <w:t xml:space="preserve"> (drugi warunek z art. 145 § 1 pkt 5 Kpa)</w:t>
      </w:r>
      <w:r w:rsidRPr="002E2D1F">
        <w:rPr>
          <w:rFonts w:asciiTheme="minorHAnsi" w:hAnsiTheme="minorHAnsi" w:cstheme="minorHAnsi"/>
        </w:rPr>
        <w:t xml:space="preserve">, który wydał decyzję, nie może ona wynikać z materiałów będących w dyspozycji tego organu, tj. materiałów, którymi dysponował na dzień orzekania decyzji ostatecznej. Przez pojęcie okoliczności faktycznych nieznanych organowi, który wydał decyzję, należy rozumieć tylko takie okoliczności, które z badanego materiału nie wynikały. Jak wskazano wyżej nie stwierdzono na etapie postępowania w sprawie wydania decyzji środowiskowej obecności modraczka </w:t>
      </w:r>
      <w:proofErr w:type="spellStart"/>
      <w:r w:rsidRPr="002E2D1F">
        <w:rPr>
          <w:rFonts w:asciiTheme="minorHAnsi" w:hAnsiTheme="minorHAnsi" w:cstheme="minorHAnsi"/>
        </w:rPr>
        <w:t>nausitous</w:t>
      </w:r>
      <w:proofErr w:type="spellEnd"/>
      <w:r w:rsidRPr="002E2D1F">
        <w:rPr>
          <w:rFonts w:asciiTheme="minorHAnsi" w:hAnsiTheme="minorHAnsi" w:cstheme="minorHAnsi"/>
        </w:rPr>
        <w:t xml:space="preserve">, czy to w wyniku dokumentacji sporządzonej na zlecenie inwestora czy też w wyniku zgłoszenia przez stronę. Jest </w:t>
      </w:r>
      <w:r w:rsidR="005F5B12" w:rsidRPr="002E2D1F">
        <w:rPr>
          <w:rFonts w:asciiTheme="minorHAnsi" w:hAnsiTheme="minorHAnsi" w:cstheme="minorHAnsi"/>
        </w:rPr>
        <w:t xml:space="preserve">to </w:t>
      </w:r>
      <w:r w:rsidRPr="002E2D1F">
        <w:rPr>
          <w:rFonts w:asciiTheme="minorHAnsi" w:hAnsiTheme="minorHAnsi" w:cstheme="minorHAnsi"/>
        </w:rPr>
        <w:t xml:space="preserve">więc okoliczność także nieznana organowi w dniu wydania decyzji. </w:t>
      </w:r>
    </w:p>
    <w:p w14:paraId="3407C20C" w14:textId="77777777" w:rsidR="00AD00E9" w:rsidRPr="002E2D1F" w:rsidRDefault="00E74C39" w:rsidP="002E2D1F">
      <w:pPr>
        <w:pStyle w:val="Bezodstpw"/>
        <w:rPr>
          <w:rFonts w:asciiTheme="minorHAnsi" w:hAnsiTheme="minorHAnsi" w:cstheme="minorHAnsi"/>
        </w:rPr>
      </w:pPr>
      <w:r w:rsidRPr="002E2D1F">
        <w:rPr>
          <w:rFonts w:asciiTheme="minorHAnsi" w:hAnsiTheme="minorHAnsi" w:cstheme="minorHAnsi"/>
        </w:rPr>
        <w:t xml:space="preserve">Jeśli chodzi o istotność </w:t>
      </w:r>
      <w:r w:rsidR="005F5B12" w:rsidRPr="002E2D1F">
        <w:rPr>
          <w:rFonts w:asciiTheme="minorHAnsi" w:hAnsiTheme="minorHAnsi" w:cstheme="minorHAnsi"/>
        </w:rPr>
        <w:t xml:space="preserve">tej okoliczności </w:t>
      </w:r>
      <w:r w:rsidRPr="002E2D1F">
        <w:rPr>
          <w:rFonts w:asciiTheme="minorHAnsi" w:hAnsiTheme="minorHAnsi" w:cstheme="minorHAnsi"/>
        </w:rPr>
        <w:t>(trzeci warunek z art. 145 § 1 pkt 5 Kpa)</w:t>
      </w:r>
      <w:r w:rsidR="005F5B12" w:rsidRPr="002E2D1F">
        <w:rPr>
          <w:rFonts w:asciiTheme="minorHAnsi" w:hAnsiTheme="minorHAnsi" w:cstheme="minorHAnsi"/>
        </w:rPr>
        <w:t>,</w:t>
      </w:r>
      <w:r w:rsidRPr="002E2D1F">
        <w:rPr>
          <w:rFonts w:asciiTheme="minorHAnsi" w:hAnsiTheme="minorHAnsi" w:cstheme="minorHAnsi"/>
        </w:rPr>
        <w:t xml:space="preserve"> wskazać należy, że </w:t>
      </w:r>
      <w:r w:rsidR="00335529" w:rsidRPr="002E2D1F">
        <w:rPr>
          <w:rFonts w:asciiTheme="minorHAnsi" w:hAnsiTheme="minorHAnsi" w:cstheme="minorHAnsi"/>
        </w:rPr>
        <w:t>cechę istotności można przypisać tylko wtedy, gdy uwzględnione w procesie konkretyzacji normy materialnej — w czasie jej dokonywania, niekoniecznie również teraz — spowodowałyby, że jej wynik mógłby być inny albo w ogóle by do niej nie doszło (por. wyrok Wojewódzkiego Sądu Administracyjnego w Łodzi z dnia 19 marca 2013 r., sygn. akt II SA/</w:t>
      </w:r>
      <w:proofErr w:type="spellStart"/>
      <w:r w:rsidR="00335529" w:rsidRPr="002E2D1F">
        <w:rPr>
          <w:rFonts w:asciiTheme="minorHAnsi" w:hAnsiTheme="minorHAnsi" w:cstheme="minorHAnsi"/>
        </w:rPr>
        <w:t>Łd</w:t>
      </w:r>
      <w:proofErr w:type="spellEnd"/>
      <w:r w:rsidR="00335529" w:rsidRPr="002E2D1F">
        <w:rPr>
          <w:rFonts w:asciiTheme="minorHAnsi" w:hAnsiTheme="minorHAnsi" w:cstheme="minorHAnsi"/>
        </w:rPr>
        <w:t xml:space="preserve"> 1120/12). Istotność to bowiem dotyczenie przedmiotu sprawy oraz znaczenie prawne, mające w konsekwencji wpływ na zmianę treści decyzji w kwestiach zasadniczych. Decyzja o środowiskowych uwarunkowaniach nadaje uprawnienie w postaci prawa do realizacji, a konkretniej do występowania na podstawie decyzji środowiskowej o decyzję następcze. Nie przesądza jednak o dopuszczalności zniszczenia siedlisk chronionych gatunków. Należy wskazać, że ewentualna obecność modraszków nie wpłynęłaby na rozstrzygnięcie organów, zarówno RDOŚ we Wrocławiu jak i GDOŚ. Ewentualne odnotowanie gatunków z tego rodzaju nie zwolniłoby bowiem inwestora z obowiązku uzyskania odstępstwa od zakazów z ochrony gatunkowej, przez ustawę z 16 kwietnia 2004 r. o ochronie przyrody (Dz. U. z 2021 r. poz.1098). Tylko po uzyskaniu ww. zezwolenia, w ramach którego mogłyby zostać zaplanowane dodatkowe działania niezbędne do wykonania przez wnioskodawcę, możliwe byłoby rozpoczęcie prac związanych z budową zbiornika. Jednocześnie w granicach terenu realizacji przedsięwzięcia nie występują obszary Natura 2000 a tym samym modraszek </w:t>
      </w:r>
      <w:proofErr w:type="spellStart"/>
      <w:r w:rsidR="00335529" w:rsidRPr="002E2D1F">
        <w:rPr>
          <w:rFonts w:asciiTheme="minorHAnsi" w:hAnsiTheme="minorHAnsi" w:cstheme="minorHAnsi"/>
        </w:rPr>
        <w:t>nausitous</w:t>
      </w:r>
      <w:proofErr w:type="spellEnd"/>
      <w:r w:rsidR="00335529" w:rsidRPr="002E2D1F">
        <w:rPr>
          <w:rFonts w:asciiTheme="minorHAnsi" w:hAnsiTheme="minorHAnsi" w:cstheme="minorHAnsi"/>
        </w:rPr>
        <w:t xml:space="preserve"> nie jest przedmiotem ochrony tychże obszarów. Wobec powyższego stwierdzenie osobników tego gatunku w czaszy projektowanego zbiornika nie jest okolicznością faktyczną, która jest istotna dla sprawy i ma kluczowe znaczenie. Odróżnić należy jednak samo rozstrzygnięcie w przedmiocie decyzji o środowiskowych uwarunkowaniach (nadanie uprawnienie bądź tez jego nie przyznanie) od elementów dodatkowych decyzji czyli warunków realizacji przedsięwzięcia. Stwierdzenie obecności chronionego gatunku motyla na etapie wydawania decyzji ostatecznej z pewnością wpłynęłoby na treść tych warunków ale nadal nie przesądziłoby o możliwości wydania pozytywnej decyzji środowiskowej. </w:t>
      </w:r>
    </w:p>
    <w:p w14:paraId="6A262483" w14:textId="4154EE8A" w:rsidR="000F5AB7" w:rsidRPr="002E2D1F" w:rsidRDefault="00AD00E9" w:rsidP="002E2D1F">
      <w:pPr>
        <w:pStyle w:val="Bezodstpw"/>
        <w:rPr>
          <w:rFonts w:asciiTheme="minorHAnsi" w:hAnsiTheme="minorHAnsi" w:cstheme="minorHAnsi"/>
          <w:color w:val="000000"/>
        </w:rPr>
      </w:pPr>
      <w:r w:rsidRPr="002E2D1F">
        <w:rPr>
          <w:rFonts w:asciiTheme="minorHAnsi" w:hAnsiTheme="minorHAnsi" w:cstheme="minorHAnsi"/>
        </w:rPr>
        <w:lastRenderedPageBreak/>
        <w:t xml:space="preserve">Podkreślić należy także, że z uwagi na dynamiczne zmiany w środowisku, także przyrodniczym, a także coraz nowocześniejsze i efektywniejsze metody badań, jest rzeczą prawdopodobną, że po wydaniu decyzji ostatecznej w terenie realizacji inwestycji zostaną stwierdzone chronione gatunki lub siedliska. Pozostają one jednak bez znaczenia dla losów decyzji korzystającej z ochrony trwałości. Odnosząc się zatem do kolejnego warunku, tj. istnienia w dniu wydania decyzji przez RDOŚ we Wrocławiu, należy stwierdzić, że przedstawiona przez stronę dokumentacja fotograficzna oraz wyjaśnienia nie pozwalają ustalić dokładnej daty wyjścia na jaw okoliczności, a tym samym nie pozwalają jednoznacznie ustalić od kiedy modraszki </w:t>
      </w:r>
      <w:proofErr w:type="spellStart"/>
      <w:r w:rsidRPr="002E2D1F">
        <w:rPr>
          <w:rFonts w:asciiTheme="minorHAnsi" w:hAnsiTheme="minorHAnsi" w:cstheme="minorHAnsi"/>
        </w:rPr>
        <w:t>nausitous</w:t>
      </w:r>
      <w:proofErr w:type="spellEnd"/>
      <w:r w:rsidRPr="002E2D1F">
        <w:rPr>
          <w:rFonts w:asciiTheme="minorHAnsi" w:hAnsiTheme="minorHAnsi" w:cstheme="minorHAnsi"/>
        </w:rPr>
        <w:t xml:space="preserve"> występują na terenie realizacji inwestycji oraz czy były one faktycznie na tym terenie w momencie wydawania decyzji organu pierwszej instancji. Stowarzyszenie jako dowody potwierdzające istnienie analizowanej okoliczności przedstawiło bowiem pismo z dnia 7 sierpnia 2019 r. (a więc już po wydaniu decyzji ostatecznej). </w:t>
      </w:r>
      <w:r w:rsidR="00595213" w:rsidRPr="002E2D1F">
        <w:rPr>
          <w:rFonts w:asciiTheme="minorHAnsi" w:hAnsiTheme="minorHAnsi" w:cstheme="minorHAnsi"/>
          <w:color w:val="000000"/>
        </w:rPr>
        <w:t>Odnosząc się do kolejnego warunku, tj. istnienia w dniu wydania decyzji przez RDOŚ we Wrocławiu, należy stwierdzić, że przedstawion</w:t>
      </w:r>
      <w:r w:rsidR="00670441" w:rsidRPr="002E2D1F">
        <w:rPr>
          <w:rFonts w:asciiTheme="minorHAnsi" w:hAnsiTheme="minorHAnsi" w:cstheme="minorHAnsi"/>
          <w:color w:val="000000"/>
        </w:rPr>
        <w:t>a</w:t>
      </w:r>
      <w:r w:rsidR="00595213" w:rsidRPr="002E2D1F">
        <w:rPr>
          <w:rFonts w:asciiTheme="minorHAnsi" w:hAnsiTheme="minorHAnsi" w:cstheme="minorHAnsi"/>
          <w:color w:val="000000"/>
        </w:rPr>
        <w:t xml:space="preserve"> przez stronę dokume</w:t>
      </w:r>
      <w:r w:rsidR="00670441" w:rsidRPr="002E2D1F">
        <w:rPr>
          <w:rFonts w:asciiTheme="minorHAnsi" w:hAnsiTheme="minorHAnsi" w:cstheme="minorHAnsi"/>
          <w:color w:val="000000"/>
        </w:rPr>
        <w:t xml:space="preserve">ntacja fotograficzna </w:t>
      </w:r>
      <w:r w:rsidR="00595213" w:rsidRPr="002E2D1F">
        <w:rPr>
          <w:rFonts w:asciiTheme="minorHAnsi" w:hAnsiTheme="minorHAnsi" w:cstheme="minorHAnsi"/>
          <w:color w:val="000000"/>
        </w:rPr>
        <w:t xml:space="preserve">oraz wyjaśnienia nie pozwalają ustalić dokładnej daty wyjścia na jaw </w:t>
      </w:r>
      <w:r w:rsidR="00670441" w:rsidRPr="002E2D1F">
        <w:rPr>
          <w:rFonts w:asciiTheme="minorHAnsi" w:hAnsiTheme="minorHAnsi" w:cstheme="minorHAnsi"/>
          <w:color w:val="000000"/>
        </w:rPr>
        <w:t>okoliczności</w:t>
      </w:r>
      <w:r w:rsidR="00595213" w:rsidRPr="002E2D1F">
        <w:rPr>
          <w:rFonts w:asciiTheme="minorHAnsi" w:hAnsiTheme="minorHAnsi" w:cstheme="minorHAnsi"/>
          <w:color w:val="000000"/>
        </w:rPr>
        <w:t>, a tym samym nie pozwalają jednoznacznie ustalić od kiedy</w:t>
      </w:r>
      <w:r w:rsidR="00670441" w:rsidRPr="002E2D1F">
        <w:rPr>
          <w:rFonts w:asciiTheme="minorHAnsi" w:hAnsiTheme="minorHAnsi" w:cstheme="minorHAnsi"/>
          <w:color w:val="000000"/>
        </w:rPr>
        <w:t xml:space="preserve"> </w:t>
      </w:r>
      <w:r w:rsidR="00595213" w:rsidRPr="002E2D1F">
        <w:rPr>
          <w:rFonts w:asciiTheme="minorHAnsi" w:hAnsiTheme="minorHAnsi" w:cstheme="minorHAnsi"/>
          <w:color w:val="000000"/>
        </w:rPr>
        <w:t xml:space="preserve">modraszki </w:t>
      </w:r>
      <w:proofErr w:type="spellStart"/>
      <w:r w:rsidR="00595213" w:rsidRPr="002E2D1F">
        <w:rPr>
          <w:rFonts w:asciiTheme="minorHAnsi" w:hAnsiTheme="minorHAnsi" w:cstheme="minorHAnsi"/>
          <w:color w:val="000000"/>
        </w:rPr>
        <w:t>nausitous</w:t>
      </w:r>
      <w:proofErr w:type="spellEnd"/>
      <w:r w:rsidR="00595213" w:rsidRPr="002E2D1F">
        <w:rPr>
          <w:rFonts w:asciiTheme="minorHAnsi" w:hAnsiTheme="minorHAnsi" w:cstheme="minorHAnsi"/>
          <w:color w:val="000000"/>
        </w:rPr>
        <w:t xml:space="preserve"> występują na terenie realizacji inwestycji oraz czy były one </w:t>
      </w:r>
      <w:r w:rsidR="00670441" w:rsidRPr="002E2D1F">
        <w:rPr>
          <w:rFonts w:asciiTheme="minorHAnsi" w:hAnsiTheme="minorHAnsi" w:cstheme="minorHAnsi"/>
          <w:color w:val="000000"/>
        </w:rPr>
        <w:t>faktycznie na tym</w:t>
      </w:r>
      <w:r w:rsidR="00595213" w:rsidRPr="002E2D1F">
        <w:rPr>
          <w:rFonts w:asciiTheme="minorHAnsi" w:hAnsiTheme="minorHAnsi" w:cstheme="minorHAnsi"/>
          <w:color w:val="000000"/>
        </w:rPr>
        <w:t xml:space="preserve"> terenie w momencie wydawania decyzji organu pierwszej instancji.</w:t>
      </w:r>
      <w:r w:rsidR="000D2374" w:rsidRPr="002E2D1F">
        <w:rPr>
          <w:rFonts w:asciiTheme="minorHAnsi" w:hAnsiTheme="minorHAnsi" w:cstheme="minorHAnsi"/>
          <w:color w:val="000000"/>
        </w:rPr>
        <w:t xml:space="preserve"> Stowarzyszenie jako dow</w:t>
      </w:r>
      <w:r w:rsidR="00670441" w:rsidRPr="002E2D1F">
        <w:rPr>
          <w:rFonts w:asciiTheme="minorHAnsi" w:hAnsiTheme="minorHAnsi" w:cstheme="minorHAnsi"/>
          <w:color w:val="000000"/>
        </w:rPr>
        <w:t>ody potwierdzające istnienie analizowanej okoliczności</w:t>
      </w:r>
      <w:r w:rsidR="000D2374" w:rsidRPr="002E2D1F">
        <w:rPr>
          <w:rFonts w:asciiTheme="minorHAnsi" w:hAnsiTheme="minorHAnsi" w:cstheme="minorHAnsi"/>
          <w:color w:val="000000"/>
        </w:rPr>
        <w:t xml:space="preserve"> przedstawiło</w:t>
      </w:r>
      <w:r w:rsidR="00670441" w:rsidRPr="002E2D1F">
        <w:rPr>
          <w:rFonts w:asciiTheme="minorHAnsi" w:hAnsiTheme="minorHAnsi" w:cstheme="minorHAnsi"/>
          <w:color w:val="000000"/>
        </w:rPr>
        <w:t xml:space="preserve"> bowiem</w:t>
      </w:r>
      <w:r w:rsidR="000D2374" w:rsidRPr="002E2D1F">
        <w:rPr>
          <w:rFonts w:asciiTheme="minorHAnsi" w:hAnsiTheme="minorHAnsi" w:cstheme="minorHAnsi"/>
          <w:color w:val="000000"/>
        </w:rPr>
        <w:t xml:space="preserve"> pismo z </w:t>
      </w:r>
      <w:r w:rsidR="00670441" w:rsidRPr="002E2D1F">
        <w:rPr>
          <w:rFonts w:asciiTheme="minorHAnsi" w:hAnsiTheme="minorHAnsi" w:cstheme="minorHAnsi"/>
          <w:color w:val="000000"/>
        </w:rPr>
        <w:t xml:space="preserve">dnia </w:t>
      </w:r>
      <w:r w:rsidR="000D2374" w:rsidRPr="002E2D1F">
        <w:rPr>
          <w:rFonts w:asciiTheme="minorHAnsi" w:hAnsiTheme="minorHAnsi" w:cstheme="minorHAnsi"/>
          <w:color w:val="000000"/>
        </w:rPr>
        <w:t xml:space="preserve">7 sierpnia 2019 r. </w:t>
      </w:r>
      <w:r w:rsidR="00670441" w:rsidRPr="002E2D1F">
        <w:rPr>
          <w:rFonts w:asciiTheme="minorHAnsi" w:hAnsiTheme="minorHAnsi" w:cstheme="minorHAnsi"/>
          <w:color w:val="000000"/>
        </w:rPr>
        <w:t xml:space="preserve">(a więc już po wydaniu decyzji ostatecznej) </w:t>
      </w:r>
      <w:r w:rsidRPr="002E2D1F">
        <w:rPr>
          <w:rFonts w:asciiTheme="minorHAnsi" w:hAnsiTheme="minorHAnsi" w:cstheme="minorHAnsi"/>
          <w:color w:val="000000"/>
        </w:rPr>
        <w:t>(…)</w:t>
      </w:r>
      <w:r w:rsidR="000D2374" w:rsidRPr="002E2D1F">
        <w:rPr>
          <w:rFonts w:asciiTheme="minorHAnsi" w:hAnsiTheme="minorHAnsi" w:cstheme="minorHAnsi"/>
          <w:color w:val="000000"/>
        </w:rPr>
        <w:t xml:space="preserve">, w których zawarto zdjęcie modraszka </w:t>
      </w:r>
      <w:proofErr w:type="spellStart"/>
      <w:r w:rsidR="000D2374" w:rsidRPr="002E2D1F">
        <w:rPr>
          <w:rFonts w:asciiTheme="minorHAnsi" w:hAnsiTheme="minorHAnsi" w:cstheme="minorHAnsi"/>
          <w:color w:val="000000"/>
        </w:rPr>
        <w:t>nausistous</w:t>
      </w:r>
      <w:proofErr w:type="spellEnd"/>
      <w:r w:rsidR="000D2374" w:rsidRPr="002E2D1F">
        <w:rPr>
          <w:rFonts w:asciiTheme="minorHAnsi" w:hAnsiTheme="minorHAnsi" w:cstheme="minorHAnsi"/>
          <w:color w:val="000000"/>
        </w:rPr>
        <w:t xml:space="preserve"> wykonane w </w:t>
      </w:r>
      <w:r w:rsidR="00670441" w:rsidRPr="002E2D1F">
        <w:rPr>
          <w:rFonts w:asciiTheme="minorHAnsi" w:hAnsiTheme="minorHAnsi" w:cstheme="minorHAnsi"/>
          <w:color w:val="000000"/>
        </w:rPr>
        <w:t>punkcie</w:t>
      </w:r>
      <w:r w:rsidR="000D2374" w:rsidRPr="002E2D1F">
        <w:rPr>
          <w:rFonts w:asciiTheme="minorHAnsi" w:hAnsiTheme="minorHAnsi" w:cstheme="minorHAnsi"/>
          <w:color w:val="000000"/>
        </w:rPr>
        <w:t xml:space="preserve"> o współrzędnych N </w:t>
      </w:r>
      <w:r w:rsidRPr="002E2D1F">
        <w:rPr>
          <w:rFonts w:asciiTheme="minorHAnsi" w:hAnsiTheme="minorHAnsi" w:cstheme="minorHAnsi"/>
          <w:color w:val="000000"/>
        </w:rPr>
        <w:t>(…)</w:t>
      </w:r>
      <w:r w:rsidR="000D2374" w:rsidRPr="002E2D1F">
        <w:rPr>
          <w:rFonts w:asciiTheme="minorHAnsi" w:hAnsiTheme="minorHAnsi" w:cstheme="minorHAnsi"/>
          <w:color w:val="000000"/>
        </w:rPr>
        <w:t xml:space="preserve">, E </w:t>
      </w:r>
      <w:r w:rsidRPr="002E2D1F">
        <w:rPr>
          <w:rFonts w:asciiTheme="minorHAnsi" w:hAnsiTheme="minorHAnsi" w:cstheme="minorHAnsi"/>
          <w:color w:val="000000"/>
        </w:rPr>
        <w:t>(…)</w:t>
      </w:r>
      <w:r w:rsidR="000D2374" w:rsidRPr="002E2D1F">
        <w:rPr>
          <w:rFonts w:asciiTheme="minorHAnsi" w:hAnsiTheme="minorHAnsi" w:cstheme="minorHAnsi"/>
          <w:color w:val="000000"/>
        </w:rPr>
        <w:t xml:space="preserve">. </w:t>
      </w:r>
      <w:r w:rsidR="00670441" w:rsidRPr="002E2D1F">
        <w:rPr>
          <w:rFonts w:asciiTheme="minorHAnsi" w:hAnsiTheme="minorHAnsi" w:cstheme="minorHAnsi"/>
          <w:color w:val="000000"/>
        </w:rPr>
        <w:t xml:space="preserve">Obecność tego gatunku </w:t>
      </w:r>
      <w:r w:rsidR="00AE1BAF" w:rsidRPr="002E2D1F">
        <w:rPr>
          <w:rFonts w:asciiTheme="minorHAnsi" w:hAnsiTheme="minorHAnsi" w:cstheme="minorHAnsi"/>
          <w:color w:val="000000"/>
        </w:rPr>
        <w:t xml:space="preserve">w momencie wydawania decyzji przez RDOŚ we Wrocławiu </w:t>
      </w:r>
      <w:r w:rsidR="00670441" w:rsidRPr="002E2D1F">
        <w:rPr>
          <w:rFonts w:asciiTheme="minorHAnsi" w:hAnsiTheme="minorHAnsi" w:cstheme="minorHAnsi"/>
          <w:color w:val="000000"/>
        </w:rPr>
        <w:t xml:space="preserve">stowarzyszenie wywodzi zatem wyłącznie ze specyfiki </w:t>
      </w:r>
      <w:r w:rsidR="00AE1BAF" w:rsidRPr="002E2D1F">
        <w:rPr>
          <w:rFonts w:asciiTheme="minorHAnsi" w:hAnsiTheme="minorHAnsi" w:cstheme="minorHAnsi"/>
          <w:color w:val="000000"/>
        </w:rPr>
        <w:t xml:space="preserve">cyklu rozwojowego. </w:t>
      </w:r>
    </w:p>
    <w:p w14:paraId="0FEB0C8E" w14:textId="1DD45926" w:rsidR="007B6882" w:rsidRPr="002E2D1F" w:rsidRDefault="00AE1BAF" w:rsidP="002E2D1F">
      <w:pPr>
        <w:pStyle w:val="Bezodstpw"/>
        <w:rPr>
          <w:rFonts w:asciiTheme="minorHAnsi" w:hAnsiTheme="minorHAnsi" w:cstheme="minorHAnsi"/>
          <w:color w:val="000000"/>
        </w:rPr>
      </w:pPr>
      <w:r w:rsidRPr="002E2D1F">
        <w:rPr>
          <w:rFonts w:asciiTheme="minorHAnsi" w:hAnsiTheme="minorHAnsi" w:cstheme="minorHAnsi"/>
          <w:color w:val="000000"/>
        </w:rPr>
        <w:t xml:space="preserve">Uznając powyższe na nazbyt ogólnikowe a także mając na względzie, że to na wnioskodawcy ciąży ciężar udowodnienia podstaw wznowieniowych, GDOŚ </w:t>
      </w:r>
      <w:r w:rsidR="007B6882" w:rsidRPr="002E2D1F">
        <w:rPr>
          <w:rFonts w:asciiTheme="minorHAnsi" w:hAnsiTheme="minorHAnsi" w:cstheme="minorHAnsi"/>
          <w:color w:val="000000"/>
        </w:rPr>
        <w:t xml:space="preserve">pismem z dnia 19 października 2021 r., znak: DOOŚ-WDŚ/ZIL.420.237.2019.EK.26, wezwał </w:t>
      </w:r>
      <w:r w:rsidRPr="002E2D1F">
        <w:rPr>
          <w:rFonts w:asciiTheme="minorHAnsi" w:hAnsiTheme="minorHAnsi" w:cstheme="minorHAnsi"/>
          <w:color w:val="000000"/>
        </w:rPr>
        <w:t>s</w:t>
      </w:r>
      <w:r w:rsidR="007B6882" w:rsidRPr="002E2D1F">
        <w:rPr>
          <w:rFonts w:asciiTheme="minorHAnsi" w:hAnsiTheme="minorHAnsi" w:cstheme="minorHAnsi"/>
          <w:color w:val="000000"/>
        </w:rPr>
        <w:t xml:space="preserve">towarzyszenie na podstawie art. art. 50 § 1 </w:t>
      </w:r>
      <w:r w:rsidR="00F65C2E" w:rsidRPr="002E2D1F">
        <w:rPr>
          <w:rFonts w:asciiTheme="minorHAnsi" w:hAnsiTheme="minorHAnsi" w:cstheme="minorHAnsi"/>
          <w:color w:val="000000"/>
        </w:rPr>
        <w:t>K</w:t>
      </w:r>
      <w:r w:rsidR="007B6882" w:rsidRPr="002E2D1F">
        <w:rPr>
          <w:rFonts w:asciiTheme="minorHAnsi" w:hAnsiTheme="minorHAnsi" w:cstheme="minorHAnsi"/>
          <w:color w:val="000000"/>
        </w:rPr>
        <w:t xml:space="preserve">pa do przedłożenia dodatkowych wyjaśnień w zakresie powołanej przez </w:t>
      </w:r>
      <w:r w:rsidRPr="002E2D1F">
        <w:rPr>
          <w:rFonts w:asciiTheme="minorHAnsi" w:hAnsiTheme="minorHAnsi" w:cstheme="minorHAnsi"/>
          <w:color w:val="000000"/>
        </w:rPr>
        <w:t>s</w:t>
      </w:r>
      <w:r w:rsidR="007B6882" w:rsidRPr="002E2D1F">
        <w:rPr>
          <w:rFonts w:asciiTheme="minorHAnsi" w:hAnsiTheme="minorHAnsi" w:cstheme="minorHAnsi"/>
          <w:color w:val="000000"/>
        </w:rPr>
        <w:t>towarzyszenie podstawy wznowieniowej, tj.:</w:t>
      </w:r>
    </w:p>
    <w:p w14:paraId="474D5497" w14:textId="595F3051" w:rsidR="007B6882" w:rsidRPr="002E2D1F" w:rsidRDefault="00F65C2E" w:rsidP="002E2D1F">
      <w:pPr>
        <w:pStyle w:val="Bezodstpw"/>
        <w:rPr>
          <w:rFonts w:asciiTheme="minorHAnsi" w:hAnsiTheme="minorHAnsi" w:cstheme="minorHAnsi"/>
          <w:color w:val="000000"/>
        </w:rPr>
      </w:pPr>
      <w:r w:rsidRPr="002E2D1F">
        <w:rPr>
          <w:rFonts w:asciiTheme="minorHAnsi" w:hAnsiTheme="minorHAnsi" w:cstheme="minorHAnsi"/>
          <w:color w:val="000000"/>
        </w:rPr>
        <w:t>doprecyzowania lokalizacji</w:t>
      </w:r>
      <w:r w:rsidR="007B6882" w:rsidRPr="002E2D1F">
        <w:rPr>
          <w:rFonts w:asciiTheme="minorHAnsi" w:hAnsiTheme="minorHAnsi" w:cstheme="minorHAnsi"/>
          <w:color w:val="000000"/>
        </w:rPr>
        <w:t xml:space="preserve">, w dacie wydania decyzji </w:t>
      </w:r>
      <w:r w:rsidR="00AE1BAF" w:rsidRPr="002E2D1F">
        <w:rPr>
          <w:rFonts w:asciiTheme="minorHAnsi" w:hAnsiTheme="minorHAnsi" w:cstheme="minorHAnsi"/>
          <w:color w:val="000000"/>
        </w:rPr>
        <w:t xml:space="preserve">GDOŚ </w:t>
      </w:r>
      <w:r w:rsidR="007B6882" w:rsidRPr="002E2D1F">
        <w:rPr>
          <w:rFonts w:asciiTheme="minorHAnsi" w:hAnsiTheme="minorHAnsi" w:cstheme="minorHAnsi"/>
          <w:color w:val="000000"/>
        </w:rPr>
        <w:t xml:space="preserve">z dnia 16 maja 2016 r., siedlisk modraszka </w:t>
      </w:r>
      <w:proofErr w:type="spellStart"/>
      <w:r w:rsidR="007B6882" w:rsidRPr="002E2D1F">
        <w:rPr>
          <w:rFonts w:asciiTheme="minorHAnsi" w:hAnsiTheme="minorHAnsi" w:cstheme="minorHAnsi"/>
          <w:color w:val="000000"/>
        </w:rPr>
        <w:t>nausitosa</w:t>
      </w:r>
      <w:proofErr w:type="spellEnd"/>
      <w:r w:rsidR="007B6882" w:rsidRPr="002E2D1F">
        <w:rPr>
          <w:rFonts w:asciiTheme="minorHAnsi" w:hAnsiTheme="minorHAnsi" w:cstheme="minorHAnsi"/>
          <w:color w:val="000000"/>
        </w:rPr>
        <w:t xml:space="preserve"> (</w:t>
      </w:r>
      <w:r w:rsidRPr="002E2D1F">
        <w:rPr>
          <w:rFonts w:asciiTheme="minorHAnsi" w:hAnsiTheme="minorHAnsi" w:cstheme="minorHAnsi"/>
          <w:color w:val="000000"/>
        </w:rPr>
        <w:t>wskazania</w:t>
      </w:r>
      <w:r w:rsidR="007B6882" w:rsidRPr="002E2D1F">
        <w:rPr>
          <w:rFonts w:asciiTheme="minorHAnsi" w:hAnsiTheme="minorHAnsi" w:cstheme="minorHAnsi"/>
          <w:color w:val="000000"/>
        </w:rPr>
        <w:t xml:space="preserve"> </w:t>
      </w:r>
      <w:r w:rsidRPr="002E2D1F">
        <w:rPr>
          <w:rFonts w:asciiTheme="minorHAnsi" w:hAnsiTheme="minorHAnsi" w:cstheme="minorHAnsi"/>
          <w:color w:val="000000"/>
        </w:rPr>
        <w:t>numerów</w:t>
      </w:r>
      <w:r w:rsidR="007B6882" w:rsidRPr="002E2D1F">
        <w:rPr>
          <w:rFonts w:asciiTheme="minorHAnsi" w:hAnsiTheme="minorHAnsi" w:cstheme="minorHAnsi"/>
          <w:color w:val="000000"/>
        </w:rPr>
        <w:t xml:space="preserve"> działek ewidencyjnych oraz map</w:t>
      </w:r>
      <w:r w:rsidRPr="002E2D1F">
        <w:rPr>
          <w:rFonts w:asciiTheme="minorHAnsi" w:hAnsiTheme="minorHAnsi" w:cstheme="minorHAnsi"/>
          <w:color w:val="000000"/>
        </w:rPr>
        <w:t>y</w:t>
      </w:r>
      <w:r w:rsidR="007B6882" w:rsidRPr="002E2D1F">
        <w:rPr>
          <w:rFonts w:asciiTheme="minorHAnsi" w:hAnsiTheme="minorHAnsi" w:cstheme="minorHAnsi"/>
          <w:color w:val="000000"/>
        </w:rPr>
        <w:t xml:space="preserve"> z zaznaczeniem przebiegu granic siedlisk), gdyż w piśmie z dnia 4 września 2019 r. wskazano jedynie na ich obecność „w wielu miejscach czaszy zbiornika”;</w:t>
      </w:r>
    </w:p>
    <w:p w14:paraId="692B7F42" w14:textId="63F01C91" w:rsidR="00F65C2E" w:rsidRPr="002E2D1F" w:rsidRDefault="00F65C2E" w:rsidP="002E2D1F">
      <w:pPr>
        <w:pStyle w:val="Bezodstpw"/>
        <w:rPr>
          <w:rFonts w:asciiTheme="minorHAnsi" w:hAnsiTheme="minorHAnsi" w:cstheme="minorHAnsi"/>
          <w:color w:val="000000"/>
        </w:rPr>
      </w:pPr>
      <w:r w:rsidRPr="002E2D1F">
        <w:rPr>
          <w:rFonts w:asciiTheme="minorHAnsi" w:hAnsiTheme="minorHAnsi" w:cstheme="minorHAnsi"/>
          <w:color w:val="000000"/>
        </w:rPr>
        <w:t>przedstawienia danych</w:t>
      </w:r>
      <w:r w:rsidR="007B6882" w:rsidRPr="002E2D1F">
        <w:rPr>
          <w:rFonts w:asciiTheme="minorHAnsi" w:hAnsiTheme="minorHAnsi" w:cstheme="minorHAnsi"/>
          <w:color w:val="000000"/>
        </w:rPr>
        <w:t xml:space="preserve"> (np. publikacje, dane niepublikowane) świadcząc</w:t>
      </w:r>
      <w:r w:rsidRPr="002E2D1F">
        <w:rPr>
          <w:rFonts w:asciiTheme="minorHAnsi" w:hAnsiTheme="minorHAnsi" w:cstheme="minorHAnsi"/>
          <w:color w:val="000000"/>
        </w:rPr>
        <w:t xml:space="preserve">ych </w:t>
      </w:r>
      <w:r w:rsidR="007B6882" w:rsidRPr="002E2D1F">
        <w:rPr>
          <w:rFonts w:asciiTheme="minorHAnsi" w:hAnsiTheme="minorHAnsi" w:cstheme="minorHAnsi"/>
          <w:color w:val="000000"/>
        </w:rPr>
        <w:t xml:space="preserve">o tym, że ww. siedliska modraszka </w:t>
      </w:r>
      <w:proofErr w:type="spellStart"/>
      <w:r w:rsidR="007B6882" w:rsidRPr="002E2D1F">
        <w:rPr>
          <w:rFonts w:asciiTheme="minorHAnsi" w:hAnsiTheme="minorHAnsi" w:cstheme="minorHAnsi"/>
          <w:color w:val="000000"/>
        </w:rPr>
        <w:t>nausitosa</w:t>
      </w:r>
      <w:proofErr w:type="spellEnd"/>
      <w:r w:rsidR="007B6882" w:rsidRPr="002E2D1F">
        <w:rPr>
          <w:rFonts w:asciiTheme="minorHAnsi" w:hAnsiTheme="minorHAnsi" w:cstheme="minorHAnsi"/>
          <w:color w:val="000000"/>
        </w:rPr>
        <w:t xml:space="preserve"> istniały </w:t>
      </w:r>
      <w:r w:rsidR="00AE1BAF" w:rsidRPr="002E2D1F">
        <w:rPr>
          <w:rFonts w:asciiTheme="minorHAnsi" w:hAnsiTheme="minorHAnsi" w:cstheme="minorHAnsi"/>
          <w:color w:val="000000"/>
        </w:rPr>
        <w:t xml:space="preserve">w granicach terenu realizacji inwestycji albo w zasięgu jej </w:t>
      </w:r>
      <w:r w:rsidR="007B6882" w:rsidRPr="002E2D1F">
        <w:rPr>
          <w:rFonts w:asciiTheme="minorHAnsi" w:hAnsiTheme="minorHAnsi" w:cstheme="minorHAnsi"/>
          <w:color w:val="000000"/>
        </w:rPr>
        <w:t xml:space="preserve">oddziaływania na dzień wydania decyzji </w:t>
      </w:r>
      <w:r w:rsidR="00AE1BAF" w:rsidRPr="002E2D1F">
        <w:rPr>
          <w:rFonts w:asciiTheme="minorHAnsi" w:hAnsiTheme="minorHAnsi" w:cstheme="minorHAnsi"/>
          <w:color w:val="000000"/>
        </w:rPr>
        <w:t xml:space="preserve">ostatecznej </w:t>
      </w:r>
      <w:r w:rsidR="007B6882" w:rsidRPr="002E2D1F">
        <w:rPr>
          <w:rFonts w:asciiTheme="minorHAnsi" w:hAnsiTheme="minorHAnsi" w:cstheme="minorHAnsi"/>
          <w:color w:val="000000"/>
        </w:rPr>
        <w:t xml:space="preserve">lub wcześniej. </w:t>
      </w:r>
    </w:p>
    <w:p w14:paraId="7CB2F6C0" w14:textId="299F86E0" w:rsidR="007B6882" w:rsidRPr="002E2D1F" w:rsidRDefault="00AE1BAF" w:rsidP="002E2D1F">
      <w:pPr>
        <w:pStyle w:val="Bezodstpw"/>
        <w:rPr>
          <w:rFonts w:asciiTheme="minorHAnsi" w:hAnsiTheme="minorHAnsi" w:cstheme="minorHAnsi"/>
          <w:color w:val="000000"/>
        </w:rPr>
      </w:pPr>
      <w:r w:rsidRPr="002E2D1F">
        <w:rPr>
          <w:rFonts w:asciiTheme="minorHAnsi" w:hAnsiTheme="minorHAnsi" w:cstheme="minorHAnsi"/>
          <w:color w:val="000000"/>
        </w:rPr>
        <w:t xml:space="preserve">Zgodnie z </w:t>
      </w:r>
      <w:r w:rsidR="005F5B12" w:rsidRPr="002E2D1F">
        <w:rPr>
          <w:rFonts w:asciiTheme="minorHAnsi" w:hAnsiTheme="minorHAnsi" w:cstheme="minorHAnsi"/>
          <w:color w:val="000000"/>
        </w:rPr>
        <w:t>treścią</w:t>
      </w:r>
      <w:r w:rsidRPr="002E2D1F">
        <w:rPr>
          <w:rFonts w:asciiTheme="minorHAnsi" w:hAnsiTheme="minorHAnsi" w:cstheme="minorHAnsi"/>
          <w:color w:val="000000"/>
        </w:rPr>
        <w:t xml:space="preserve"> ww. </w:t>
      </w:r>
      <w:r w:rsidR="005F5B12" w:rsidRPr="002E2D1F">
        <w:rPr>
          <w:rFonts w:asciiTheme="minorHAnsi" w:hAnsiTheme="minorHAnsi" w:cstheme="minorHAnsi"/>
          <w:color w:val="000000"/>
        </w:rPr>
        <w:t xml:space="preserve">wezwania, </w:t>
      </w:r>
      <w:r w:rsidR="007B6882" w:rsidRPr="002E2D1F">
        <w:rPr>
          <w:rFonts w:asciiTheme="minorHAnsi" w:hAnsiTheme="minorHAnsi" w:cstheme="minorHAnsi"/>
          <w:color w:val="000000"/>
        </w:rPr>
        <w:t xml:space="preserve">wyjaśnienia </w:t>
      </w:r>
      <w:r w:rsidRPr="002E2D1F">
        <w:rPr>
          <w:rFonts w:asciiTheme="minorHAnsi" w:hAnsiTheme="minorHAnsi" w:cstheme="minorHAnsi"/>
          <w:color w:val="000000"/>
        </w:rPr>
        <w:t>na</w:t>
      </w:r>
      <w:r w:rsidR="00F65C2E" w:rsidRPr="002E2D1F">
        <w:rPr>
          <w:rFonts w:asciiTheme="minorHAnsi" w:hAnsiTheme="minorHAnsi" w:cstheme="minorHAnsi"/>
          <w:color w:val="000000"/>
        </w:rPr>
        <w:t>leżało</w:t>
      </w:r>
      <w:r w:rsidR="007B6882" w:rsidRPr="002E2D1F">
        <w:rPr>
          <w:rFonts w:asciiTheme="minorHAnsi" w:hAnsiTheme="minorHAnsi" w:cstheme="minorHAnsi"/>
          <w:color w:val="000000"/>
        </w:rPr>
        <w:t xml:space="preserve"> przesłać w formie pisemnej w terminie 14 dni od dnia otrzymania </w:t>
      </w:r>
      <w:r w:rsidRPr="002E2D1F">
        <w:rPr>
          <w:rFonts w:asciiTheme="minorHAnsi" w:hAnsiTheme="minorHAnsi" w:cstheme="minorHAnsi"/>
          <w:color w:val="000000"/>
        </w:rPr>
        <w:t>wezwania</w:t>
      </w:r>
      <w:r w:rsidR="005F5B12" w:rsidRPr="002E2D1F">
        <w:rPr>
          <w:rFonts w:asciiTheme="minorHAnsi" w:hAnsiTheme="minorHAnsi" w:cstheme="minorHAnsi"/>
          <w:color w:val="000000"/>
        </w:rPr>
        <w:t>, pod rygorem</w:t>
      </w:r>
      <w:r w:rsidRPr="002E2D1F">
        <w:rPr>
          <w:rFonts w:asciiTheme="minorHAnsi" w:hAnsiTheme="minorHAnsi" w:cstheme="minorHAnsi"/>
          <w:color w:val="000000"/>
        </w:rPr>
        <w:t xml:space="preserve"> </w:t>
      </w:r>
      <w:r w:rsidR="007B6882" w:rsidRPr="002E2D1F">
        <w:rPr>
          <w:rFonts w:asciiTheme="minorHAnsi" w:hAnsiTheme="minorHAnsi" w:cstheme="minorHAnsi"/>
          <w:color w:val="000000"/>
        </w:rPr>
        <w:t>rozpatrzeni</w:t>
      </w:r>
      <w:r w:rsidR="005F5B12" w:rsidRPr="002E2D1F">
        <w:rPr>
          <w:rFonts w:asciiTheme="minorHAnsi" w:hAnsiTheme="minorHAnsi" w:cstheme="minorHAnsi"/>
          <w:color w:val="000000"/>
        </w:rPr>
        <w:t>a</w:t>
      </w:r>
      <w:r w:rsidR="007B6882" w:rsidRPr="002E2D1F">
        <w:rPr>
          <w:rFonts w:asciiTheme="minorHAnsi" w:hAnsiTheme="minorHAnsi" w:cstheme="minorHAnsi"/>
          <w:color w:val="000000"/>
        </w:rPr>
        <w:t xml:space="preserve"> </w:t>
      </w:r>
      <w:r w:rsidR="005F5B12" w:rsidRPr="002E2D1F">
        <w:rPr>
          <w:rFonts w:asciiTheme="minorHAnsi" w:hAnsiTheme="minorHAnsi" w:cstheme="minorHAnsi"/>
          <w:color w:val="000000"/>
        </w:rPr>
        <w:t xml:space="preserve">sprawy </w:t>
      </w:r>
      <w:r w:rsidR="007B6882" w:rsidRPr="002E2D1F">
        <w:rPr>
          <w:rFonts w:asciiTheme="minorHAnsi" w:hAnsiTheme="minorHAnsi" w:cstheme="minorHAnsi"/>
          <w:color w:val="000000"/>
        </w:rPr>
        <w:t xml:space="preserve">w oparciu o dotychczas zgromadzony materiał dowodowy. </w:t>
      </w:r>
      <w:r w:rsidRPr="002E2D1F">
        <w:rPr>
          <w:rFonts w:asciiTheme="minorHAnsi" w:hAnsiTheme="minorHAnsi" w:cstheme="minorHAnsi"/>
          <w:color w:val="000000"/>
        </w:rPr>
        <w:t>Do dnia wydania niniejszej decyzji s</w:t>
      </w:r>
      <w:r w:rsidR="00F65C2E" w:rsidRPr="002E2D1F">
        <w:rPr>
          <w:rFonts w:asciiTheme="minorHAnsi" w:hAnsiTheme="minorHAnsi" w:cstheme="minorHAnsi"/>
          <w:color w:val="000000"/>
        </w:rPr>
        <w:t>towarzyszenie nie udzieliło</w:t>
      </w:r>
      <w:r w:rsidRPr="002E2D1F">
        <w:rPr>
          <w:rFonts w:asciiTheme="minorHAnsi" w:hAnsiTheme="minorHAnsi" w:cstheme="minorHAnsi"/>
          <w:color w:val="000000"/>
        </w:rPr>
        <w:t xml:space="preserve"> żadnej</w:t>
      </w:r>
      <w:r w:rsidR="00F65C2E" w:rsidRPr="002E2D1F">
        <w:rPr>
          <w:rFonts w:asciiTheme="minorHAnsi" w:hAnsiTheme="minorHAnsi" w:cstheme="minorHAnsi"/>
          <w:color w:val="000000"/>
        </w:rPr>
        <w:t xml:space="preserve"> odpowiedzi na </w:t>
      </w:r>
      <w:r w:rsidRPr="002E2D1F">
        <w:rPr>
          <w:rFonts w:asciiTheme="minorHAnsi" w:hAnsiTheme="minorHAnsi" w:cstheme="minorHAnsi"/>
          <w:color w:val="000000"/>
        </w:rPr>
        <w:t xml:space="preserve">wskazane wezwanie. </w:t>
      </w:r>
    </w:p>
    <w:p w14:paraId="4871DD74" w14:textId="2663087B" w:rsidR="007B6882" w:rsidRPr="002E2D1F" w:rsidRDefault="00F65C2E" w:rsidP="002E2D1F">
      <w:pPr>
        <w:pStyle w:val="Bezodstpw"/>
        <w:rPr>
          <w:rFonts w:asciiTheme="minorHAnsi" w:hAnsiTheme="minorHAnsi" w:cstheme="minorHAnsi"/>
          <w:color w:val="000000"/>
        </w:rPr>
      </w:pPr>
      <w:r w:rsidRPr="002E2D1F">
        <w:rPr>
          <w:rFonts w:asciiTheme="minorHAnsi" w:hAnsiTheme="minorHAnsi" w:cstheme="minorHAnsi"/>
          <w:color w:val="000000"/>
        </w:rPr>
        <w:t>W ocenie GDOŚ</w:t>
      </w:r>
      <w:r w:rsidR="0058682D" w:rsidRPr="002E2D1F">
        <w:rPr>
          <w:rFonts w:asciiTheme="minorHAnsi" w:hAnsiTheme="minorHAnsi" w:cstheme="minorHAnsi"/>
          <w:color w:val="000000"/>
        </w:rPr>
        <w:t xml:space="preserve"> zgromadzon</w:t>
      </w:r>
      <w:r w:rsidR="00425C0A" w:rsidRPr="002E2D1F">
        <w:rPr>
          <w:rFonts w:asciiTheme="minorHAnsi" w:hAnsiTheme="minorHAnsi" w:cstheme="minorHAnsi"/>
          <w:color w:val="000000"/>
        </w:rPr>
        <w:t>y</w:t>
      </w:r>
      <w:r w:rsidR="0058682D" w:rsidRPr="002E2D1F">
        <w:rPr>
          <w:rFonts w:asciiTheme="minorHAnsi" w:hAnsiTheme="minorHAnsi" w:cstheme="minorHAnsi"/>
          <w:color w:val="000000"/>
        </w:rPr>
        <w:t xml:space="preserve"> materiał dowodow</w:t>
      </w:r>
      <w:r w:rsidR="00425C0A" w:rsidRPr="002E2D1F">
        <w:rPr>
          <w:rFonts w:asciiTheme="minorHAnsi" w:hAnsiTheme="minorHAnsi" w:cstheme="minorHAnsi"/>
          <w:color w:val="000000"/>
        </w:rPr>
        <w:t xml:space="preserve">y pozwala jedynie </w:t>
      </w:r>
      <w:r w:rsidR="00EE54FA" w:rsidRPr="002E2D1F">
        <w:rPr>
          <w:rFonts w:asciiTheme="minorHAnsi" w:hAnsiTheme="minorHAnsi" w:cstheme="minorHAnsi"/>
          <w:color w:val="000000"/>
        </w:rPr>
        <w:t xml:space="preserve">na wskazanie, że obecnie modraszek </w:t>
      </w:r>
      <w:proofErr w:type="spellStart"/>
      <w:r w:rsidR="00EE54FA" w:rsidRPr="002E2D1F">
        <w:rPr>
          <w:rFonts w:asciiTheme="minorHAnsi" w:hAnsiTheme="minorHAnsi" w:cstheme="minorHAnsi"/>
          <w:color w:val="000000"/>
        </w:rPr>
        <w:t>nausitous</w:t>
      </w:r>
      <w:proofErr w:type="spellEnd"/>
      <w:r w:rsidR="00EE54FA" w:rsidRPr="002E2D1F">
        <w:rPr>
          <w:rFonts w:asciiTheme="minorHAnsi" w:hAnsiTheme="minorHAnsi" w:cstheme="minorHAnsi"/>
          <w:color w:val="000000"/>
        </w:rPr>
        <w:t xml:space="preserve"> występuje w czaszy zbiornika ale nie uprawnia do uznania, </w:t>
      </w:r>
      <w:r w:rsidR="005F5B12" w:rsidRPr="002E2D1F">
        <w:rPr>
          <w:rFonts w:asciiTheme="minorHAnsi" w:hAnsiTheme="minorHAnsi" w:cstheme="minorHAnsi"/>
          <w:color w:val="000000"/>
        </w:rPr>
        <w:t>wył</w:t>
      </w:r>
      <w:r w:rsidR="00BE2297">
        <w:rPr>
          <w:rFonts w:asciiTheme="minorHAnsi" w:hAnsiTheme="minorHAnsi" w:cstheme="minorHAnsi"/>
          <w:color w:val="000000"/>
        </w:rPr>
        <w:t>ą</w:t>
      </w:r>
      <w:r w:rsidR="005F5B12" w:rsidRPr="002E2D1F">
        <w:rPr>
          <w:rFonts w:asciiTheme="minorHAnsi" w:hAnsiTheme="minorHAnsi" w:cstheme="minorHAnsi"/>
          <w:color w:val="000000"/>
        </w:rPr>
        <w:t xml:space="preserve">cznie </w:t>
      </w:r>
      <w:r w:rsidR="00EE54FA" w:rsidRPr="002E2D1F">
        <w:rPr>
          <w:rFonts w:asciiTheme="minorHAnsi" w:hAnsiTheme="minorHAnsi" w:cstheme="minorHAnsi"/>
          <w:color w:val="000000"/>
        </w:rPr>
        <w:t xml:space="preserve">na zasadzie przekonania wnioskodawcy o skomplikowanym cyklu rozwojowym gatunku (z którym zresztą GDOŚ jako organ ochrony środowiska się zgadza), że motyl ten występował na analizowanym terenie w momencie wydawania ostatecznej decyzji w sprawie. </w:t>
      </w:r>
    </w:p>
    <w:p w14:paraId="7A5148A1" w14:textId="77777777" w:rsidR="005128FB" w:rsidRPr="002E2D1F" w:rsidRDefault="00EE54FA" w:rsidP="002E2D1F">
      <w:pPr>
        <w:pStyle w:val="Bezodstpw"/>
        <w:rPr>
          <w:rFonts w:asciiTheme="minorHAnsi" w:hAnsiTheme="minorHAnsi" w:cstheme="minorHAnsi"/>
          <w:color w:val="000000"/>
        </w:rPr>
      </w:pPr>
      <w:r w:rsidRPr="002E2D1F">
        <w:rPr>
          <w:rFonts w:asciiTheme="minorHAnsi" w:hAnsiTheme="minorHAnsi" w:cstheme="minorHAnsi"/>
          <w:color w:val="000000"/>
        </w:rPr>
        <w:t>Podkreślić należy, że wydając decyzję organ bierze pod uwagę określony stan faktyczny i prawny istniejący w chwili jego orzekania. Rozstrzygnięcie zawarte w decyzji jest wyrazem ukształtowania sytuacji prawnej określonego podmiotu w czasie orzekania na podstawie aktualnie obowiązujących przepisów</w:t>
      </w:r>
      <w:r w:rsidR="007B5605" w:rsidRPr="002E2D1F">
        <w:rPr>
          <w:rFonts w:asciiTheme="minorHAnsi" w:hAnsiTheme="minorHAnsi" w:cstheme="minorHAnsi"/>
          <w:color w:val="000000"/>
        </w:rPr>
        <w:t xml:space="preserve"> i na podstawie ustalonego stanu faktycznego</w:t>
      </w:r>
      <w:r w:rsidRPr="002E2D1F">
        <w:rPr>
          <w:rFonts w:asciiTheme="minorHAnsi" w:hAnsiTheme="minorHAnsi" w:cstheme="minorHAnsi"/>
          <w:color w:val="000000"/>
        </w:rPr>
        <w:t xml:space="preserve">. Odpowiada to zasadzie aktualności orzeczenia wydawanego przez organ administracji. Następcza zmiana stanu faktycznego, co do zasady, nie ma wpływu na obowiązywanie </w:t>
      </w:r>
      <w:r w:rsidRPr="002E2D1F">
        <w:rPr>
          <w:rFonts w:asciiTheme="minorHAnsi" w:hAnsiTheme="minorHAnsi" w:cstheme="minorHAnsi"/>
          <w:color w:val="000000"/>
        </w:rPr>
        <w:lastRenderedPageBreak/>
        <w:t xml:space="preserve">ostatecznej decyzji. Jedyny wyjątek od tej reguły odnosi się wyłącznie do tych zmian w okolicznościach faktycznych, które uniemożliwiają wykonanie decyzji (przedmiot uprawnień lub obowiązku przestał istnieć, nie </w:t>
      </w:r>
      <w:r w:rsidR="007B5605" w:rsidRPr="002E2D1F">
        <w:rPr>
          <w:rFonts w:asciiTheme="minorHAnsi" w:hAnsiTheme="minorHAnsi" w:cstheme="minorHAnsi"/>
          <w:color w:val="000000"/>
        </w:rPr>
        <w:t>i</w:t>
      </w:r>
      <w:r w:rsidRPr="002E2D1F">
        <w:rPr>
          <w:rFonts w:asciiTheme="minorHAnsi" w:hAnsiTheme="minorHAnsi" w:cstheme="minorHAnsi"/>
          <w:color w:val="000000"/>
        </w:rPr>
        <w:t>stnieje już podm</w:t>
      </w:r>
      <w:r w:rsidR="007B5605" w:rsidRPr="002E2D1F">
        <w:rPr>
          <w:rFonts w:asciiTheme="minorHAnsi" w:hAnsiTheme="minorHAnsi" w:cstheme="minorHAnsi"/>
          <w:color w:val="000000"/>
        </w:rPr>
        <w:t xml:space="preserve">iot, którego dotyczyła decyzja) (por. wyrok Naczelnego Sądu Administracyjnego z dnia 24 stycznia 2020 r., sygn. akt: II OSK 648/18). </w:t>
      </w:r>
    </w:p>
    <w:p w14:paraId="45859442" w14:textId="3E69A361" w:rsidR="007B5605" w:rsidRPr="002E2D1F" w:rsidRDefault="007B5605" w:rsidP="002E2D1F">
      <w:pPr>
        <w:pStyle w:val="Bezodstpw"/>
        <w:rPr>
          <w:rFonts w:asciiTheme="minorHAnsi" w:hAnsiTheme="minorHAnsi" w:cstheme="minorHAnsi"/>
        </w:rPr>
      </w:pPr>
      <w:r w:rsidRPr="002E2D1F">
        <w:rPr>
          <w:rFonts w:asciiTheme="minorHAnsi" w:hAnsiTheme="minorHAnsi" w:cstheme="minorHAnsi"/>
          <w:color w:val="000000"/>
        </w:rPr>
        <w:t>W przedmiotowej sprawie okoliczność faktyczna analizowana w rygorze art. 145 §</w:t>
      </w:r>
      <w:r w:rsidRPr="002E2D1F">
        <w:rPr>
          <w:rFonts w:asciiTheme="minorHAnsi" w:hAnsiTheme="minorHAnsi" w:cstheme="minorHAnsi"/>
        </w:rPr>
        <w:t xml:space="preserve"> 1 pkt 5 Kpa powstała zatem po wydaniu ostatecznej decyzji, a więc nie może stanowić podstawy wznowienia postępowania</w:t>
      </w:r>
      <w:r w:rsidR="005F5B12" w:rsidRPr="002E2D1F">
        <w:rPr>
          <w:rFonts w:asciiTheme="minorHAnsi" w:hAnsiTheme="minorHAnsi" w:cstheme="minorHAnsi"/>
        </w:rPr>
        <w:t>,</w:t>
      </w:r>
      <w:r w:rsidRPr="002E2D1F">
        <w:rPr>
          <w:rFonts w:asciiTheme="minorHAnsi" w:hAnsiTheme="minorHAnsi" w:cstheme="minorHAnsi"/>
        </w:rPr>
        <w:t xml:space="preserve"> ale może stanowić podstawę do wszczęcia postępowania w nowej sprawie, np. w zakresie podjęcia działań naprawczych. </w:t>
      </w:r>
      <w:r w:rsidR="0080377C" w:rsidRPr="002E2D1F">
        <w:rPr>
          <w:rFonts w:asciiTheme="minorHAnsi" w:hAnsiTheme="minorHAnsi" w:cstheme="minorHAnsi"/>
        </w:rPr>
        <w:t xml:space="preserve">W szczególności, weryfikacja terenu realizacji przedsięwzięcia pod kątem obecności chronionego gatunku motyla dokonana przez </w:t>
      </w:r>
      <w:r w:rsidR="00AD00E9" w:rsidRPr="002E2D1F">
        <w:rPr>
          <w:rFonts w:asciiTheme="minorHAnsi" w:hAnsiTheme="minorHAnsi" w:cstheme="minorHAnsi"/>
          <w:color w:val="000000"/>
        </w:rPr>
        <w:t>(…)</w:t>
      </w:r>
      <w:r w:rsidR="0080377C" w:rsidRPr="002E2D1F">
        <w:rPr>
          <w:rFonts w:asciiTheme="minorHAnsi" w:hAnsiTheme="minorHAnsi" w:cstheme="minorHAnsi"/>
        </w:rPr>
        <w:t>, na co powołują się skarżący, została</w:t>
      </w:r>
      <w:r w:rsidR="005F5B12" w:rsidRPr="002E2D1F">
        <w:rPr>
          <w:rFonts w:asciiTheme="minorHAnsi" w:hAnsiTheme="minorHAnsi" w:cstheme="minorHAnsi"/>
        </w:rPr>
        <w:t xml:space="preserve"> przeprowadzona</w:t>
      </w:r>
      <w:r w:rsidR="0080377C" w:rsidRPr="002E2D1F">
        <w:rPr>
          <w:rFonts w:asciiTheme="minorHAnsi" w:hAnsiTheme="minorHAnsi" w:cstheme="minorHAnsi"/>
        </w:rPr>
        <w:t xml:space="preserve"> już po wydaniu decyzji ostatecznej. Orzecznictwo zaś konsekwentnie wskazuje, że badania czy ekspertyzy sporządzone i przeprowadzone po wydaniu decyzji ostatecznej nigdy nie mogą zostać zaklasyfikowane jako przesłanki w rozumieniu art. 145 § 1 pkt 5 Kpa. </w:t>
      </w:r>
    </w:p>
    <w:p w14:paraId="718AC930" w14:textId="5B8D3FED" w:rsidR="00E316F4" w:rsidRPr="002E2D1F" w:rsidRDefault="007B5605" w:rsidP="002E2D1F">
      <w:pPr>
        <w:pStyle w:val="Bezodstpw"/>
        <w:rPr>
          <w:rFonts w:asciiTheme="minorHAnsi" w:hAnsiTheme="minorHAnsi" w:cstheme="minorHAnsi"/>
        </w:rPr>
      </w:pPr>
      <w:r w:rsidRPr="002E2D1F">
        <w:rPr>
          <w:rFonts w:asciiTheme="minorHAnsi" w:hAnsiTheme="minorHAnsi" w:cstheme="minorHAnsi"/>
          <w:color w:val="000000"/>
        </w:rPr>
        <w:t>Zdaniem</w:t>
      </w:r>
      <w:r w:rsidR="00975B9F" w:rsidRPr="002E2D1F">
        <w:rPr>
          <w:rFonts w:asciiTheme="minorHAnsi" w:hAnsiTheme="minorHAnsi" w:cstheme="minorHAnsi"/>
        </w:rPr>
        <w:t xml:space="preserve"> </w:t>
      </w:r>
      <w:r w:rsidRPr="002E2D1F">
        <w:rPr>
          <w:rFonts w:asciiTheme="minorHAnsi" w:hAnsiTheme="minorHAnsi" w:cstheme="minorHAnsi"/>
        </w:rPr>
        <w:t>GDOŚ</w:t>
      </w:r>
      <w:r w:rsidR="00975B9F" w:rsidRPr="002E2D1F">
        <w:rPr>
          <w:rFonts w:asciiTheme="minorHAnsi" w:hAnsiTheme="minorHAnsi" w:cstheme="minorHAnsi"/>
        </w:rPr>
        <w:t xml:space="preserve"> w niniejszej sprawie nie wystąpiły łącznie wszystkie trzy warunki gwarantujące zaistnienie przesłanki określonej w </w:t>
      </w:r>
      <w:r w:rsidR="0080377C" w:rsidRPr="002E2D1F">
        <w:rPr>
          <w:rFonts w:asciiTheme="minorHAnsi" w:hAnsiTheme="minorHAnsi" w:cstheme="minorHAnsi"/>
        </w:rPr>
        <w:t>ww. przepisie.</w:t>
      </w:r>
    </w:p>
    <w:p w14:paraId="5F8168C6" w14:textId="50519AFD" w:rsidR="00975B9F" w:rsidRPr="002E2D1F" w:rsidRDefault="00975B9F" w:rsidP="002E2D1F">
      <w:pPr>
        <w:pStyle w:val="Bezodstpw"/>
        <w:rPr>
          <w:rFonts w:asciiTheme="minorHAnsi" w:hAnsiTheme="minorHAnsi" w:cstheme="minorHAnsi"/>
        </w:rPr>
      </w:pPr>
      <w:r w:rsidRPr="002E2D1F">
        <w:rPr>
          <w:rFonts w:asciiTheme="minorHAnsi" w:hAnsiTheme="minorHAnsi" w:cstheme="minorHAnsi"/>
        </w:rPr>
        <w:t xml:space="preserve">Pozostałe zarzuty przedstawione przez strony odnoszą się przede wszystkim do </w:t>
      </w:r>
      <w:r w:rsidR="005F5B12" w:rsidRPr="002E2D1F">
        <w:rPr>
          <w:rFonts w:asciiTheme="minorHAnsi" w:hAnsiTheme="minorHAnsi" w:cstheme="minorHAnsi"/>
        </w:rPr>
        <w:t xml:space="preserve">postępowania </w:t>
      </w:r>
      <w:r w:rsidRPr="002E2D1F">
        <w:rPr>
          <w:rFonts w:asciiTheme="minorHAnsi" w:hAnsiTheme="minorHAnsi" w:cstheme="minorHAnsi"/>
        </w:rPr>
        <w:t xml:space="preserve">dotyczącego wydania decyzji o środowiskowych uwarunkowaniach </w:t>
      </w:r>
      <w:r w:rsidR="009976FB" w:rsidRPr="002E2D1F">
        <w:rPr>
          <w:rFonts w:asciiTheme="minorHAnsi" w:hAnsiTheme="minorHAnsi" w:cstheme="minorHAnsi"/>
        </w:rPr>
        <w:t xml:space="preserve">(zarzuty odnośnie raportu </w:t>
      </w:r>
      <w:proofErr w:type="spellStart"/>
      <w:r w:rsidR="009976FB" w:rsidRPr="002E2D1F">
        <w:rPr>
          <w:rFonts w:asciiTheme="minorHAnsi" w:hAnsiTheme="minorHAnsi" w:cstheme="minorHAnsi"/>
        </w:rPr>
        <w:t>ooś</w:t>
      </w:r>
      <w:proofErr w:type="spellEnd"/>
      <w:r w:rsidR="009976FB" w:rsidRPr="002E2D1F">
        <w:rPr>
          <w:rFonts w:asciiTheme="minorHAnsi" w:hAnsiTheme="minorHAnsi" w:cstheme="minorHAnsi"/>
        </w:rPr>
        <w:t xml:space="preserve">) </w:t>
      </w:r>
      <w:r w:rsidRPr="002E2D1F">
        <w:rPr>
          <w:rFonts w:asciiTheme="minorHAnsi" w:hAnsiTheme="minorHAnsi" w:cstheme="minorHAnsi"/>
        </w:rPr>
        <w:t xml:space="preserve">i nie mogą być rozpatrywane w kontekście zaistnienia przesłanek wznowieniowych, na które </w:t>
      </w:r>
      <w:r w:rsidR="009976FB" w:rsidRPr="002E2D1F">
        <w:rPr>
          <w:rFonts w:asciiTheme="minorHAnsi" w:hAnsiTheme="minorHAnsi" w:cstheme="minorHAnsi"/>
        </w:rPr>
        <w:t xml:space="preserve">powołuje się </w:t>
      </w:r>
      <w:r w:rsidR="0080377C" w:rsidRPr="002E2D1F">
        <w:rPr>
          <w:rFonts w:asciiTheme="minorHAnsi" w:hAnsiTheme="minorHAnsi" w:cstheme="minorHAnsi"/>
        </w:rPr>
        <w:t>s</w:t>
      </w:r>
      <w:r w:rsidR="009976FB" w:rsidRPr="002E2D1F">
        <w:rPr>
          <w:rFonts w:asciiTheme="minorHAnsi" w:hAnsiTheme="minorHAnsi" w:cstheme="minorHAnsi"/>
        </w:rPr>
        <w:t>towarzyszenie</w:t>
      </w:r>
      <w:r w:rsidRPr="002E2D1F">
        <w:rPr>
          <w:rFonts w:asciiTheme="minorHAnsi" w:hAnsiTheme="minorHAnsi" w:cstheme="minorHAnsi"/>
        </w:rPr>
        <w:t>. Tutaj należy wskazać, że sama zmiana oceny dowodów nie może stanowić podstawy do podważenia trwałości decyzji w trybie wznowienia postępowania, jeżeli nie wyprowadzi się takich nowych okoliczności faktycznych, istniejących w dniu wydania decyzji ostatecznej, które podważą ocenę materiału dowodowego zgromadzonego w sprawie przy wydaniu decyzji ostatecznej, rozstrzygającej sprawę merytorycznie w trybie postępowania zwykłego.</w:t>
      </w:r>
    </w:p>
    <w:p w14:paraId="598E8AA9" w14:textId="1FED1421" w:rsidR="00975B9F" w:rsidRPr="002E2D1F" w:rsidRDefault="00975B9F" w:rsidP="002E2D1F">
      <w:pPr>
        <w:pStyle w:val="Bezodstpw"/>
        <w:rPr>
          <w:rFonts w:asciiTheme="minorHAnsi" w:hAnsiTheme="minorHAnsi" w:cstheme="minorHAnsi"/>
        </w:rPr>
      </w:pPr>
      <w:r w:rsidRPr="002E2D1F">
        <w:rPr>
          <w:rFonts w:asciiTheme="minorHAnsi" w:hAnsiTheme="minorHAnsi" w:cstheme="minorHAnsi"/>
        </w:rPr>
        <w:t xml:space="preserve">W tym miejscu należy ponownie podkreślić, że przedmiotowe postępowanie, dotyczące wznowienia decyzji ostatecznej, jest postępowaniem nadzwyczajnym. Przedmiotem tego postępowania jest </w:t>
      </w:r>
      <w:r w:rsidR="005128FB" w:rsidRPr="002E2D1F">
        <w:rPr>
          <w:rFonts w:asciiTheme="minorHAnsi" w:hAnsiTheme="minorHAnsi" w:cstheme="minorHAnsi"/>
        </w:rPr>
        <w:t xml:space="preserve">wpierw </w:t>
      </w:r>
      <w:r w:rsidRPr="002E2D1F">
        <w:rPr>
          <w:rFonts w:asciiTheme="minorHAnsi" w:hAnsiTheme="minorHAnsi" w:cstheme="minorHAnsi"/>
        </w:rPr>
        <w:t xml:space="preserve">ustalenie czy postępowanie, w którym zapadła decyzja ostateczna było dotknięte jedną z wadliwości wymienionych w art. 145 </w:t>
      </w:r>
      <w:r w:rsidR="0080377C" w:rsidRPr="002E2D1F">
        <w:rPr>
          <w:rFonts w:asciiTheme="minorHAnsi" w:hAnsiTheme="minorHAnsi" w:cstheme="minorHAnsi"/>
        </w:rPr>
        <w:t>K</w:t>
      </w:r>
      <w:r w:rsidRPr="002E2D1F">
        <w:rPr>
          <w:rFonts w:asciiTheme="minorHAnsi" w:hAnsiTheme="minorHAnsi" w:cstheme="minorHAnsi"/>
        </w:rPr>
        <w:t>pa</w:t>
      </w:r>
      <w:r w:rsidR="005128FB" w:rsidRPr="002E2D1F">
        <w:rPr>
          <w:rFonts w:asciiTheme="minorHAnsi" w:hAnsiTheme="minorHAnsi" w:cstheme="minorHAnsi"/>
        </w:rPr>
        <w:t xml:space="preserve">. </w:t>
      </w:r>
      <w:r w:rsidR="009976FB" w:rsidRPr="002E2D1F">
        <w:rPr>
          <w:rFonts w:asciiTheme="minorHAnsi" w:hAnsiTheme="minorHAnsi" w:cstheme="minorHAnsi"/>
        </w:rPr>
        <w:t>GDOŚ</w:t>
      </w:r>
      <w:r w:rsidRPr="002E2D1F">
        <w:rPr>
          <w:rFonts w:asciiTheme="minorHAnsi" w:hAnsiTheme="minorHAnsi" w:cstheme="minorHAnsi"/>
        </w:rPr>
        <w:t xml:space="preserve"> nie stwierdził</w:t>
      </w:r>
      <w:r w:rsidR="005128FB" w:rsidRPr="002E2D1F">
        <w:rPr>
          <w:rFonts w:asciiTheme="minorHAnsi" w:hAnsiTheme="minorHAnsi" w:cstheme="minorHAnsi"/>
        </w:rPr>
        <w:t xml:space="preserve"> zaś</w:t>
      </w:r>
      <w:r w:rsidRPr="002E2D1F">
        <w:rPr>
          <w:rFonts w:asciiTheme="minorHAnsi" w:hAnsiTheme="minorHAnsi" w:cstheme="minorHAnsi"/>
        </w:rPr>
        <w:t xml:space="preserve"> zaistnienia przesłanek wznowieniowych, na które powołali się wnioskujący.</w:t>
      </w:r>
    </w:p>
    <w:p w14:paraId="67DCEED0" w14:textId="6B52F1C7" w:rsidR="00975B9F" w:rsidRPr="002E2D1F" w:rsidRDefault="00975B9F" w:rsidP="002E2D1F">
      <w:pPr>
        <w:pStyle w:val="Bezodstpw"/>
        <w:rPr>
          <w:rFonts w:asciiTheme="minorHAnsi" w:hAnsiTheme="minorHAnsi" w:cstheme="minorHAnsi"/>
        </w:rPr>
      </w:pPr>
      <w:r w:rsidRPr="002E2D1F">
        <w:rPr>
          <w:rFonts w:asciiTheme="minorHAnsi" w:hAnsiTheme="minorHAnsi" w:cstheme="minorHAnsi"/>
        </w:rPr>
        <w:t>Powyższe ustalenia prowadzą do wniosku, że nie zaistniały podstawy do uchylenia decyzji</w:t>
      </w:r>
      <w:r w:rsidR="005B6000" w:rsidRPr="002E2D1F">
        <w:rPr>
          <w:rFonts w:asciiTheme="minorHAnsi" w:hAnsiTheme="minorHAnsi" w:cstheme="minorHAnsi"/>
        </w:rPr>
        <w:t xml:space="preserve"> </w:t>
      </w:r>
      <w:r w:rsidR="009976FB" w:rsidRPr="002E2D1F">
        <w:rPr>
          <w:rFonts w:asciiTheme="minorHAnsi" w:hAnsiTheme="minorHAnsi" w:cstheme="minorHAnsi"/>
        </w:rPr>
        <w:t xml:space="preserve">ostatecznej </w:t>
      </w:r>
      <w:r w:rsidR="0080377C" w:rsidRPr="002E2D1F">
        <w:rPr>
          <w:rFonts w:asciiTheme="minorHAnsi" w:hAnsiTheme="minorHAnsi" w:cstheme="minorHAnsi"/>
        </w:rPr>
        <w:t>GDOŚ</w:t>
      </w:r>
      <w:r w:rsidR="009976FB" w:rsidRPr="002E2D1F">
        <w:rPr>
          <w:rFonts w:asciiTheme="minorHAnsi" w:hAnsiTheme="minorHAnsi" w:cstheme="minorHAnsi"/>
        </w:rPr>
        <w:t xml:space="preserve"> z dnia 16 maja 2016 r., znak: DOOŚoaII.4200.24.2015.EK.7, uchylającej w części i orzekającej w tym zakresie, a w pozostałym zakresie utrzymującej w mocy decyzję Regionalnego Dyrektora Ochrony Środowiska we Wrocławiu z dnia 30 września 2015 r., znak: WOOŚ.4233.8.2013.ŁCK.54, o środowiskowych uwarunkowaniach dla inwestycji pod nazwą: „Budowa suchego zbiornika Szalejów Górny na rzece Bystrzycy Dusznickiej”</w:t>
      </w:r>
      <w:r w:rsidR="0080377C" w:rsidRPr="002E2D1F">
        <w:rPr>
          <w:rFonts w:asciiTheme="minorHAnsi" w:hAnsiTheme="minorHAnsi" w:cstheme="minorHAnsi"/>
        </w:rPr>
        <w:t xml:space="preserve">. </w:t>
      </w:r>
    </w:p>
    <w:p w14:paraId="0F04373C" w14:textId="3ADB51BE" w:rsidR="008101FC" w:rsidRPr="002E2D1F" w:rsidRDefault="008101FC" w:rsidP="002E2D1F">
      <w:pPr>
        <w:pStyle w:val="Bezodstpw"/>
        <w:rPr>
          <w:rFonts w:asciiTheme="minorHAnsi" w:hAnsiTheme="minorHAnsi" w:cstheme="minorHAnsi"/>
        </w:rPr>
      </w:pPr>
      <w:r w:rsidRPr="002E2D1F">
        <w:rPr>
          <w:rFonts w:asciiTheme="minorHAnsi" w:hAnsiTheme="minorHAnsi" w:cstheme="minorHAnsi"/>
        </w:rPr>
        <w:t>Mając na uwadze powyższe</w:t>
      </w:r>
      <w:r w:rsidR="0080377C" w:rsidRPr="002E2D1F">
        <w:rPr>
          <w:rFonts w:asciiTheme="minorHAnsi" w:hAnsiTheme="minorHAnsi" w:cstheme="minorHAnsi"/>
        </w:rPr>
        <w:t xml:space="preserve"> </w:t>
      </w:r>
      <w:r w:rsidRPr="002E2D1F">
        <w:rPr>
          <w:rFonts w:asciiTheme="minorHAnsi" w:hAnsiTheme="minorHAnsi" w:cstheme="minorHAnsi"/>
        </w:rPr>
        <w:t>orzeczono jak w sentencji.</w:t>
      </w:r>
    </w:p>
    <w:p w14:paraId="237AB36F" w14:textId="77777777" w:rsidR="00CD7C18" w:rsidRPr="002E2D1F" w:rsidRDefault="00CD7C18" w:rsidP="002E2D1F">
      <w:pPr>
        <w:pStyle w:val="Bezodstpw"/>
        <w:rPr>
          <w:rFonts w:asciiTheme="minorHAnsi" w:hAnsiTheme="minorHAnsi" w:cstheme="minorHAnsi"/>
        </w:rPr>
      </w:pPr>
    </w:p>
    <w:p w14:paraId="35426199" w14:textId="4EA6EDDE" w:rsidR="00CD7C18" w:rsidRPr="002E2D1F" w:rsidRDefault="00CD7C18" w:rsidP="002E2D1F">
      <w:pPr>
        <w:pStyle w:val="Bezodstpw"/>
        <w:rPr>
          <w:rFonts w:asciiTheme="minorHAnsi" w:hAnsiTheme="minorHAnsi" w:cstheme="minorHAnsi"/>
        </w:rPr>
      </w:pPr>
      <w:r w:rsidRPr="002E2D1F">
        <w:rPr>
          <w:rFonts w:asciiTheme="minorHAnsi" w:hAnsiTheme="minorHAnsi" w:cstheme="minorHAnsi"/>
        </w:rPr>
        <w:t>Pouczenie</w:t>
      </w:r>
    </w:p>
    <w:p w14:paraId="14D1A259" w14:textId="77777777" w:rsidR="00CD7C18" w:rsidRPr="002E2D1F" w:rsidRDefault="00CD7C18" w:rsidP="002E2D1F">
      <w:pPr>
        <w:pStyle w:val="Bezodstpw"/>
        <w:rPr>
          <w:rFonts w:asciiTheme="minorHAnsi" w:hAnsiTheme="minorHAnsi" w:cstheme="minorHAnsi"/>
        </w:rPr>
      </w:pPr>
      <w:r w:rsidRPr="002E2D1F">
        <w:rPr>
          <w:rFonts w:asciiTheme="minorHAnsi" w:hAnsiTheme="minorHAnsi" w:cstheme="minorHAnsi"/>
        </w:rPr>
        <w:t xml:space="preserve">Decyzja niniejsza jest ostateczna w administracyjnym toku instancji. </w:t>
      </w:r>
    </w:p>
    <w:p w14:paraId="494DF1E5" w14:textId="77777777" w:rsidR="00CD7C18" w:rsidRPr="002E2D1F" w:rsidRDefault="00CD7C18" w:rsidP="002E2D1F">
      <w:pPr>
        <w:pStyle w:val="Bezodstpw"/>
        <w:rPr>
          <w:rFonts w:asciiTheme="minorHAnsi" w:hAnsiTheme="minorHAnsi" w:cstheme="minorHAnsi"/>
        </w:rPr>
      </w:pPr>
      <w:r w:rsidRPr="002E2D1F">
        <w:rPr>
          <w:rFonts w:asciiTheme="minorHAnsi" w:hAnsiTheme="minorHAnsi" w:cstheme="minorHAnsi"/>
        </w:rPr>
        <w:t>Strona może wnieść skargę na niniejszą decyzję, zgodnie z art. 52 § 2 ustawy z dnia 30 sierpnia 2002 r. - Prawo o postępowaniu przed sądami administracyjnymi (</w:t>
      </w:r>
      <w:r w:rsidRPr="002E2D1F">
        <w:rPr>
          <w:rFonts w:asciiTheme="minorHAnsi" w:hAnsiTheme="minorHAnsi" w:cstheme="minorHAnsi"/>
          <w:color w:val="000000"/>
        </w:rPr>
        <w:t>Dz. U. z 2019 r. poz. 2325</w:t>
      </w:r>
      <w:r w:rsidRPr="002E2D1F">
        <w:rPr>
          <w:rFonts w:asciiTheme="minorHAnsi" w:hAnsiTheme="minorHAnsi" w:cstheme="minorHAnsi"/>
        </w:rPr>
        <w:t xml:space="preserve">), dalej ustawa </w:t>
      </w:r>
      <w:proofErr w:type="spellStart"/>
      <w:r w:rsidRPr="002E2D1F">
        <w:rPr>
          <w:rFonts w:asciiTheme="minorHAnsi" w:hAnsiTheme="minorHAnsi" w:cstheme="minorHAnsi"/>
        </w:rPr>
        <w:t>Ppsa</w:t>
      </w:r>
      <w:proofErr w:type="spellEnd"/>
      <w:r w:rsidRPr="002E2D1F">
        <w:rPr>
          <w:rFonts w:asciiTheme="minorHAnsi" w:hAnsiTheme="minorHAnsi" w:cstheme="minorHAnsi"/>
        </w:rPr>
        <w:t>. Skargę wnosi się na piśmie do Wojewódzkiego Sądu Administracyjnego w Warszawie, za pośrednictwem Generalnego Dyrektora Ochrony Środowiska, w terminie 30 dni od dnia otrzymania decyzji;</w:t>
      </w:r>
    </w:p>
    <w:p w14:paraId="4E45B58F" w14:textId="77777777" w:rsidR="00CD7C18" w:rsidRPr="002E2D1F" w:rsidRDefault="00CD7C18" w:rsidP="002E2D1F">
      <w:pPr>
        <w:pStyle w:val="Bezodstpw"/>
        <w:rPr>
          <w:rFonts w:asciiTheme="minorHAnsi" w:hAnsiTheme="minorHAnsi" w:cstheme="minorHAnsi"/>
        </w:rPr>
      </w:pPr>
      <w:r w:rsidRPr="002E2D1F">
        <w:rPr>
          <w:rFonts w:asciiTheme="minorHAnsi" w:hAnsiTheme="minorHAnsi" w:cstheme="minorHAnsi"/>
        </w:rPr>
        <w:t xml:space="preserve">wnosząc skargę na niniejszą decyzję strona, zgodnie z art. 230 ustawy </w:t>
      </w:r>
      <w:proofErr w:type="spellStart"/>
      <w:r w:rsidRPr="002E2D1F">
        <w:rPr>
          <w:rFonts w:asciiTheme="minorHAnsi" w:hAnsiTheme="minorHAnsi" w:cstheme="minorHAnsi"/>
        </w:rPr>
        <w:t>Ppsa</w:t>
      </w:r>
      <w:proofErr w:type="spellEnd"/>
      <w:r w:rsidRPr="002E2D1F">
        <w:rPr>
          <w:rFonts w:asciiTheme="minorHAnsi" w:hAnsiTheme="minorHAnsi" w:cstheme="minorHAnsi"/>
        </w:rPr>
        <w:t xml:space="preserve">, obowiązana jest do uiszczenia wpisu od skargi w kwocie 200 zł. Strona, co wynika z art. 239 ustawy </w:t>
      </w:r>
      <w:proofErr w:type="spellStart"/>
      <w:r w:rsidRPr="002E2D1F">
        <w:rPr>
          <w:rFonts w:asciiTheme="minorHAnsi" w:hAnsiTheme="minorHAnsi" w:cstheme="minorHAnsi"/>
        </w:rPr>
        <w:t>Ppsa</w:t>
      </w:r>
      <w:proofErr w:type="spellEnd"/>
      <w:r w:rsidRPr="002E2D1F">
        <w:rPr>
          <w:rFonts w:asciiTheme="minorHAnsi" w:hAnsiTheme="minorHAnsi" w:cstheme="minorHAnsi"/>
        </w:rPr>
        <w:t>, może być zwolniona z obowiązku uiszczenia kosztów sądowych;</w:t>
      </w:r>
    </w:p>
    <w:p w14:paraId="635300D8" w14:textId="77777777" w:rsidR="00CD7C18" w:rsidRPr="002E2D1F" w:rsidRDefault="00CD7C18" w:rsidP="002E2D1F">
      <w:pPr>
        <w:pStyle w:val="Bezodstpw"/>
        <w:rPr>
          <w:rFonts w:asciiTheme="minorHAnsi" w:hAnsiTheme="minorHAnsi" w:cstheme="minorHAnsi"/>
        </w:rPr>
      </w:pPr>
      <w:r w:rsidRPr="002E2D1F">
        <w:rPr>
          <w:rFonts w:asciiTheme="minorHAnsi" w:hAnsiTheme="minorHAnsi" w:cstheme="minorHAnsi"/>
        </w:rPr>
        <w:t xml:space="preserve">stronie, zgodnie z art. 243 ustawy </w:t>
      </w:r>
      <w:proofErr w:type="spellStart"/>
      <w:r w:rsidRPr="002E2D1F">
        <w:rPr>
          <w:rFonts w:asciiTheme="minorHAnsi" w:hAnsiTheme="minorHAnsi" w:cstheme="minorHAnsi"/>
        </w:rPr>
        <w:t>Ppsa</w:t>
      </w:r>
      <w:proofErr w:type="spellEnd"/>
      <w:r w:rsidRPr="002E2D1F">
        <w:rPr>
          <w:rFonts w:asciiTheme="minorHAnsi" w:hAnsiTheme="minorHAnsi" w:cstheme="minorHAnsi"/>
        </w:rPr>
        <w:t>, może być przyznane, na jej wniosek, prawo pomocy. Wniosek ten wolny jest od opłat sądowych.</w:t>
      </w:r>
    </w:p>
    <w:p w14:paraId="02544CC4" w14:textId="77777777" w:rsidR="00CD7C18" w:rsidRPr="002E2D1F" w:rsidRDefault="00CD7C18" w:rsidP="002E2D1F">
      <w:pPr>
        <w:pStyle w:val="Bezodstpw"/>
        <w:rPr>
          <w:rFonts w:asciiTheme="minorHAnsi" w:hAnsiTheme="minorHAnsi" w:cstheme="minorHAnsi"/>
        </w:rPr>
      </w:pPr>
    </w:p>
    <w:p w14:paraId="7711BD10" w14:textId="677121C8" w:rsidR="00CD7C18" w:rsidRPr="002E2D1F" w:rsidRDefault="00694743" w:rsidP="002E2D1F">
      <w:pPr>
        <w:pStyle w:val="Bezodstpw"/>
        <w:rPr>
          <w:rFonts w:asciiTheme="minorHAnsi" w:hAnsiTheme="minorHAnsi" w:cstheme="minorHAnsi"/>
        </w:rPr>
      </w:pPr>
      <w:r w:rsidRPr="002E2D1F">
        <w:rPr>
          <w:rFonts w:asciiTheme="minorHAnsi" w:hAnsiTheme="minorHAnsi" w:cstheme="minorHAnsi"/>
        </w:rPr>
        <w:t>z upoważnienia Generalnego Dyrektora Ochrony Środowiska</w:t>
      </w:r>
    </w:p>
    <w:p w14:paraId="34B042C7" w14:textId="2C9C6757" w:rsidR="00694743" w:rsidRPr="002E2D1F" w:rsidRDefault="00694743" w:rsidP="002E2D1F">
      <w:pPr>
        <w:pStyle w:val="Bezodstpw"/>
        <w:rPr>
          <w:rFonts w:asciiTheme="minorHAnsi" w:hAnsiTheme="minorHAnsi" w:cstheme="minorHAnsi"/>
        </w:rPr>
      </w:pPr>
      <w:r w:rsidRPr="002E2D1F">
        <w:rPr>
          <w:rFonts w:asciiTheme="minorHAnsi" w:hAnsiTheme="minorHAnsi" w:cstheme="minorHAnsi"/>
        </w:rPr>
        <w:t>Zastępca Generalnego Dyrektora Ochrony Środowiska</w:t>
      </w:r>
    </w:p>
    <w:p w14:paraId="21F869A2" w14:textId="6267A889" w:rsidR="00694743" w:rsidRPr="002E2D1F" w:rsidRDefault="00694743" w:rsidP="002E2D1F">
      <w:pPr>
        <w:pStyle w:val="Bezodstpw"/>
        <w:rPr>
          <w:rFonts w:asciiTheme="minorHAnsi" w:hAnsiTheme="minorHAnsi" w:cstheme="minorHAnsi"/>
        </w:rPr>
      </w:pPr>
      <w:r w:rsidRPr="002E2D1F">
        <w:rPr>
          <w:rFonts w:asciiTheme="minorHAnsi" w:hAnsiTheme="minorHAnsi" w:cstheme="minorHAnsi"/>
        </w:rPr>
        <w:t>Marek Kajs</w:t>
      </w:r>
    </w:p>
    <w:p w14:paraId="11D540A4" w14:textId="77777777" w:rsidR="00694743" w:rsidRPr="002E2D1F" w:rsidRDefault="00694743" w:rsidP="002E2D1F">
      <w:pPr>
        <w:pStyle w:val="Bezodstpw"/>
        <w:rPr>
          <w:rFonts w:asciiTheme="minorHAnsi" w:hAnsiTheme="minorHAnsi" w:cstheme="minorHAnsi"/>
        </w:rPr>
      </w:pPr>
    </w:p>
    <w:p w14:paraId="5CC70C11" w14:textId="3DB9894E" w:rsidR="007F7621" w:rsidRPr="002E2D1F" w:rsidRDefault="007F7621" w:rsidP="002E2D1F">
      <w:pPr>
        <w:pStyle w:val="Bezodstpw"/>
        <w:rPr>
          <w:rFonts w:asciiTheme="minorHAnsi" w:hAnsiTheme="minorHAnsi" w:cstheme="minorHAnsi"/>
        </w:rPr>
      </w:pPr>
      <w:r w:rsidRPr="002E2D1F">
        <w:rPr>
          <w:rFonts w:asciiTheme="minorHAnsi" w:hAnsiTheme="minorHAnsi" w:cstheme="minorHAnsi"/>
        </w:rPr>
        <w:t>Otrzymują:</w:t>
      </w:r>
    </w:p>
    <w:p w14:paraId="41E949F4" w14:textId="77777777" w:rsidR="008E5103" w:rsidRPr="002E2D1F" w:rsidRDefault="008E5103" w:rsidP="002E2D1F">
      <w:pPr>
        <w:pStyle w:val="Bezodstpw"/>
        <w:rPr>
          <w:rFonts w:asciiTheme="minorHAnsi" w:hAnsiTheme="minorHAnsi" w:cstheme="minorHAnsi"/>
        </w:rPr>
      </w:pPr>
      <w:r w:rsidRPr="002E2D1F">
        <w:rPr>
          <w:rFonts w:asciiTheme="minorHAnsi" w:hAnsiTheme="minorHAnsi" w:cstheme="minorHAnsi"/>
        </w:rPr>
        <w:t>Państwowe Gospodarstwo Wodne Wody Polskie Regionalny Zarząd Gospodarki Wodnej we Wrocławiu, ul. Norwida 34, 50-950 Wrocław;</w:t>
      </w:r>
    </w:p>
    <w:p w14:paraId="2DC6E810" w14:textId="0424F03C" w:rsidR="008E5103" w:rsidRPr="002E2D1F" w:rsidRDefault="00AD00E9" w:rsidP="002E2D1F">
      <w:pPr>
        <w:pStyle w:val="Bezodstpw"/>
        <w:rPr>
          <w:rFonts w:asciiTheme="minorHAnsi" w:hAnsiTheme="minorHAnsi" w:cstheme="minorHAnsi"/>
        </w:rPr>
      </w:pPr>
      <w:r w:rsidRPr="002E2D1F">
        <w:rPr>
          <w:rFonts w:asciiTheme="minorHAnsi" w:hAnsiTheme="minorHAnsi" w:cstheme="minorHAnsi"/>
          <w:color w:val="000000"/>
        </w:rPr>
        <w:t>(…)</w:t>
      </w:r>
      <w:r w:rsidR="008E5103" w:rsidRPr="002E2D1F">
        <w:rPr>
          <w:rFonts w:asciiTheme="minorHAnsi" w:hAnsiTheme="minorHAnsi" w:cstheme="minorHAnsi"/>
        </w:rPr>
        <w:t>, Prezes Stowarzyszenia Ekologicznego EKO-UNIA, ul. Białoskórnicza 26, 50-134 Wrocław;</w:t>
      </w:r>
    </w:p>
    <w:p w14:paraId="0A202194" w14:textId="3662C0DB" w:rsidR="007F7621" w:rsidRPr="002E2D1F" w:rsidRDefault="007F7621" w:rsidP="002E2D1F">
      <w:pPr>
        <w:pStyle w:val="Bezodstpw"/>
        <w:rPr>
          <w:rFonts w:asciiTheme="minorHAnsi" w:hAnsiTheme="minorHAnsi" w:cstheme="minorHAnsi"/>
        </w:rPr>
      </w:pPr>
      <w:r w:rsidRPr="002E2D1F">
        <w:rPr>
          <w:rFonts w:asciiTheme="minorHAnsi" w:hAnsiTheme="minorHAnsi" w:cstheme="minorHAnsi"/>
        </w:rPr>
        <w:t xml:space="preserve">Pozostałe strony zgodnie z art. 49 </w:t>
      </w:r>
      <w:r w:rsidR="007E1AE1" w:rsidRPr="002E2D1F">
        <w:rPr>
          <w:rFonts w:asciiTheme="minorHAnsi" w:hAnsiTheme="minorHAnsi" w:cstheme="minorHAnsi"/>
        </w:rPr>
        <w:t>Kpa</w:t>
      </w:r>
      <w:r w:rsidR="00CD7C18" w:rsidRPr="002E2D1F">
        <w:rPr>
          <w:rFonts w:asciiTheme="minorHAnsi" w:hAnsiTheme="minorHAnsi" w:cstheme="minorHAnsi"/>
        </w:rPr>
        <w:t>.</w:t>
      </w:r>
    </w:p>
    <w:p w14:paraId="0DB4D58E" w14:textId="010AECD9" w:rsidR="007F7621" w:rsidRPr="002E2D1F" w:rsidRDefault="007F7621" w:rsidP="002E2D1F">
      <w:pPr>
        <w:pStyle w:val="Bezodstpw"/>
        <w:rPr>
          <w:rFonts w:asciiTheme="minorHAnsi" w:hAnsiTheme="minorHAnsi" w:cstheme="minorHAnsi"/>
        </w:rPr>
      </w:pPr>
    </w:p>
    <w:p w14:paraId="07EFA44C" w14:textId="1A6577A4" w:rsidR="00CD7C18" w:rsidRPr="002E2D1F" w:rsidRDefault="007F7621" w:rsidP="002E2D1F">
      <w:pPr>
        <w:pStyle w:val="Bezodstpw"/>
        <w:rPr>
          <w:rFonts w:asciiTheme="minorHAnsi" w:hAnsiTheme="minorHAnsi" w:cstheme="minorHAnsi"/>
        </w:rPr>
      </w:pPr>
      <w:r w:rsidRPr="002E2D1F">
        <w:rPr>
          <w:rFonts w:asciiTheme="minorHAnsi" w:hAnsiTheme="minorHAnsi" w:cstheme="minorHAnsi"/>
        </w:rPr>
        <w:t>Do wiadomości:</w:t>
      </w:r>
    </w:p>
    <w:p w14:paraId="2F44D63D" w14:textId="00B49D7A" w:rsidR="007F7621" w:rsidRPr="002E2D1F" w:rsidRDefault="007F7621" w:rsidP="002E2D1F">
      <w:pPr>
        <w:pStyle w:val="Bezodstpw"/>
        <w:rPr>
          <w:rFonts w:asciiTheme="minorHAnsi" w:hAnsiTheme="minorHAnsi" w:cstheme="minorHAnsi"/>
        </w:rPr>
      </w:pPr>
      <w:r w:rsidRPr="002E2D1F">
        <w:rPr>
          <w:rFonts w:asciiTheme="minorHAnsi" w:hAnsiTheme="minorHAnsi" w:cstheme="minorHAnsi"/>
        </w:rPr>
        <w:t>Regionalny Dyrektor Ochrony Środowiska w</w:t>
      </w:r>
      <w:r w:rsidR="008E5103" w:rsidRPr="002E2D1F">
        <w:rPr>
          <w:rFonts w:asciiTheme="minorHAnsi" w:hAnsiTheme="minorHAnsi" w:cstheme="minorHAnsi"/>
        </w:rPr>
        <w:t>e Wrocławiu, Al. Jana Matejki 6, 50-333 Wrocław</w:t>
      </w:r>
      <w:r w:rsidR="008272D7" w:rsidRPr="002E2D1F">
        <w:rPr>
          <w:rFonts w:asciiTheme="minorHAnsi" w:hAnsiTheme="minorHAnsi" w:cstheme="minorHAnsi"/>
        </w:rPr>
        <w:t>,</w:t>
      </w:r>
    </w:p>
    <w:p w14:paraId="1444DBDE" w14:textId="77777777" w:rsidR="008272D7" w:rsidRPr="002E2D1F" w:rsidRDefault="008272D7" w:rsidP="002E2D1F">
      <w:pPr>
        <w:pStyle w:val="Bezodstpw"/>
        <w:rPr>
          <w:rFonts w:asciiTheme="minorHAnsi" w:hAnsiTheme="minorHAnsi" w:cstheme="minorHAnsi"/>
        </w:rPr>
      </w:pPr>
      <w:r w:rsidRPr="002E2D1F">
        <w:rPr>
          <w:rFonts w:asciiTheme="minorHAnsi" w:hAnsiTheme="minorHAnsi" w:cstheme="minorHAnsi"/>
        </w:rPr>
        <w:t>Wójt Gminy Kłodzko, ul. Okrzei 8A, 57-300 Kłodzko;</w:t>
      </w:r>
    </w:p>
    <w:p w14:paraId="2C09EFE5" w14:textId="7E16582D" w:rsidR="008272D7" w:rsidRPr="002E2D1F" w:rsidRDefault="008272D7" w:rsidP="002E2D1F">
      <w:pPr>
        <w:pStyle w:val="Bezodstpw"/>
        <w:rPr>
          <w:rFonts w:asciiTheme="minorHAnsi" w:hAnsiTheme="minorHAnsi" w:cstheme="minorHAnsi"/>
        </w:rPr>
      </w:pPr>
      <w:r w:rsidRPr="002E2D1F">
        <w:rPr>
          <w:rFonts w:asciiTheme="minorHAnsi" w:hAnsiTheme="minorHAnsi" w:cstheme="minorHAnsi"/>
        </w:rPr>
        <w:t>Burmistrz Kłodzka, pl. Bolesława Chrobrego 1, 57-300 Kłodzko.</w:t>
      </w:r>
    </w:p>
    <w:sectPr w:rsidR="008272D7" w:rsidRPr="002E2D1F" w:rsidSect="00503A88">
      <w:footerReference w:type="default" r:id="rId10"/>
      <w:pgSz w:w="11906" w:h="16838"/>
      <w:pgMar w:top="89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16F3A" w14:textId="77777777" w:rsidR="002A00B8" w:rsidRDefault="002A00B8" w:rsidP="0081189F">
      <w:r>
        <w:separator/>
      </w:r>
    </w:p>
  </w:endnote>
  <w:endnote w:type="continuationSeparator" w:id="0">
    <w:p w14:paraId="1B265A54" w14:textId="77777777" w:rsidR="002A00B8" w:rsidRDefault="002A00B8" w:rsidP="0081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9945644"/>
      <w:docPartObj>
        <w:docPartGallery w:val="Page Numbers (Bottom of Page)"/>
        <w:docPartUnique/>
      </w:docPartObj>
    </w:sdtPr>
    <w:sdtContent>
      <w:p w14:paraId="3CE4DF2C" w14:textId="7C250229" w:rsidR="007E1AE1" w:rsidRDefault="007E1AE1">
        <w:pPr>
          <w:pStyle w:val="Stopka"/>
          <w:jc w:val="right"/>
        </w:pPr>
        <w:r>
          <w:fldChar w:fldCharType="begin"/>
        </w:r>
        <w:r>
          <w:instrText>PAGE   \* MERGEFORMAT</w:instrText>
        </w:r>
        <w:r>
          <w:fldChar w:fldCharType="separate"/>
        </w:r>
        <w:r w:rsidR="005128FB">
          <w:rPr>
            <w:noProof/>
          </w:rPr>
          <w:t>8</w:t>
        </w:r>
        <w:r>
          <w:fldChar w:fldCharType="end"/>
        </w:r>
      </w:p>
    </w:sdtContent>
  </w:sdt>
  <w:p w14:paraId="19B31759" w14:textId="77777777" w:rsidR="00582B78" w:rsidRDefault="00582B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AB1D4" w14:textId="77777777" w:rsidR="002A00B8" w:rsidRDefault="002A00B8" w:rsidP="0081189F">
      <w:r>
        <w:separator/>
      </w:r>
    </w:p>
  </w:footnote>
  <w:footnote w:type="continuationSeparator" w:id="0">
    <w:p w14:paraId="32FA9363" w14:textId="77777777" w:rsidR="002A00B8" w:rsidRDefault="002A00B8" w:rsidP="00811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E32FAC8"/>
    <w:name w:val="WWNum6"/>
    <w:lvl w:ilvl="0">
      <w:start w:val="1"/>
      <w:numFmt w:val="decimal"/>
      <w:lvlText w:val="%1."/>
      <w:lvlJc w:val="left"/>
      <w:pPr>
        <w:tabs>
          <w:tab w:val="num" w:pos="0"/>
        </w:tabs>
        <w:ind w:left="720" w:hanging="360"/>
      </w:pPr>
      <w:rPr>
        <w:rFonts w:ascii="Garamond" w:hAnsi="Garamond"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360" w:hanging="360"/>
      </w:pPr>
    </w:lvl>
  </w:abstractNum>
  <w:abstractNum w:abstractNumId="2" w15:restartNumberingAfterBreak="0">
    <w:nsid w:val="00000004"/>
    <w:multiLevelType w:val="singleLevel"/>
    <w:tmpl w:val="00000004"/>
    <w:name w:val="WW8Num22"/>
    <w:lvl w:ilvl="0">
      <w:start w:val="1"/>
      <w:numFmt w:val="decimal"/>
      <w:lvlText w:val="%1."/>
      <w:lvlJc w:val="left"/>
      <w:pPr>
        <w:tabs>
          <w:tab w:val="num" w:pos="0"/>
        </w:tabs>
        <w:ind w:left="360" w:hanging="360"/>
      </w:pPr>
    </w:lvl>
  </w:abstractNum>
  <w:abstractNum w:abstractNumId="3" w15:restartNumberingAfterBreak="0">
    <w:nsid w:val="01641B14"/>
    <w:multiLevelType w:val="hybridMultilevel"/>
    <w:tmpl w:val="1668DF2E"/>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 w15:restartNumberingAfterBreak="0">
    <w:nsid w:val="0424762C"/>
    <w:multiLevelType w:val="hybridMultilevel"/>
    <w:tmpl w:val="94A8545C"/>
    <w:lvl w:ilvl="0" w:tplc="CC58FE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232D2D"/>
    <w:multiLevelType w:val="hybridMultilevel"/>
    <w:tmpl w:val="94225D1A"/>
    <w:lvl w:ilvl="0" w:tplc="81BCAD7A">
      <w:start w:val="1"/>
      <w:numFmt w:val="decimal"/>
      <w:lvlText w:val="%1."/>
      <w:lvlJc w:val="left"/>
      <w:pPr>
        <w:ind w:left="1086" w:hanging="6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20B441E4"/>
    <w:multiLevelType w:val="hybridMultilevel"/>
    <w:tmpl w:val="1B82B68E"/>
    <w:lvl w:ilvl="0" w:tplc="CC58FE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6B401AB"/>
    <w:multiLevelType w:val="hybridMultilevel"/>
    <w:tmpl w:val="64F6CCEE"/>
    <w:lvl w:ilvl="0" w:tplc="D534C2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22B4FA0"/>
    <w:multiLevelType w:val="hybridMultilevel"/>
    <w:tmpl w:val="02EA3142"/>
    <w:lvl w:ilvl="0" w:tplc="3B1C06AA">
      <w:start w:val="1"/>
      <w:numFmt w:val="bullet"/>
      <w:lvlText w:val="–"/>
      <w:lvlJc w:val="left"/>
      <w:pPr>
        <w:tabs>
          <w:tab w:val="num" w:pos="1416"/>
        </w:tabs>
        <w:ind w:left="1416" w:hanging="360"/>
      </w:pPr>
      <w:rPr>
        <w:rFonts w:ascii="Garamond" w:hAnsi="Garamond" w:cs="Times New Roman" w:hint="default"/>
        <w:sz w:val="24"/>
      </w:rPr>
    </w:lvl>
    <w:lvl w:ilvl="1" w:tplc="04150003" w:tentative="1">
      <w:start w:val="1"/>
      <w:numFmt w:val="bullet"/>
      <w:lvlText w:val="o"/>
      <w:lvlJc w:val="left"/>
      <w:pPr>
        <w:tabs>
          <w:tab w:val="num" w:pos="2148"/>
        </w:tabs>
        <w:ind w:left="2148" w:hanging="360"/>
      </w:pPr>
      <w:rPr>
        <w:rFonts w:ascii="Courier New" w:hAnsi="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3D8677CD"/>
    <w:multiLevelType w:val="hybridMultilevel"/>
    <w:tmpl w:val="9E6C3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F45F4E"/>
    <w:multiLevelType w:val="hybridMultilevel"/>
    <w:tmpl w:val="05F6EA60"/>
    <w:lvl w:ilvl="0" w:tplc="CC58FE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C4B27E5"/>
    <w:multiLevelType w:val="hybridMultilevel"/>
    <w:tmpl w:val="4A24A384"/>
    <w:lvl w:ilvl="0" w:tplc="CC58FE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0686BBA"/>
    <w:multiLevelType w:val="hybridMultilevel"/>
    <w:tmpl w:val="08643514"/>
    <w:lvl w:ilvl="0" w:tplc="FD10F56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51710FCF"/>
    <w:multiLevelType w:val="hybridMultilevel"/>
    <w:tmpl w:val="5066C538"/>
    <w:lvl w:ilvl="0" w:tplc="4E1E3086">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4" w15:restartNumberingAfterBreak="0">
    <w:nsid w:val="53801DB8"/>
    <w:multiLevelType w:val="hybridMultilevel"/>
    <w:tmpl w:val="942E26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53925361"/>
    <w:multiLevelType w:val="hybridMultilevel"/>
    <w:tmpl w:val="EADA53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131D61"/>
    <w:multiLevelType w:val="hybridMultilevel"/>
    <w:tmpl w:val="751073AC"/>
    <w:lvl w:ilvl="0" w:tplc="CC58FE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8A508DF"/>
    <w:multiLevelType w:val="hybridMultilevel"/>
    <w:tmpl w:val="EB06EE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2470C7"/>
    <w:multiLevelType w:val="hybridMultilevel"/>
    <w:tmpl w:val="8500C804"/>
    <w:lvl w:ilvl="0" w:tplc="FD10F5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BDB223A"/>
    <w:multiLevelType w:val="hybridMultilevel"/>
    <w:tmpl w:val="A3104D4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C016BEF"/>
    <w:multiLevelType w:val="hybridMultilevel"/>
    <w:tmpl w:val="E83A9500"/>
    <w:lvl w:ilvl="0" w:tplc="0D1C532E">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D185A"/>
    <w:multiLevelType w:val="hybridMultilevel"/>
    <w:tmpl w:val="DE58940E"/>
    <w:lvl w:ilvl="0" w:tplc="FD10F5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5EF6053"/>
    <w:multiLevelType w:val="hybridMultilevel"/>
    <w:tmpl w:val="49E2E638"/>
    <w:lvl w:ilvl="0" w:tplc="FD10F56C">
      <w:start w:val="1"/>
      <w:numFmt w:val="bullet"/>
      <w:lvlText w:val=""/>
      <w:lvlJc w:val="left"/>
      <w:pPr>
        <w:ind w:left="1467" w:hanging="360"/>
      </w:pPr>
      <w:rPr>
        <w:rFonts w:ascii="Symbol" w:hAnsi="Symbol" w:hint="default"/>
      </w:rPr>
    </w:lvl>
    <w:lvl w:ilvl="1" w:tplc="04150003" w:tentative="1">
      <w:start w:val="1"/>
      <w:numFmt w:val="bullet"/>
      <w:lvlText w:val="o"/>
      <w:lvlJc w:val="left"/>
      <w:pPr>
        <w:ind w:left="2187" w:hanging="360"/>
      </w:pPr>
      <w:rPr>
        <w:rFonts w:ascii="Courier New" w:hAnsi="Courier New" w:cs="Courier New" w:hint="default"/>
      </w:rPr>
    </w:lvl>
    <w:lvl w:ilvl="2" w:tplc="04150005" w:tentative="1">
      <w:start w:val="1"/>
      <w:numFmt w:val="bullet"/>
      <w:lvlText w:val=""/>
      <w:lvlJc w:val="left"/>
      <w:pPr>
        <w:ind w:left="2907" w:hanging="360"/>
      </w:pPr>
      <w:rPr>
        <w:rFonts w:ascii="Wingdings" w:hAnsi="Wingdings" w:hint="default"/>
      </w:rPr>
    </w:lvl>
    <w:lvl w:ilvl="3" w:tplc="04150001" w:tentative="1">
      <w:start w:val="1"/>
      <w:numFmt w:val="bullet"/>
      <w:lvlText w:val=""/>
      <w:lvlJc w:val="left"/>
      <w:pPr>
        <w:ind w:left="3627" w:hanging="360"/>
      </w:pPr>
      <w:rPr>
        <w:rFonts w:ascii="Symbol" w:hAnsi="Symbol" w:hint="default"/>
      </w:rPr>
    </w:lvl>
    <w:lvl w:ilvl="4" w:tplc="04150003" w:tentative="1">
      <w:start w:val="1"/>
      <w:numFmt w:val="bullet"/>
      <w:lvlText w:val="o"/>
      <w:lvlJc w:val="left"/>
      <w:pPr>
        <w:ind w:left="4347" w:hanging="360"/>
      </w:pPr>
      <w:rPr>
        <w:rFonts w:ascii="Courier New" w:hAnsi="Courier New" w:cs="Courier New" w:hint="default"/>
      </w:rPr>
    </w:lvl>
    <w:lvl w:ilvl="5" w:tplc="04150005" w:tentative="1">
      <w:start w:val="1"/>
      <w:numFmt w:val="bullet"/>
      <w:lvlText w:val=""/>
      <w:lvlJc w:val="left"/>
      <w:pPr>
        <w:ind w:left="5067" w:hanging="360"/>
      </w:pPr>
      <w:rPr>
        <w:rFonts w:ascii="Wingdings" w:hAnsi="Wingdings" w:hint="default"/>
      </w:rPr>
    </w:lvl>
    <w:lvl w:ilvl="6" w:tplc="04150001" w:tentative="1">
      <w:start w:val="1"/>
      <w:numFmt w:val="bullet"/>
      <w:lvlText w:val=""/>
      <w:lvlJc w:val="left"/>
      <w:pPr>
        <w:ind w:left="5787" w:hanging="360"/>
      </w:pPr>
      <w:rPr>
        <w:rFonts w:ascii="Symbol" w:hAnsi="Symbol" w:hint="default"/>
      </w:rPr>
    </w:lvl>
    <w:lvl w:ilvl="7" w:tplc="04150003" w:tentative="1">
      <w:start w:val="1"/>
      <w:numFmt w:val="bullet"/>
      <w:lvlText w:val="o"/>
      <w:lvlJc w:val="left"/>
      <w:pPr>
        <w:ind w:left="6507" w:hanging="360"/>
      </w:pPr>
      <w:rPr>
        <w:rFonts w:ascii="Courier New" w:hAnsi="Courier New" w:cs="Courier New" w:hint="default"/>
      </w:rPr>
    </w:lvl>
    <w:lvl w:ilvl="8" w:tplc="04150005" w:tentative="1">
      <w:start w:val="1"/>
      <w:numFmt w:val="bullet"/>
      <w:lvlText w:val=""/>
      <w:lvlJc w:val="left"/>
      <w:pPr>
        <w:ind w:left="7227" w:hanging="360"/>
      </w:pPr>
      <w:rPr>
        <w:rFonts w:ascii="Wingdings" w:hAnsi="Wingdings" w:hint="default"/>
      </w:rPr>
    </w:lvl>
  </w:abstractNum>
  <w:abstractNum w:abstractNumId="23" w15:restartNumberingAfterBreak="0">
    <w:nsid w:val="692324E8"/>
    <w:multiLevelType w:val="hybridMultilevel"/>
    <w:tmpl w:val="311A1448"/>
    <w:lvl w:ilvl="0" w:tplc="CC58FE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50D5300"/>
    <w:multiLevelType w:val="hybridMultilevel"/>
    <w:tmpl w:val="E8908500"/>
    <w:lvl w:ilvl="0" w:tplc="3328DC1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90010377">
    <w:abstractNumId w:val="20"/>
  </w:num>
  <w:num w:numId="2" w16cid:durableId="8147201">
    <w:abstractNumId w:val="19"/>
  </w:num>
  <w:num w:numId="3" w16cid:durableId="208688207">
    <w:abstractNumId w:val="3"/>
  </w:num>
  <w:num w:numId="4" w16cid:durableId="1848524000">
    <w:abstractNumId w:val="8"/>
  </w:num>
  <w:num w:numId="5" w16cid:durableId="1790737722">
    <w:abstractNumId w:val="18"/>
  </w:num>
  <w:num w:numId="6" w16cid:durableId="1936665417">
    <w:abstractNumId w:val="15"/>
  </w:num>
  <w:num w:numId="7" w16cid:durableId="119495452">
    <w:abstractNumId w:val="24"/>
  </w:num>
  <w:num w:numId="8" w16cid:durableId="1757744905">
    <w:abstractNumId w:val="22"/>
  </w:num>
  <w:num w:numId="9" w16cid:durableId="1899046282">
    <w:abstractNumId w:val="21"/>
  </w:num>
  <w:num w:numId="10" w16cid:durableId="680399865">
    <w:abstractNumId w:val="12"/>
  </w:num>
  <w:num w:numId="11" w16cid:durableId="1736275607">
    <w:abstractNumId w:val="23"/>
  </w:num>
  <w:num w:numId="12" w16cid:durableId="1287807708">
    <w:abstractNumId w:val="9"/>
  </w:num>
  <w:num w:numId="13" w16cid:durableId="639919737">
    <w:abstractNumId w:val="11"/>
  </w:num>
  <w:num w:numId="14" w16cid:durableId="533076185">
    <w:abstractNumId w:val="16"/>
  </w:num>
  <w:num w:numId="15" w16cid:durableId="714085579">
    <w:abstractNumId w:val="4"/>
  </w:num>
  <w:num w:numId="16" w16cid:durableId="426927609">
    <w:abstractNumId w:val="10"/>
  </w:num>
  <w:num w:numId="17" w16cid:durableId="291325737">
    <w:abstractNumId w:val="6"/>
  </w:num>
  <w:num w:numId="18" w16cid:durableId="1558124359">
    <w:abstractNumId w:val="7"/>
  </w:num>
  <w:num w:numId="19" w16cid:durableId="1138380709">
    <w:abstractNumId w:val="17"/>
  </w:num>
  <w:num w:numId="20" w16cid:durableId="269550687">
    <w:abstractNumId w:val="1"/>
  </w:num>
  <w:num w:numId="21" w16cid:durableId="396053422">
    <w:abstractNumId w:val="2"/>
  </w:num>
  <w:num w:numId="22" w16cid:durableId="817109738">
    <w:abstractNumId w:val="13"/>
  </w:num>
  <w:num w:numId="23" w16cid:durableId="7042093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796593">
    <w:abstractNumId w:val="14"/>
  </w:num>
  <w:num w:numId="25" w16cid:durableId="10942060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41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BC"/>
    <w:rsid w:val="0000102D"/>
    <w:rsid w:val="0000280B"/>
    <w:rsid w:val="00006C88"/>
    <w:rsid w:val="00007A34"/>
    <w:rsid w:val="000138F3"/>
    <w:rsid w:val="00014898"/>
    <w:rsid w:val="0002081D"/>
    <w:rsid w:val="00021AF9"/>
    <w:rsid w:val="000243CA"/>
    <w:rsid w:val="00034BF5"/>
    <w:rsid w:val="000413E5"/>
    <w:rsid w:val="00042056"/>
    <w:rsid w:val="00045236"/>
    <w:rsid w:val="00046DFF"/>
    <w:rsid w:val="000664BE"/>
    <w:rsid w:val="000701AC"/>
    <w:rsid w:val="00071FC0"/>
    <w:rsid w:val="00073623"/>
    <w:rsid w:val="00076D44"/>
    <w:rsid w:val="00080F0C"/>
    <w:rsid w:val="00082156"/>
    <w:rsid w:val="00084DFB"/>
    <w:rsid w:val="000852EF"/>
    <w:rsid w:val="00085873"/>
    <w:rsid w:val="0009248C"/>
    <w:rsid w:val="00094331"/>
    <w:rsid w:val="00094F60"/>
    <w:rsid w:val="000A03BE"/>
    <w:rsid w:val="000A15A9"/>
    <w:rsid w:val="000A1B5C"/>
    <w:rsid w:val="000A6BFA"/>
    <w:rsid w:val="000B3048"/>
    <w:rsid w:val="000B58FC"/>
    <w:rsid w:val="000B65DA"/>
    <w:rsid w:val="000B75E7"/>
    <w:rsid w:val="000C2BA1"/>
    <w:rsid w:val="000C2C72"/>
    <w:rsid w:val="000D2374"/>
    <w:rsid w:val="000D23C2"/>
    <w:rsid w:val="000D5BF9"/>
    <w:rsid w:val="000D6B0B"/>
    <w:rsid w:val="000E5404"/>
    <w:rsid w:val="000E67B1"/>
    <w:rsid w:val="000F21EE"/>
    <w:rsid w:val="000F447D"/>
    <w:rsid w:val="000F539C"/>
    <w:rsid w:val="000F5AB7"/>
    <w:rsid w:val="000F5E23"/>
    <w:rsid w:val="000F686D"/>
    <w:rsid w:val="000F78A7"/>
    <w:rsid w:val="00103C56"/>
    <w:rsid w:val="00104841"/>
    <w:rsid w:val="00106767"/>
    <w:rsid w:val="001131B2"/>
    <w:rsid w:val="0011511F"/>
    <w:rsid w:val="001174C1"/>
    <w:rsid w:val="00117C35"/>
    <w:rsid w:val="00117E13"/>
    <w:rsid w:val="00120ABE"/>
    <w:rsid w:val="00126D38"/>
    <w:rsid w:val="00126F37"/>
    <w:rsid w:val="00136A04"/>
    <w:rsid w:val="001436A4"/>
    <w:rsid w:val="00144880"/>
    <w:rsid w:val="00144A7E"/>
    <w:rsid w:val="00144D24"/>
    <w:rsid w:val="0015201C"/>
    <w:rsid w:val="00156A24"/>
    <w:rsid w:val="00160BCA"/>
    <w:rsid w:val="0016160E"/>
    <w:rsid w:val="001630E0"/>
    <w:rsid w:val="0016331B"/>
    <w:rsid w:val="00165EDD"/>
    <w:rsid w:val="001671A5"/>
    <w:rsid w:val="001713A9"/>
    <w:rsid w:val="001735A5"/>
    <w:rsid w:val="00175685"/>
    <w:rsid w:val="00175EEE"/>
    <w:rsid w:val="0018042B"/>
    <w:rsid w:val="00181291"/>
    <w:rsid w:val="00183846"/>
    <w:rsid w:val="00183F76"/>
    <w:rsid w:val="00185712"/>
    <w:rsid w:val="0018704A"/>
    <w:rsid w:val="00193996"/>
    <w:rsid w:val="001963D8"/>
    <w:rsid w:val="001A23E1"/>
    <w:rsid w:val="001A75FC"/>
    <w:rsid w:val="001B1788"/>
    <w:rsid w:val="001B1A4B"/>
    <w:rsid w:val="001B31BE"/>
    <w:rsid w:val="001B3314"/>
    <w:rsid w:val="001B7F37"/>
    <w:rsid w:val="001C01BD"/>
    <w:rsid w:val="001C0A04"/>
    <w:rsid w:val="001C5045"/>
    <w:rsid w:val="001D050A"/>
    <w:rsid w:val="001D4ED4"/>
    <w:rsid w:val="001D6F8C"/>
    <w:rsid w:val="001E5B9F"/>
    <w:rsid w:val="001E6252"/>
    <w:rsid w:val="001E644B"/>
    <w:rsid w:val="001E69FA"/>
    <w:rsid w:val="001E6E7A"/>
    <w:rsid w:val="001F5E03"/>
    <w:rsid w:val="002001A4"/>
    <w:rsid w:val="00203C29"/>
    <w:rsid w:val="00205A36"/>
    <w:rsid w:val="002109F4"/>
    <w:rsid w:val="002134A4"/>
    <w:rsid w:val="002136B9"/>
    <w:rsid w:val="00214B01"/>
    <w:rsid w:val="002215D6"/>
    <w:rsid w:val="002241AA"/>
    <w:rsid w:val="00224392"/>
    <w:rsid w:val="0023026E"/>
    <w:rsid w:val="002345CC"/>
    <w:rsid w:val="00234BB2"/>
    <w:rsid w:val="0025010F"/>
    <w:rsid w:val="0025523A"/>
    <w:rsid w:val="00255B46"/>
    <w:rsid w:val="00256321"/>
    <w:rsid w:val="00260C4F"/>
    <w:rsid w:val="002610AD"/>
    <w:rsid w:val="002612F1"/>
    <w:rsid w:val="00264B3B"/>
    <w:rsid w:val="00271F93"/>
    <w:rsid w:val="00275AA0"/>
    <w:rsid w:val="00280D08"/>
    <w:rsid w:val="00282540"/>
    <w:rsid w:val="00285CA3"/>
    <w:rsid w:val="002875D9"/>
    <w:rsid w:val="00292E24"/>
    <w:rsid w:val="00293F79"/>
    <w:rsid w:val="00296BFC"/>
    <w:rsid w:val="002A00B8"/>
    <w:rsid w:val="002A1B86"/>
    <w:rsid w:val="002A2C3D"/>
    <w:rsid w:val="002A4C60"/>
    <w:rsid w:val="002B08BF"/>
    <w:rsid w:val="002B0B0E"/>
    <w:rsid w:val="002B5158"/>
    <w:rsid w:val="002B635E"/>
    <w:rsid w:val="002C1523"/>
    <w:rsid w:val="002C2B97"/>
    <w:rsid w:val="002C3637"/>
    <w:rsid w:val="002C5CD8"/>
    <w:rsid w:val="002D03EF"/>
    <w:rsid w:val="002D5DF0"/>
    <w:rsid w:val="002E2D1F"/>
    <w:rsid w:val="002E551F"/>
    <w:rsid w:val="002F40D9"/>
    <w:rsid w:val="002F4C79"/>
    <w:rsid w:val="002F5D35"/>
    <w:rsid w:val="002F6223"/>
    <w:rsid w:val="002F6CE5"/>
    <w:rsid w:val="0030131D"/>
    <w:rsid w:val="003034DC"/>
    <w:rsid w:val="003036F5"/>
    <w:rsid w:val="003041DA"/>
    <w:rsid w:val="0030477C"/>
    <w:rsid w:val="00307E31"/>
    <w:rsid w:val="00311F1A"/>
    <w:rsid w:val="00321D5D"/>
    <w:rsid w:val="00325D95"/>
    <w:rsid w:val="003319F1"/>
    <w:rsid w:val="00333840"/>
    <w:rsid w:val="003343E4"/>
    <w:rsid w:val="00335529"/>
    <w:rsid w:val="0034091F"/>
    <w:rsid w:val="0034309A"/>
    <w:rsid w:val="00344053"/>
    <w:rsid w:val="0035006D"/>
    <w:rsid w:val="00351C53"/>
    <w:rsid w:val="00353C2C"/>
    <w:rsid w:val="0035506D"/>
    <w:rsid w:val="00355987"/>
    <w:rsid w:val="00357C72"/>
    <w:rsid w:val="00363F63"/>
    <w:rsid w:val="00366E9C"/>
    <w:rsid w:val="003708D3"/>
    <w:rsid w:val="0037122A"/>
    <w:rsid w:val="00374575"/>
    <w:rsid w:val="003752B1"/>
    <w:rsid w:val="00383376"/>
    <w:rsid w:val="0038343D"/>
    <w:rsid w:val="00384E1C"/>
    <w:rsid w:val="00385322"/>
    <w:rsid w:val="0038759B"/>
    <w:rsid w:val="003914D7"/>
    <w:rsid w:val="003932D0"/>
    <w:rsid w:val="00393D04"/>
    <w:rsid w:val="00394C09"/>
    <w:rsid w:val="00394F0A"/>
    <w:rsid w:val="0039770B"/>
    <w:rsid w:val="003A6054"/>
    <w:rsid w:val="003B0ADC"/>
    <w:rsid w:val="003B19BC"/>
    <w:rsid w:val="003B3EE3"/>
    <w:rsid w:val="003C039E"/>
    <w:rsid w:val="003C0BC8"/>
    <w:rsid w:val="003C2844"/>
    <w:rsid w:val="003C46AE"/>
    <w:rsid w:val="003D0E80"/>
    <w:rsid w:val="003D16E7"/>
    <w:rsid w:val="003D2CC3"/>
    <w:rsid w:val="003D597F"/>
    <w:rsid w:val="003E005E"/>
    <w:rsid w:val="003E4606"/>
    <w:rsid w:val="003E5FB2"/>
    <w:rsid w:val="003F01B6"/>
    <w:rsid w:val="003F080E"/>
    <w:rsid w:val="003F3027"/>
    <w:rsid w:val="0040209B"/>
    <w:rsid w:val="004034A6"/>
    <w:rsid w:val="0040383E"/>
    <w:rsid w:val="00406222"/>
    <w:rsid w:val="00406F1E"/>
    <w:rsid w:val="00415FFA"/>
    <w:rsid w:val="00420115"/>
    <w:rsid w:val="00425C0A"/>
    <w:rsid w:val="0043064D"/>
    <w:rsid w:val="00431277"/>
    <w:rsid w:val="00432612"/>
    <w:rsid w:val="004331D8"/>
    <w:rsid w:val="004347BC"/>
    <w:rsid w:val="00436373"/>
    <w:rsid w:val="004370FE"/>
    <w:rsid w:val="004414E1"/>
    <w:rsid w:val="00441A9B"/>
    <w:rsid w:val="00446619"/>
    <w:rsid w:val="004470EF"/>
    <w:rsid w:val="004514B2"/>
    <w:rsid w:val="004515E7"/>
    <w:rsid w:val="004567AB"/>
    <w:rsid w:val="00456CA6"/>
    <w:rsid w:val="00457526"/>
    <w:rsid w:val="004813DB"/>
    <w:rsid w:val="00482477"/>
    <w:rsid w:val="0048590A"/>
    <w:rsid w:val="0048633E"/>
    <w:rsid w:val="00495E19"/>
    <w:rsid w:val="004974A1"/>
    <w:rsid w:val="004978B2"/>
    <w:rsid w:val="004A1201"/>
    <w:rsid w:val="004A2CD5"/>
    <w:rsid w:val="004A363E"/>
    <w:rsid w:val="004A69F8"/>
    <w:rsid w:val="004A7399"/>
    <w:rsid w:val="004B082A"/>
    <w:rsid w:val="004C0798"/>
    <w:rsid w:val="004C0A8A"/>
    <w:rsid w:val="004C429B"/>
    <w:rsid w:val="004C4AE8"/>
    <w:rsid w:val="004C5723"/>
    <w:rsid w:val="004C6B9E"/>
    <w:rsid w:val="004D28D3"/>
    <w:rsid w:val="004D34C9"/>
    <w:rsid w:val="004D4CB1"/>
    <w:rsid w:val="004D710B"/>
    <w:rsid w:val="004E21AD"/>
    <w:rsid w:val="004E474A"/>
    <w:rsid w:val="004F2C2F"/>
    <w:rsid w:val="004F3D01"/>
    <w:rsid w:val="00503385"/>
    <w:rsid w:val="00503A7E"/>
    <w:rsid w:val="00503A88"/>
    <w:rsid w:val="005042BE"/>
    <w:rsid w:val="00510A45"/>
    <w:rsid w:val="00510AA8"/>
    <w:rsid w:val="005128FB"/>
    <w:rsid w:val="00515729"/>
    <w:rsid w:val="0052121A"/>
    <w:rsid w:val="00524FD9"/>
    <w:rsid w:val="00525A8F"/>
    <w:rsid w:val="00527DDF"/>
    <w:rsid w:val="005326DE"/>
    <w:rsid w:val="00535B54"/>
    <w:rsid w:val="00537154"/>
    <w:rsid w:val="005426A0"/>
    <w:rsid w:val="00551357"/>
    <w:rsid w:val="00553B4D"/>
    <w:rsid w:val="005540CF"/>
    <w:rsid w:val="005556FE"/>
    <w:rsid w:val="005623FD"/>
    <w:rsid w:val="00564F41"/>
    <w:rsid w:val="005676F5"/>
    <w:rsid w:val="00571A9F"/>
    <w:rsid w:val="005747EF"/>
    <w:rsid w:val="0057786F"/>
    <w:rsid w:val="00582B78"/>
    <w:rsid w:val="0058682D"/>
    <w:rsid w:val="0059015B"/>
    <w:rsid w:val="005902B5"/>
    <w:rsid w:val="00591176"/>
    <w:rsid w:val="00593C7F"/>
    <w:rsid w:val="00594C86"/>
    <w:rsid w:val="00595213"/>
    <w:rsid w:val="00595987"/>
    <w:rsid w:val="005961BF"/>
    <w:rsid w:val="00597A27"/>
    <w:rsid w:val="005A05D0"/>
    <w:rsid w:val="005A4839"/>
    <w:rsid w:val="005A63D9"/>
    <w:rsid w:val="005A7907"/>
    <w:rsid w:val="005B4BC7"/>
    <w:rsid w:val="005B6000"/>
    <w:rsid w:val="005C016B"/>
    <w:rsid w:val="005C0761"/>
    <w:rsid w:val="005C709B"/>
    <w:rsid w:val="005D2F96"/>
    <w:rsid w:val="005D7710"/>
    <w:rsid w:val="005E1E7B"/>
    <w:rsid w:val="005E3EF7"/>
    <w:rsid w:val="005F16E2"/>
    <w:rsid w:val="005F3E5C"/>
    <w:rsid w:val="005F5B12"/>
    <w:rsid w:val="005F674D"/>
    <w:rsid w:val="005F71F9"/>
    <w:rsid w:val="005F78BE"/>
    <w:rsid w:val="00600B75"/>
    <w:rsid w:val="006027D8"/>
    <w:rsid w:val="00602996"/>
    <w:rsid w:val="006032CB"/>
    <w:rsid w:val="0060373B"/>
    <w:rsid w:val="0060781D"/>
    <w:rsid w:val="00610FA2"/>
    <w:rsid w:val="006118D2"/>
    <w:rsid w:val="00612FC8"/>
    <w:rsid w:val="00614417"/>
    <w:rsid w:val="0061505B"/>
    <w:rsid w:val="0062039D"/>
    <w:rsid w:val="00623950"/>
    <w:rsid w:val="00624E99"/>
    <w:rsid w:val="00626D89"/>
    <w:rsid w:val="00630FB2"/>
    <w:rsid w:val="00631930"/>
    <w:rsid w:val="00633A1B"/>
    <w:rsid w:val="00633CDF"/>
    <w:rsid w:val="006357C5"/>
    <w:rsid w:val="00640D87"/>
    <w:rsid w:val="00644FDF"/>
    <w:rsid w:val="0064502D"/>
    <w:rsid w:val="00645C7A"/>
    <w:rsid w:val="006619F9"/>
    <w:rsid w:val="006645BD"/>
    <w:rsid w:val="00664EE8"/>
    <w:rsid w:val="00666CA6"/>
    <w:rsid w:val="00670441"/>
    <w:rsid w:val="00670DB3"/>
    <w:rsid w:val="00671720"/>
    <w:rsid w:val="0067251D"/>
    <w:rsid w:val="0067375B"/>
    <w:rsid w:val="00677CAB"/>
    <w:rsid w:val="006829F8"/>
    <w:rsid w:val="006833EC"/>
    <w:rsid w:val="00691EB1"/>
    <w:rsid w:val="00694743"/>
    <w:rsid w:val="00695E6E"/>
    <w:rsid w:val="006A1B7A"/>
    <w:rsid w:val="006A51C0"/>
    <w:rsid w:val="006B0547"/>
    <w:rsid w:val="006B1A92"/>
    <w:rsid w:val="006B3FD9"/>
    <w:rsid w:val="006B6D77"/>
    <w:rsid w:val="006C20F7"/>
    <w:rsid w:val="006C6F69"/>
    <w:rsid w:val="006C77C7"/>
    <w:rsid w:val="006C7E5F"/>
    <w:rsid w:val="006D014B"/>
    <w:rsid w:val="006D1C96"/>
    <w:rsid w:val="006D5E14"/>
    <w:rsid w:val="006D6C0C"/>
    <w:rsid w:val="006E5079"/>
    <w:rsid w:val="006E5432"/>
    <w:rsid w:val="006F6EE8"/>
    <w:rsid w:val="006F74DC"/>
    <w:rsid w:val="00700E72"/>
    <w:rsid w:val="00712DDB"/>
    <w:rsid w:val="00721B59"/>
    <w:rsid w:val="0072332B"/>
    <w:rsid w:val="007262E4"/>
    <w:rsid w:val="007279FF"/>
    <w:rsid w:val="007310EA"/>
    <w:rsid w:val="007332AC"/>
    <w:rsid w:val="00734011"/>
    <w:rsid w:val="00734A82"/>
    <w:rsid w:val="007355D6"/>
    <w:rsid w:val="00737F1C"/>
    <w:rsid w:val="00744DDD"/>
    <w:rsid w:val="00745D09"/>
    <w:rsid w:val="00747BF8"/>
    <w:rsid w:val="00750B2F"/>
    <w:rsid w:val="00754EA9"/>
    <w:rsid w:val="007579BD"/>
    <w:rsid w:val="00762602"/>
    <w:rsid w:val="00763BB9"/>
    <w:rsid w:val="0076547E"/>
    <w:rsid w:val="00766453"/>
    <w:rsid w:val="007672CD"/>
    <w:rsid w:val="00767DFB"/>
    <w:rsid w:val="007709ED"/>
    <w:rsid w:val="007710CE"/>
    <w:rsid w:val="007718A0"/>
    <w:rsid w:val="007763A0"/>
    <w:rsid w:val="00777036"/>
    <w:rsid w:val="00787E21"/>
    <w:rsid w:val="007912B2"/>
    <w:rsid w:val="00791FD9"/>
    <w:rsid w:val="00797899"/>
    <w:rsid w:val="00797C9A"/>
    <w:rsid w:val="007A24B4"/>
    <w:rsid w:val="007A6391"/>
    <w:rsid w:val="007A65C6"/>
    <w:rsid w:val="007A7AD2"/>
    <w:rsid w:val="007B033E"/>
    <w:rsid w:val="007B15D5"/>
    <w:rsid w:val="007B2857"/>
    <w:rsid w:val="007B2F80"/>
    <w:rsid w:val="007B5605"/>
    <w:rsid w:val="007B6882"/>
    <w:rsid w:val="007C27B2"/>
    <w:rsid w:val="007C3DD2"/>
    <w:rsid w:val="007C50F5"/>
    <w:rsid w:val="007C7CA6"/>
    <w:rsid w:val="007C7E60"/>
    <w:rsid w:val="007D06E6"/>
    <w:rsid w:val="007D19F6"/>
    <w:rsid w:val="007D2883"/>
    <w:rsid w:val="007D4EE6"/>
    <w:rsid w:val="007D5502"/>
    <w:rsid w:val="007E1AE1"/>
    <w:rsid w:val="007E700A"/>
    <w:rsid w:val="007F4178"/>
    <w:rsid w:val="007F74FC"/>
    <w:rsid w:val="007F7621"/>
    <w:rsid w:val="00801D0B"/>
    <w:rsid w:val="0080377C"/>
    <w:rsid w:val="00806841"/>
    <w:rsid w:val="008101FC"/>
    <w:rsid w:val="008106EB"/>
    <w:rsid w:val="00810F50"/>
    <w:rsid w:val="0081189F"/>
    <w:rsid w:val="008144B4"/>
    <w:rsid w:val="0081480E"/>
    <w:rsid w:val="0081659D"/>
    <w:rsid w:val="008214F3"/>
    <w:rsid w:val="008267B1"/>
    <w:rsid w:val="008272D7"/>
    <w:rsid w:val="008330E7"/>
    <w:rsid w:val="00845B51"/>
    <w:rsid w:val="008500DF"/>
    <w:rsid w:val="0085196D"/>
    <w:rsid w:val="00853299"/>
    <w:rsid w:val="0085331E"/>
    <w:rsid w:val="00853692"/>
    <w:rsid w:val="00855034"/>
    <w:rsid w:val="00855643"/>
    <w:rsid w:val="008570A1"/>
    <w:rsid w:val="00860E57"/>
    <w:rsid w:val="0086179B"/>
    <w:rsid w:val="00865B88"/>
    <w:rsid w:val="00867F9B"/>
    <w:rsid w:val="0087190A"/>
    <w:rsid w:val="00874533"/>
    <w:rsid w:val="008757FB"/>
    <w:rsid w:val="00876379"/>
    <w:rsid w:val="0088142F"/>
    <w:rsid w:val="00885670"/>
    <w:rsid w:val="00885708"/>
    <w:rsid w:val="00891DA5"/>
    <w:rsid w:val="00892DEE"/>
    <w:rsid w:val="00897F96"/>
    <w:rsid w:val="008A7246"/>
    <w:rsid w:val="008B4659"/>
    <w:rsid w:val="008B5931"/>
    <w:rsid w:val="008C112A"/>
    <w:rsid w:val="008C1521"/>
    <w:rsid w:val="008C1B32"/>
    <w:rsid w:val="008C323C"/>
    <w:rsid w:val="008C505B"/>
    <w:rsid w:val="008D0826"/>
    <w:rsid w:val="008D0F16"/>
    <w:rsid w:val="008D11A1"/>
    <w:rsid w:val="008D4BF8"/>
    <w:rsid w:val="008D53AF"/>
    <w:rsid w:val="008D5810"/>
    <w:rsid w:val="008E028C"/>
    <w:rsid w:val="008E0E06"/>
    <w:rsid w:val="008E10C8"/>
    <w:rsid w:val="008E23CD"/>
    <w:rsid w:val="008E3A80"/>
    <w:rsid w:val="008E5103"/>
    <w:rsid w:val="008E6B7F"/>
    <w:rsid w:val="008F244B"/>
    <w:rsid w:val="00907423"/>
    <w:rsid w:val="0091033F"/>
    <w:rsid w:val="00915EA2"/>
    <w:rsid w:val="009164BA"/>
    <w:rsid w:val="009168E2"/>
    <w:rsid w:val="00916CB7"/>
    <w:rsid w:val="00917357"/>
    <w:rsid w:val="009224AB"/>
    <w:rsid w:val="009226ED"/>
    <w:rsid w:val="00922AA6"/>
    <w:rsid w:val="00923D5E"/>
    <w:rsid w:val="00932E1D"/>
    <w:rsid w:val="00933C16"/>
    <w:rsid w:val="00934A01"/>
    <w:rsid w:val="00942E22"/>
    <w:rsid w:val="009523CC"/>
    <w:rsid w:val="00952BB0"/>
    <w:rsid w:val="00952F89"/>
    <w:rsid w:val="00954B3A"/>
    <w:rsid w:val="00954E03"/>
    <w:rsid w:val="00955BC4"/>
    <w:rsid w:val="009560C9"/>
    <w:rsid w:val="00956FD9"/>
    <w:rsid w:val="00960568"/>
    <w:rsid w:val="0096423B"/>
    <w:rsid w:val="009678CB"/>
    <w:rsid w:val="00973116"/>
    <w:rsid w:val="00973CEA"/>
    <w:rsid w:val="00975397"/>
    <w:rsid w:val="009758F7"/>
    <w:rsid w:val="00975B9F"/>
    <w:rsid w:val="00975F15"/>
    <w:rsid w:val="00976B9F"/>
    <w:rsid w:val="00980AD0"/>
    <w:rsid w:val="009821C8"/>
    <w:rsid w:val="00982A28"/>
    <w:rsid w:val="00985707"/>
    <w:rsid w:val="00985F4E"/>
    <w:rsid w:val="00986896"/>
    <w:rsid w:val="00990034"/>
    <w:rsid w:val="00990C02"/>
    <w:rsid w:val="00992675"/>
    <w:rsid w:val="009948B4"/>
    <w:rsid w:val="009976FB"/>
    <w:rsid w:val="009A0BB8"/>
    <w:rsid w:val="009A0E29"/>
    <w:rsid w:val="009A1CF3"/>
    <w:rsid w:val="009B10B2"/>
    <w:rsid w:val="009B785E"/>
    <w:rsid w:val="009C0F0E"/>
    <w:rsid w:val="009C47BA"/>
    <w:rsid w:val="009D49E3"/>
    <w:rsid w:val="009D5371"/>
    <w:rsid w:val="009D6AF1"/>
    <w:rsid w:val="009D7346"/>
    <w:rsid w:val="009E3B99"/>
    <w:rsid w:val="009E5D17"/>
    <w:rsid w:val="009E6277"/>
    <w:rsid w:val="009E68DF"/>
    <w:rsid w:val="009E6A74"/>
    <w:rsid w:val="009F216E"/>
    <w:rsid w:val="009F4E41"/>
    <w:rsid w:val="009F5A08"/>
    <w:rsid w:val="009F5CBA"/>
    <w:rsid w:val="009F7BA9"/>
    <w:rsid w:val="00A0723D"/>
    <w:rsid w:val="00A159EB"/>
    <w:rsid w:val="00A16403"/>
    <w:rsid w:val="00A16FFF"/>
    <w:rsid w:val="00A17785"/>
    <w:rsid w:val="00A17949"/>
    <w:rsid w:val="00A20921"/>
    <w:rsid w:val="00A27BA7"/>
    <w:rsid w:val="00A33723"/>
    <w:rsid w:val="00A33C0D"/>
    <w:rsid w:val="00A414A3"/>
    <w:rsid w:val="00A416FB"/>
    <w:rsid w:val="00A4176A"/>
    <w:rsid w:val="00A42CAB"/>
    <w:rsid w:val="00A433F0"/>
    <w:rsid w:val="00A466F0"/>
    <w:rsid w:val="00A5043D"/>
    <w:rsid w:val="00A52B45"/>
    <w:rsid w:val="00A5429A"/>
    <w:rsid w:val="00A57D6E"/>
    <w:rsid w:val="00A61392"/>
    <w:rsid w:val="00A63C69"/>
    <w:rsid w:val="00A6578F"/>
    <w:rsid w:val="00A73924"/>
    <w:rsid w:val="00A7537D"/>
    <w:rsid w:val="00A75F90"/>
    <w:rsid w:val="00A760DE"/>
    <w:rsid w:val="00A769D2"/>
    <w:rsid w:val="00A84F4A"/>
    <w:rsid w:val="00A86FC9"/>
    <w:rsid w:val="00A87D94"/>
    <w:rsid w:val="00A90F9E"/>
    <w:rsid w:val="00A937FC"/>
    <w:rsid w:val="00A95933"/>
    <w:rsid w:val="00A968EA"/>
    <w:rsid w:val="00A96EAE"/>
    <w:rsid w:val="00A96F60"/>
    <w:rsid w:val="00AA0485"/>
    <w:rsid w:val="00AA1C4C"/>
    <w:rsid w:val="00AA64DE"/>
    <w:rsid w:val="00AA7D01"/>
    <w:rsid w:val="00AB00B0"/>
    <w:rsid w:val="00AB2403"/>
    <w:rsid w:val="00AB7BED"/>
    <w:rsid w:val="00AC0B72"/>
    <w:rsid w:val="00AC10AA"/>
    <w:rsid w:val="00AC3A96"/>
    <w:rsid w:val="00AC3BB1"/>
    <w:rsid w:val="00AC73E8"/>
    <w:rsid w:val="00AD007A"/>
    <w:rsid w:val="00AD00E9"/>
    <w:rsid w:val="00AD054E"/>
    <w:rsid w:val="00AD17C2"/>
    <w:rsid w:val="00AD3454"/>
    <w:rsid w:val="00AD756D"/>
    <w:rsid w:val="00AE1BAF"/>
    <w:rsid w:val="00AE24DD"/>
    <w:rsid w:val="00AE33CB"/>
    <w:rsid w:val="00AE5624"/>
    <w:rsid w:val="00AF0588"/>
    <w:rsid w:val="00AF2703"/>
    <w:rsid w:val="00AF2C3D"/>
    <w:rsid w:val="00AF5F66"/>
    <w:rsid w:val="00AF7358"/>
    <w:rsid w:val="00AF746F"/>
    <w:rsid w:val="00B0245C"/>
    <w:rsid w:val="00B03CDD"/>
    <w:rsid w:val="00B07168"/>
    <w:rsid w:val="00B110E7"/>
    <w:rsid w:val="00B111E9"/>
    <w:rsid w:val="00B11C24"/>
    <w:rsid w:val="00B151E1"/>
    <w:rsid w:val="00B16E3D"/>
    <w:rsid w:val="00B209EA"/>
    <w:rsid w:val="00B255D6"/>
    <w:rsid w:val="00B25DEE"/>
    <w:rsid w:val="00B32D75"/>
    <w:rsid w:val="00B34D34"/>
    <w:rsid w:val="00B44CD7"/>
    <w:rsid w:val="00B45C39"/>
    <w:rsid w:val="00B45E3E"/>
    <w:rsid w:val="00B539BE"/>
    <w:rsid w:val="00B53EF0"/>
    <w:rsid w:val="00B55A8A"/>
    <w:rsid w:val="00B57A4A"/>
    <w:rsid w:val="00B608C3"/>
    <w:rsid w:val="00B61CC1"/>
    <w:rsid w:val="00B62B5E"/>
    <w:rsid w:val="00B6381A"/>
    <w:rsid w:val="00B63F4C"/>
    <w:rsid w:val="00B65F50"/>
    <w:rsid w:val="00B66712"/>
    <w:rsid w:val="00B66869"/>
    <w:rsid w:val="00B7220B"/>
    <w:rsid w:val="00B723E0"/>
    <w:rsid w:val="00B744BF"/>
    <w:rsid w:val="00B777AC"/>
    <w:rsid w:val="00B8316D"/>
    <w:rsid w:val="00B83F0E"/>
    <w:rsid w:val="00B841CB"/>
    <w:rsid w:val="00B8440C"/>
    <w:rsid w:val="00B97AA1"/>
    <w:rsid w:val="00BA2ADC"/>
    <w:rsid w:val="00BA38A4"/>
    <w:rsid w:val="00BA7E7D"/>
    <w:rsid w:val="00BB205F"/>
    <w:rsid w:val="00BB343F"/>
    <w:rsid w:val="00BB359E"/>
    <w:rsid w:val="00BB7C65"/>
    <w:rsid w:val="00BC0023"/>
    <w:rsid w:val="00BC6725"/>
    <w:rsid w:val="00BC6D88"/>
    <w:rsid w:val="00BC70D3"/>
    <w:rsid w:val="00BC7467"/>
    <w:rsid w:val="00BD2D8C"/>
    <w:rsid w:val="00BD30E6"/>
    <w:rsid w:val="00BD4278"/>
    <w:rsid w:val="00BD46CD"/>
    <w:rsid w:val="00BD65B9"/>
    <w:rsid w:val="00BD7097"/>
    <w:rsid w:val="00BE02C0"/>
    <w:rsid w:val="00BE2297"/>
    <w:rsid w:val="00BE44A3"/>
    <w:rsid w:val="00BE611A"/>
    <w:rsid w:val="00BE711E"/>
    <w:rsid w:val="00BF0CB6"/>
    <w:rsid w:val="00BF31A2"/>
    <w:rsid w:val="00BF3551"/>
    <w:rsid w:val="00BF388B"/>
    <w:rsid w:val="00C005DC"/>
    <w:rsid w:val="00C01FCA"/>
    <w:rsid w:val="00C036CC"/>
    <w:rsid w:val="00C03A30"/>
    <w:rsid w:val="00C04B71"/>
    <w:rsid w:val="00C13233"/>
    <w:rsid w:val="00C1485E"/>
    <w:rsid w:val="00C1663C"/>
    <w:rsid w:val="00C17965"/>
    <w:rsid w:val="00C25196"/>
    <w:rsid w:val="00C31EC8"/>
    <w:rsid w:val="00C334D9"/>
    <w:rsid w:val="00C37E3F"/>
    <w:rsid w:val="00C46481"/>
    <w:rsid w:val="00C50459"/>
    <w:rsid w:val="00C5536A"/>
    <w:rsid w:val="00C55CDA"/>
    <w:rsid w:val="00C57695"/>
    <w:rsid w:val="00C57955"/>
    <w:rsid w:val="00C6249A"/>
    <w:rsid w:val="00C6456A"/>
    <w:rsid w:val="00C65DE8"/>
    <w:rsid w:val="00C66EAC"/>
    <w:rsid w:val="00C7372B"/>
    <w:rsid w:val="00C75200"/>
    <w:rsid w:val="00C75D8C"/>
    <w:rsid w:val="00C7638D"/>
    <w:rsid w:val="00C7649A"/>
    <w:rsid w:val="00C81397"/>
    <w:rsid w:val="00C83721"/>
    <w:rsid w:val="00C86725"/>
    <w:rsid w:val="00C907E2"/>
    <w:rsid w:val="00C9274A"/>
    <w:rsid w:val="00C93050"/>
    <w:rsid w:val="00C9392E"/>
    <w:rsid w:val="00C963F7"/>
    <w:rsid w:val="00CA07B4"/>
    <w:rsid w:val="00CA7003"/>
    <w:rsid w:val="00CB1C52"/>
    <w:rsid w:val="00CB2F0E"/>
    <w:rsid w:val="00CB55CB"/>
    <w:rsid w:val="00CC01D4"/>
    <w:rsid w:val="00CC01D8"/>
    <w:rsid w:val="00CC54DC"/>
    <w:rsid w:val="00CC6FE9"/>
    <w:rsid w:val="00CC73A8"/>
    <w:rsid w:val="00CD715F"/>
    <w:rsid w:val="00CD7C18"/>
    <w:rsid w:val="00CE05EA"/>
    <w:rsid w:val="00CE0F77"/>
    <w:rsid w:val="00CE28B8"/>
    <w:rsid w:val="00CE2BCC"/>
    <w:rsid w:val="00CE2BE7"/>
    <w:rsid w:val="00CE4AAD"/>
    <w:rsid w:val="00CE53A5"/>
    <w:rsid w:val="00CF0B1D"/>
    <w:rsid w:val="00CF1825"/>
    <w:rsid w:val="00CF58BE"/>
    <w:rsid w:val="00CF7CED"/>
    <w:rsid w:val="00D00145"/>
    <w:rsid w:val="00D01C00"/>
    <w:rsid w:val="00D03701"/>
    <w:rsid w:val="00D0614A"/>
    <w:rsid w:val="00D06D8F"/>
    <w:rsid w:val="00D14AF7"/>
    <w:rsid w:val="00D16837"/>
    <w:rsid w:val="00D21D94"/>
    <w:rsid w:val="00D274F2"/>
    <w:rsid w:val="00D3302D"/>
    <w:rsid w:val="00D33315"/>
    <w:rsid w:val="00D35149"/>
    <w:rsid w:val="00D404F9"/>
    <w:rsid w:val="00D41448"/>
    <w:rsid w:val="00D41731"/>
    <w:rsid w:val="00D42319"/>
    <w:rsid w:val="00D43C39"/>
    <w:rsid w:val="00D4603D"/>
    <w:rsid w:val="00D47A40"/>
    <w:rsid w:val="00D50E94"/>
    <w:rsid w:val="00D52151"/>
    <w:rsid w:val="00D521BC"/>
    <w:rsid w:val="00D62931"/>
    <w:rsid w:val="00D62C1D"/>
    <w:rsid w:val="00D631E0"/>
    <w:rsid w:val="00D634CB"/>
    <w:rsid w:val="00D64E20"/>
    <w:rsid w:val="00D662D9"/>
    <w:rsid w:val="00D7083B"/>
    <w:rsid w:val="00D742A4"/>
    <w:rsid w:val="00D81E23"/>
    <w:rsid w:val="00D85B43"/>
    <w:rsid w:val="00D874EB"/>
    <w:rsid w:val="00D87ED0"/>
    <w:rsid w:val="00D952AB"/>
    <w:rsid w:val="00DA07B1"/>
    <w:rsid w:val="00DA080F"/>
    <w:rsid w:val="00DA0E15"/>
    <w:rsid w:val="00DA0E1B"/>
    <w:rsid w:val="00DA3241"/>
    <w:rsid w:val="00DB2400"/>
    <w:rsid w:val="00DB3DE9"/>
    <w:rsid w:val="00DB7A64"/>
    <w:rsid w:val="00DC151F"/>
    <w:rsid w:val="00DC3980"/>
    <w:rsid w:val="00DD1487"/>
    <w:rsid w:val="00DD1ADD"/>
    <w:rsid w:val="00DD24EF"/>
    <w:rsid w:val="00DD32B3"/>
    <w:rsid w:val="00DD7CCE"/>
    <w:rsid w:val="00DE13A6"/>
    <w:rsid w:val="00DE6697"/>
    <w:rsid w:val="00DE755B"/>
    <w:rsid w:val="00DF175E"/>
    <w:rsid w:val="00DF1AB0"/>
    <w:rsid w:val="00DF297C"/>
    <w:rsid w:val="00DF2A8C"/>
    <w:rsid w:val="00DF4559"/>
    <w:rsid w:val="00E01024"/>
    <w:rsid w:val="00E012F9"/>
    <w:rsid w:val="00E062A8"/>
    <w:rsid w:val="00E1116F"/>
    <w:rsid w:val="00E14C51"/>
    <w:rsid w:val="00E17A81"/>
    <w:rsid w:val="00E30AC2"/>
    <w:rsid w:val="00E316F4"/>
    <w:rsid w:val="00E35C9D"/>
    <w:rsid w:val="00E4565A"/>
    <w:rsid w:val="00E56B23"/>
    <w:rsid w:val="00E61C35"/>
    <w:rsid w:val="00E64C13"/>
    <w:rsid w:val="00E65ED7"/>
    <w:rsid w:val="00E708C8"/>
    <w:rsid w:val="00E716E4"/>
    <w:rsid w:val="00E73688"/>
    <w:rsid w:val="00E746DF"/>
    <w:rsid w:val="00E74C39"/>
    <w:rsid w:val="00E76D79"/>
    <w:rsid w:val="00E82176"/>
    <w:rsid w:val="00E8325F"/>
    <w:rsid w:val="00E83662"/>
    <w:rsid w:val="00E85E2A"/>
    <w:rsid w:val="00E9101D"/>
    <w:rsid w:val="00E97E5C"/>
    <w:rsid w:val="00EA7ACE"/>
    <w:rsid w:val="00EA7F43"/>
    <w:rsid w:val="00EB1BC1"/>
    <w:rsid w:val="00EB5803"/>
    <w:rsid w:val="00EB7C31"/>
    <w:rsid w:val="00EC096C"/>
    <w:rsid w:val="00EC6F8D"/>
    <w:rsid w:val="00ED2E11"/>
    <w:rsid w:val="00ED34EB"/>
    <w:rsid w:val="00ED58BC"/>
    <w:rsid w:val="00ED6C71"/>
    <w:rsid w:val="00ED6CBA"/>
    <w:rsid w:val="00ED75C0"/>
    <w:rsid w:val="00EE275C"/>
    <w:rsid w:val="00EE3D45"/>
    <w:rsid w:val="00EE3F6F"/>
    <w:rsid w:val="00EE499B"/>
    <w:rsid w:val="00EE4CD2"/>
    <w:rsid w:val="00EE54FA"/>
    <w:rsid w:val="00EE7830"/>
    <w:rsid w:val="00EF0BCA"/>
    <w:rsid w:val="00EF2DAB"/>
    <w:rsid w:val="00EF5492"/>
    <w:rsid w:val="00EF6670"/>
    <w:rsid w:val="00EF68AA"/>
    <w:rsid w:val="00F04CD7"/>
    <w:rsid w:val="00F05FFB"/>
    <w:rsid w:val="00F118A3"/>
    <w:rsid w:val="00F11BC8"/>
    <w:rsid w:val="00F12AFB"/>
    <w:rsid w:val="00F13225"/>
    <w:rsid w:val="00F142D4"/>
    <w:rsid w:val="00F172F5"/>
    <w:rsid w:val="00F20C9E"/>
    <w:rsid w:val="00F26CC6"/>
    <w:rsid w:val="00F33157"/>
    <w:rsid w:val="00F33D0F"/>
    <w:rsid w:val="00F35E1E"/>
    <w:rsid w:val="00F4041C"/>
    <w:rsid w:val="00F45453"/>
    <w:rsid w:val="00F46B78"/>
    <w:rsid w:val="00F57AEC"/>
    <w:rsid w:val="00F64F28"/>
    <w:rsid w:val="00F65C2E"/>
    <w:rsid w:val="00F754C4"/>
    <w:rsid w:val="00F7570C"/>
    <w:rsid w:val="00F809B6"/>
    <w:rsid w:val="00F826CA"/>
    <w:rsid w:val="00F84AC8"/>
    <w:rsid w:val="00F85FD9"/>
    <w:rsid w:val="00F90151"/>
    <w:rsid w:val="00F9287D"/>
    <w:rsid w:val="00F9526C"/>
    <w:rsid w:val="00F95CE5"/>
    <w:rsid w:val="00F95EDD"/>
    <w:rsid w:val="00F95EEC"/>
    <w:rsid w:val="00F95FD9"/>
    <w:rsid w:val="00F969F2"/>
    <w:rsid w:val="00F976D4"/>
    <w:rsid w:val="00F97DCA"/>
    <w:rsid w:val="00FA152F"/>
    <w:rsid w:val="00FA3189"/>
    <w:rsid w:val="00FA5B8B"/>
    <w:rsid w:val="00FA67F8"/>
    <w:rsid w:val="00FB62BC"/>
    <w:rsid w:val="00FC6158"/>
    <w:rsid w:val="00FC6D98"/>
    <w:rsid w:val="00FC7E61"/>
    <w:rsid w:val="00FD4407"/>
    <w:rsid w:val="00FD4F1A"/>
    <w:rsid w:val="00FE477D"/>
    <w:rsid w:val="00FF1AB0"/>
    <w:rsid w:val="00FF46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6CEBA4"/>
  <w15:docId w15:val="{4837D28B-E2C2-4F22-AE3E-77E5C7C5E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10E7"/>
    <w:rPr>
      <w:sz w:val="24"/>
      <w:szCs w:val="24"/>
    </w:rPr>
  </w:style>
  <w:style w:type="paragraph" w:styleId="Nagwek1">
    <w:name w:val="heading 1"/>
    <w:basedOn w:val="Normalny"/>
    <w:next w:val="Normalny"/>
    <w:qFormat/>
    <w:rsid w:val="00B110E7"/>
    <w:pPr>
      <w:keepNext/>
      <w:jc w:val="center"/>
      <w:outlineLvl w:val="0"/>
    </w:pPr>
    <w:rPr>
      <w:b/>
      <w:sz w:val="20"/>
      <w:szCs w:val="20"/>
    </w:rPr>
  </w:style>
  <w:style w:type="paragraph" w:styleId="Nagwek2">
    <w:name w:val="heading 2"/>
    <w:basedOn w:val="Normalny"/>
    <w:next w:val="Normalny"/>
    <w:qFormat/>
    <w:rsid w:val="00B110E7"/>
    <w:pPr>
      <w:keepNext/>
      <w:jc w:val="center"/>
      <w:outlineLvl w:val="1"/>
    </w:pPr>
    <w:rPr>
      <w:rFonts w:ascii="Garamond" w:hAnsi="Garamond"/>
      <w:i/>
      <w:iCs/>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B110E7"/>
    <w:pPr>
      <w:tabs>
        <w:tab w:val="center" w:pos="4536"/>
        <w:tab w:val="right" w:pos="9072"/>
      </w:tabs>
    </w:pPr>
    <w:rPr>
      <w:sz w:val="20"/>
      <w:szCs w:val="20"/>
    </w:rPr>
  </w:style>
  <w:style w:type="paragraph" w:styleId="Tekstpodstawowywcity">
    <w:name w:val="Body Text Indent"/>
    <w:basedOn w:val="Normalny"/>
    <w:rsid w:val="00B110E7"/>
    <w:pPr>
      <w:spacing w:line="360" w:lineRule="auto"/>
      <w:ind w:firstLine="709"/>
      <w:jc w:val="both"/>
    </w:pPr>
    <w:rPr>
      <w:rFonts w:ascii="Garamond" w:hAnsi="Garamond"/>
    </w:rPr>
  </w:style>
  <w:style w:type="paragraph" w:styleId="Tekstpodstawowy">
    <w:name w:val="Body Text"/>
    <w:basedOn w:val="Normalny"/>
    <w:semiHidden/>
    <w:rsid w:val="00B110E7"/>
    <w:pPr>
      <w:spacing w:before="120" w:line="360" w:lineRule="auto"/>
      <w:jc w:val="both"/>
    </w:pPr>
    <w:rPr>
      <w:rFonts w:ascii="Garamond" w:hAnsi="Garamond"/>
    </w:rPr>
  </w:style>
  <w:style w:type="paragraph" w:styleId="Tekstpodstawowywcity3">
    <w:name w:val="Body Text Indent 3"/>
    <w:basedOn w:val="Normalny"/>
    <w:semiHidden/>
    <w:rsid w:val="00B110E7"/>
    <w:pPr>
      <w:spacing w:line="360" w:lineRule="auto"/>
      <w:ind w:firstLine="708"/>
      <w:jc w:val="both"/>
    </w:pPr>
    <w:rPr>
      <w:rFonts w:ascii="Arial" w:hAnsi="Arial" w:cs="Arial"/>
      <w:sz w:val="22"/>
    </w:rPr>
  </w:style>
  <w:style w:type="paragraph" w:styleId="Akapitzlist">
    <w:name w:val="List Paragraph"/>
    <w:aliases w:val="Obiekt,Wyliczanie,List Paragraph"/>
    <w:basedOn w:val="Normalny"/>
    <w:link w:val="AkapitzlistZnak"/>
    <w:uiPriority w:val="34"/>
    <w:qFormat/>
    <w:rsid w:val="008F244B"/>
    <w:pPr>
      <w:ind w:left="720"/>
      <w:contextualSpacing/>
    </w:pPr>
  </w:style>
  <w:style w:type="paragraph" w:styleId="Nagwek">
    <w:name w:val="header"/>
    <w:basedOn w:val="Normalny"/>
    <w:link w:val="NagwekZnak"/>
    <w:unhideWhenUsed/>
    <w:rsid w:val="0081189F"/>
    <w:pPr>
      <w:tabs>
        <w:tab w:val="center" w:pos="4536"/>
        <w:tab w:val="right" w:pos="9072"/>
      </w:tabs>
    </w:pPr>
  </w:style>
  <w:style w:type="character" w:customStyle="1" w:styleId="NagwekZnak">
    <w:name w:val="Nagłówek Znak"/>
    <w:basedOn w:val="Domylnaczcionkaakapitu"/>
    <w:link w:val="Nagwek"/>
    <w:uiPriority w:val="99"/>
    <w:rsid w:val="0081189F"/>
    <w:rPr>
      <w:sz w:val="24"/>
      <w:szCs w:val="24"/>
    </w:rPr>
  </w:style>
  <w:style w:type="character" w:customStyle="1" w:styleId="StopkaZnak">
    <w:name w:val="Stopka Znak"/>
    <w:basedOn w:val="Domylnaczcionkaakapitu"/>
    <w:link w:val="Stopka"/>
    <w:uiPriority w:val="99"/>
    <w:rsid w:val="0081189F"/>
  </w:style>
  <w:style w:type="paragraph" w:styleId="Tekstprzypisukocowego">
    <w:name w:val="endnote text"/>
    <w:basedOn w:val="Normalny"/>
    <w:link w:val="TekstprzypisukocowegoZnak"/>
    <w:uiPriority w:val="99"/>
    <w:semiHidden/>
    <w:unhideWhenUsed/>
    <w:rsid w:val="001D4ED4"/>
    <w:rPr>
      <w:sz w:val="20"/>
      <w:szCs w:val="20"/>
    </w:rPr>
  </w:style>
  <w:style w:type="character" w:customStyle="1" w:styleId="TekstprzypisukocowegoZnak">
    <w:name w:val="Tekst przypisu końcowego Znak"/>
    <w:basedOn w:val="Domylnaczcionkaakapitu"/>
    <w:link w:val="Tekstprzypisukocowego"/>
    <w:uiPriority w:val="99"/>
    <w:semiHidden/>
    <w:rsid w:val="001D4ED4"/>
  </w:style>
  <w:style w:type="character" w:styleId="Odwoanieprzypisukocowego">
    <w:name w:val="endnote reference"/>
    <w:basedOn w:val="Domylnaczcionkaakapitu"/>
    <w:uiPriority w:val="99"/>
    <w:semiHidden/>
    <w:unhideWhenUsed/>
    <w:rsid w:val="001D4ED4"/>
    <w:rPr>
      <w:vertAlign w:val="superscript"/>
    </w:rPr>
  </w:style>
  <w:style w:type="paragraph" w:customStyle="1" w:styleId="tresc">
    <w:name w:val="tresc"/>
    <w:basedOn w:val="Normalny"/>
    <w:rsid w:val="00F64F28"/>
    <w:pPr>
      <w:spacing w:before="100" w:beforeAutospacing="1" w:after="100" w:afterAutospacing="1" w:line="336" w:lineRule="atLeast"/>
    </w:pPr>
    <w:rPr>
      <w:sz w:val="13"/>
      <w:szCs w:val="13"/>
    </w:rPr>
  </w:style>
  <w:style w:type="character" w:styleId="Hipercze">
    <w:name w:val="Hyperlink"/>
    <w:basedOn w:val="Domylnaczcionkaakapitu"/>
    <w:uiPriority w:val="99"/>
    <w:semiHidden/>
    <w:unhideWhenUsed/>
    <w:rsid w:val="00CE2BE7"/>
    <w:rPr>
      <w:color w:val="0000FF"/>
      <w:u w:val="single"/>
    </w:rPr>
  </w:style>
  <w:style w:type="character" w:customStyle="1" w:styleId="listicons">
    <w:name w:val="list_icons"/>
    <w:basedOn w:val="Domylnaczcionkaakapitu"/>
    <w:rsid w:val="00385322"/>
  </w:style>
  <w:style w:type="paragraph" w:styleId="Tekstpodstawowywcity2">
    <w:name w:val="Body Text Indent 2"/>
    <w:basedOn w:val="Normalny"/>
    <w:link w:val="Tekstpodstawowywcity2Znak"/>
    <w:uiPriority w:val="99"/>
    <w:unhideWhenUsed/>
    <w:rsid w:val="00441A9B"/>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441A9B"/>
    <w:rPr>
      <w:sz w:val="24"/>
      <w:szCs w:val="24"/>
    </w:rPr>
  </w:style>
  <w:style w:type="character" w:styleId="Odwoaniedokomentarza">
    <w:name w:val="annotation reference"/>
    <w:basedOn w:val="Domylnaczcionkaakapitu"/>
    <w:uiPriority w:val="99"/>
    <w:semiHidden/>
    <w:unhideWhenUsed/>
    <w:rsid w:val="00144A7E"/>
    <w:rPr>
      <w:sz w:val="16"/>
      <w:szCs w:val="16"/>
    </w:rPr>
  </w:style>
  <w:style w:type="paragraph" w:styleId="Tekstkomentarza">
    <w:name w:val="annotation text"/>
    <w:basedOn w:val="Normalny"/>
    <w:link w:val="TekstkomentarzaZnak"/>
    <w:uiPriority w:val="99"/>
    <w:semiHidden/>
    <w:unhideWhenUsed/>
    <w:rsid w:val="00144A7E"/>
    <w:rPr>
      <w:sz w:val="20"/>
      <w:szCs w:val="20"/>
    </w:rPr>
  </w:style>
  <w:style w:type="character" w:customStyle="1" w:styleId="TekstkomentarzaZnak">
    <w:name w:val="Tekst komentarza Znak"/>
    <w:basedOn w:val="Domylnaczcionkaakapitu"/>
    <w:link w:val="Tekstkomentarza"/>
    <w:uiPriority w:val="99"/>
    <w:semiHidden/>
    <w:rsid w:val="00144A7E"/>
  </w:style>
  <w:style w:type="paragraph" w:styleId="Tematkomentarza">
    <w:name w:val="annotation subject"/>
    <w:basedOn w:val="Tekstkomentarza"/>
    <w:next w:val="Tekstkomentarza"/>
    <w:link w:val="TematkomentarzaZnak"/>
    <w:uiPriority w:val="99"/>
    <w:semiHidden/>
    <w:unhideWhenUsed/>
    <w:rsid w:val="00144A7E"/>
    <w:rPr>
      <w:b/>
      <w:bCs/>
    </w:rPr>
  </w:style>
  <w:style w:type="character" w:customStyle="1" w:styleId="TematkomentarzaZnak">
    <w:name w:val="Temat komentarza Znak"/>
    <w:basedOn w:val="TekstkomentarzaZnak"/>
    <w:link w:val="Tematkomentarza"/>
    <w:uiPriority w:val="99"/>
    <w:semiHidden/>
    <w:rsid w:val="00144A7E"/>
    <w:rPr>
      <w:b/>
      <w:bCs/>
    </w:rPr>
  </w:style>
  <w:style w:type="paragraph" w:styleId="Tekstdymka">
    <w:name w:val="Balloon Text"/>
    <w:basedOn w:val="Normalny"/>
    <w:link w:val="TekstdymkaZnak"/>
    <w:uiPriority w:val="99"/>
    <w:semiHidden/>
    <w:unhideWhenUsed/>
    <w:rsid w:val="00144A7E"/>
    <w:rPr>
      <w:rFonts w:ascii="Tahoma" w:hAnsi="Tahoma" w:cs="Tahoma"/>
      <w:sz w:val="16"/>
      <w:szCs w:val="16"/>
    </w:rPr>
  </w:style>
  <w:style w:type="character" w:customStyle="1" w:styleId="TekstdymkaZnak">
    <w:name w:val="Tekst dymka Znak"/>
    <w:basedOn w:val="Domylnaczcionkaakapitu"/>
    <w:link w:val="Tekstdymka"/>
    <w:uiPriority w:val="99"/>
    <w:semiHidden/>
    <w:rsid w:val="00144A7E"/>
    <w:rPr>
      <w:rFonts w:ascii="Tahoma" w:hAnsi="Tahoma" w:cs="Tahoma"/>
      <w:sz w:val="16"/>
      <w:szCs w:val="16"/>
    </w:rPr>
  </w:style>
  <w:style w:type="paragraph" w:styleId="Bezodstpw">
    <w:name w:val="No Spacing"/>
    <w:qFormat/>
    <w:rsid w:val="007F7621"/>
    <w:pPr>
      <w:suppressAutoHyphens/>
      <w:jc w:val="both"/>
    </w:pPr>
    <w:rPr>
      <w:rFonts w:eastAsia="Arial"/>
      <w:sz w:val="24"/>
      <w:szCs w:val="24"/>
      <w:lang w:eastAsia="ar-SA"/>
    </w:rPr>
  </w:style>
  <w:style w:type="character" w:customStyle="1" w:styleId="AkapitzlistZnak">
    <w:name w:val="Akapit z listą Znak"/>
    <w:aliases w:val="Obiekt Znak,Wyliczanie Znak,List Paragraph Znak"/>
    <w:link w:val="Akapitzlist"/>
    <w:uiPriority w:val="34"/>
    <w:rsid w:val="00CD7C18"/>
    <w:rPr>
      <w:sz w:val="24"/>
      <w:szCs w:val="24"/>
    </w:rPr>
  </w:style>
  <w:style w:type="paragraph" w:styleId="Poprawka">
    <w:name w:val="Revision"/>
    <w:hidden/>
    <w:uiPriority w:val="99"/>
    <w:semiHidden/>
    <w:rsid w:val="00FC6D98"/>
    <w:rPr>
      <w:sz w:val="24"/>
      <w:szCs w:val="24"/>
    </w:rPr>
  </w:style>
  <w:style w:type="paragraph" w:customStyle="1" w:styleId="Akapitzlist1">
    <w:name w:val="Akapit z listą1"/>
    <w:basedOn w:val="Normalny"/>
    <w:rsid w:val="008272D7"/>
    <w:pPr>
      <w:suppressAutoHyphens/>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4449">
      <w:bodyDiv w:val="1"/>
      <w:marLeft w:val="0"/>
      <w:marRight w:val="0"/>
      <w:marTop w:val="0"/>
      <w:marBottom w:val="0"/>
      <w:divBdr>
        <w:top w:val="none" w:sz="0" w:space="0" w:color="auto"/>
        <w:left w:val="none" w:sz="0" w:space="0" w:color="auto"/>
        <w:bottom w:val="none" w:sz="0" w:space="0" w:color="auto"/>
        <w:right w:val="none" w:sz="0" w:space="0" w:color="auto"/>
      </w:divBdr>
      <w:divsChild>
        <w:div w:id="518159172">
          <w:marLeft w:val="0"/>
          <w:marRight w:val="0"/>
          <w:marTop w:val="0"/>
          <w:marBottom w:val="0"/>
          <w:divBdr>
            <w:top w:val="none" w:sz="0" w:space="0" w:color="auto"/>
            <w:left w:val="none" w:sz="0" w:space="0" w:color="auto"/>
            <w:bottom w:val="none" w:sz="0" w:space="0" w:color="auto"/>
            <w:right w:val="none" w:sz="0" w:space="0" w:color="auto"/>
          </w:divBdr>
          <w:divsChild>
            <w:div w:id="1605575787">
              <w:marLeft w:val="0"/>
              <w:marRight w:val="0"/>
              <w:marTop w:val="0"/>
              <w:marBottom w:val="0"/>
              <w:divBdr>
                <w:top w:val="none" w:sz="0" w:space="0" w:color="auto"/>
                <w:left w:val="none" w:sz="0" w:space="0" w:color="auto"/>
                <w:bottom w:val="none" w:sz="0" w:space="0" w:color="auto"/>
                <w:right w:val="none" w:sz="0" w:space="0" w:color="auto"/>
              </w:divBdr>
              <w:divsChild>
                <w:div w:id="21148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3863">
      <w:bodyDiv w:val="1"/>
      <w:marLeft w:val="0"/>
      <w:marRight w:val="0"/>
      <w:marTop w:val="0"/>
      <w:marBottom w:val="0"/>
      <w:divBdr>
        <w:top w:val="none" w:sz="0" w:space="0" w:color="auto"/>
        <w:left w:val="none" w:sz="0" w:space="0" w:color="auto"/>
        <w:bottom w:val="none" w:sz="0" w:space="0" w:color="auto"/>
        <w:right w:val="none" w:sz="0" w:space="0" w:color="auto"/>
      </w:divBdr>
      <w:divsChild>
        <w:div w:id="834295627">
          <w:marLeft w:val="0"/>
          <w:marRight w:val="0"/>
          <w:marTop w:val="0"/>
          <w:marBottom w:val="0"/>
          <w:divBdr>
            <w:top w:val="none" w:sz="0" w:space="0" w:color="auto"/>
            <w:left w:val="none" w:sz="0" w:space="0" w:color="auto"/>
            <w:bottom w:val="none" w:sz="0" w:space="0" w:color="auto"/>
            <w:right w:val="none" w:sz="0" w:space="0" w:color="auto"/>
          </w:divBdr>
          <w:divsChild>
            <w:div w:id="1637297336">
              <w:marLeft w:val="0"/>
              <w:marRight w:val="0"/>
              <w:marTop w:val="0"/>
              <w:marBottom w:val="0"/>
              <w:divBdr>
                <w:top w:val="none" w:sz="0" w:space="0" w:color="auto"/>
                <w:left w:val="none" w:sz="0" w:space="0" w:color="auto"/>
                <w:bottom w:val="none" w:sz="0" w:space="0" w:color="auto"/>
                <w:right w:val="none" w:sz="0" w:space="0" w:color="auto"/>
              </w:divBdr>
              <w:divsChild>
                <w:div w:id="103993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164491">
      <w:bodyDiv w:val="1"/>
      <w:marLeft w:val="0"/>
      <w:marRight w:val="0"/>
      <w:marTop w:val="0"/>
      <w:marBottom w:val="0"/>
      <w:divBdr>
        <w:top w:val="none" w:sz="0" w:space="0" w:color="auto"/>
        <w:left w:val="none" w:sz="0" w:space="0" w:color="auto"/>
        <w:bottom w:val="none" w:sz="0" w:space="0" w:color="auto"/>
        <w:right w:val="none" w:sz="0" w:space="0" w:color="auto"/>
      </w:divBdr>
      <w:divsChild>
        <w:div w:id="1941378834">
          <w:marLeft w:val="0"/>
          <w:marRight w:val="0"/>
          <w:marTop w:val="0"/>
          <w:marBottom w:val="0"/>
          <w:divBdr>
            <w:top w:val="none" w:sz="0" w:space="0" w:color="auto"/>
            <w:left w:val="none" w:sz="0" w:space="0" w:color="auto"/>
            <w:bottom w:val="none" w:sz="0" w:space="0" w:color="auto"/>
            <w:right w:val="none" w:sz="0" w:space="0" w:color="auto"/>
          </w:divBdr>
          <w:divsChild>
            <w:div w:id="1927229650">
              <w:marLeft w:val="0"/>
              <w:marRight w:val="0"/>
              <w:marTop w:val="0"/>
              <w:marBottom w:val="0"/>
              <w:divBdr>
                <w:top w:val="none" w:sz="0" w:space="0" w:color="auto"/>
                <w:left w:val="none" w:sz="0" w:space="0" w:color="auto"/>
                <w:bottom w:val="none" w:sz="0" w:space="0" w:color="auto"/>
                <w:right w:val="none" w:sz="0" w:space="0" w:color="auto"/>
              </w:divBdr>
              <w:divsChild>
                <w:div w:id="20142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240628">
      <w:bodyDiv w:val="1"/>
      <w:marLeft w:val="0"/>
      <w:marRight w:val="0"/>
      <w:marTop w:val="0"/>
      <w:marBottom w:val="0"/>
      <w:divBdr>
        <w:top w:val="none" w:sz="0" w:space="0" w:color="auto"/>
        <w:left w:val="none" w:sz="0" w:space="0" w:color="auto"/>
        <w:bottom w:val="none" w:sz="0" w:space="0" w:color="auto"/>
        <w:right w:val="none" w:sz="0" w:space="0" w:color="auto"/>
      </w:divBdr>
      <w:divsChild>
        <w:div w:id="2009286645">
          <w:marLeft w:val="0"/>
          <w:marRight w:val="0"/>
          <w:marTop w:val="0"/>
          <w:marBottom w:val="0"/>
          <w:divBdr>
            <w:top w:val="none" w:sz="0" w:space="0" w:color="auto"/>
            <w:left w:val="none" w:sz="0" w:space="0" w:color="auto"/>
            <w:bottom w:val="none" w:sz="0" w:space="0" w:color="auto"/>
            <w:right w:val="none" w:sz="0" w:space="0" w:color="auto"/>
          </w:divBdr>
        </w:div>
      </w:divsChild>
    </w:div>
    <w:div w:id="400760856">
      <w:bodyDiv w:val="1"/>
      <w:marLeft w:val="0"/>
      <w:marRight w:val="0"/>
      <w:marTop w:val="0"/>
      <w:marBottom w:val="0"/>
      <w:divBdr>
        <w:top w:val="none" w:sz="0" w:space="0" w:color="auto"/>
        <w:left w:val="none" w:sz="0" w:space="0" w:color="auto"/>
        <w:bottom w:val="none" w:sz="0" w:space="0" w:color="auto"/>
        <w:right w:val="none" w:sz="0" w:space="0" w:color="auto"/>
      </w:divBdr>
    </w:div>
    <w:div w:id="447508765">
      <w:bodyDiv w:val="1"/>
      <w:marLeft w:val="0"/>
      <w:marRight w:val="0"/>
      <w:marTop w:val="0"/>
      <w:marBottom w:val="0"/>
      <w:divBdr>
        <w:top w:val="none" w:sz="0" w:space="0" w:color="auto"/>
        <w:left w:val="none" w:sz="0" w:space="0" w:color="auto"/>
        <w:bottom w:val="none" w:sz="0" w:space="0" w:color="auto"/>
        <w:right w:val="none" w:sz="0" w:space="0" w:color="auto"/>
      </w:divBdr>
      <w:divsChild>
        <w:div w:id="204484155">
          <w:marLeft w:val="0"/>
          <w:marRight w:val="0"/>
          <w:marTop w:val="0"/>
          <w:marBottom w:val="0"/>
          <w:divBdr>
            <w:top w:val="none" w:sz="0" w:space="0" w:color="auto"/>
            <w:left w:val="none" w:sz="0" w:space="0" w:color="auto"/>
            <w:bottom w:val="none" w:sz="0" w:space="0" w:color="auto"/>
            <w:right w:val="none" w:sz="0" w:space="0" w:color="auto"/>
          </w:divBdr>
          <w:divsChild>
            <w:div w:id="921910710">
              <w:marLeft w:val="0"/>
              <w:marRight w:val="0"/>
              <w:marTop w:val="0"/>
              <w:marBottom w:val="0"/>
              <w:divBdr>
                <w:top w:val="none" w:sz="0" w:space="0" w:color="auto"/>
                <w:left w:val="none" w:sz="0" w:space="0" w:color="auto"/>
                <w:bottom w:val="none" w:sz="0" w:space="0" w:color="auto"/>
                <w:right w:val="none" w:sz="0" w:space="0" w:color="auto"/>
              </w:divBdr>
              <w:divsChild>
                <w:div w:id="13752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10416">
      <w:bodyDiv w:val="1"/>
      <w:marLeft w:val="0"/>
      <w:marRight w:val="0"/>
      <w:marTop w:val="0"/>
      <w:marBottom w:val="0"/>
      <w:divBdr>
        <w:top w:val="none" w:sz="0" w:space="0" w:color="auto"/>
        <w:left w:val="none" w:sz="0" w:space="0" w:color="auto"/>
        <w:bottom w:val="none" w:sz="0" w:space="0" w:color="auto"/>
        <w:right w:val="none" w:sz="0" w:space="0" w:color="auto"/>
      </w:divBdr>
    </w:div>
    <w:div w:id="1096052785">
      <w:bodyDiv w:val="1"/>
      <w:marLeft w:val="0"/>
      <w:marRight w:val="0"/>
      <w:marTop w:val="0"/>
      <w:marBottom w:val="0"/>
      <w:divBdr>
        <w:top w:val="none" w:sz="0" w:space="0" w:color="auto"/>
        <w:left w:val="none" w:sz="0" w:space="0" w:color="auto"/>
        <w:bottom w:val="none" w:sz="0" w:space="0" w:color="auto"/>
        <w:right w:val="none" w:sz="0" w:space="0" w:color="auto"/>
      </w:divBdr>
      <w:divsChild>
        <w:div w:id="1458723691">
          <w:marLeft w:val="0"/>
          <w:marRight w:val="0"/>
          <w:marTop w:val="0"/>
          <w:marBottom w:val="0"/>
          <w:divBdr>
            <w:top w:val="none" w:sz="0" w:space="0" w:color="auto"/>
            <w:left w:val="none" w:sz="0" w:space="0" w:color="auto"/>
            <w:bottom w:val="none" w:sz="0" w:space="0" w:color="auto"/>
            <w:right w:val="none" w:sz="0" w:space="0" w:color="auto"/>
          </w:divBdr>
        </w:div>
      </w:divsChild>
    </w:div>
    <w:div w:id="1351684894">
      <w:bodyDiv w:val="1"/>
      <w:marLeft w:val="0"/>
      <w:marRight w:val="0"/>
      <w:marTop w:val="0"/>
      <w:marBottom w:val="0"/>
      <w:divBdr>
        <w:top w:val="none" w:sz="0" w:space="0" w:color="auto"/>
        <w:left w:val="none" w:sz="0" w:space="0" w:color="auto"/>
        <w:bottom w:val="none" w:sz="0" w:space="0" w:color="auto"/>
        <w:right w:val="none" w:sz="0" w:space="0" w:color="auto"/>
      </w:divBdr>
      <w:divsChild>
        <w:div w:id="431165947">
          <w:marLeft w:val="0"/>
          <w:marRight w:val="0"/>
          <w:marTop w:val="0"/>
          <w:marBottom w:val="0"/>
          <w:divBdr>
            <w:top w:val="none" w:sz="0" w:space="0" w:color="auto"/>
            <w:left w:val="none" w:sz="0" w:space="0" w:color="auto"/>
            <w:bottom w:val="none" w:sz="0" w:space="0" w:color="auto"/>
            <w:right w:val="none" w:sz="0" w:space="0" w:color="auto"/>
          </w:divBdr>
        </w:div>
        <w:div w:id="1473133816">
          <w:marLeft w:val="0"/>
          <w:marRight w:val="0"/>
          <w:marTop w:val="0"/>
          <w:marBottom w:val="0"/>
          <w:divBdr>
            <w:top w:val="none" w:sz="0" w:space="0" w:color="auto"/>
            <w:left w:val="none" w:sz="0" w:space="0" w:color="auto"/>
            <w:bottom w:val="none" w:sz="0" w:space="0" w:color="auto"/>
            <w:right w:val="none" w:sz="0" w:space="0" w:color="auto"/>
          </w:divBdr>
        </w:div>
        <w:div w:id="227422754">
          <w:marLeft w:val="0"/>
          <w:marRight w:val="0"/>
          <w:marTop w:val="0"/>
          <w:marBottom w:val="0"/>
          <w:divBdr>
            <w:top w:val="none" w:sz="0" w:space="0" w:color="auto"/>
            <w:left w:val="none" w:sz="0" w:space="0" w:color="auto"/>
            <w:bottom w:val="none" w:sz="0" w:space="0" w:color="auto"/>
            <w:right w:val="none" w:sz="0" w:space="0" w:color="auto"/>
          </w:divBdr>
        </w:div>
      </w:divsChild>
    </w:div>
    <w:div w:id="1528441742">
      <w:bodyDiv w:val="1"/>
      <w:marLeft w:val="0"/>
      <w:marRight w:val="0"/>
      <w:marTop w:val="0"/>
      <w:marBottom w:val="0"/>
      <w:divBdr>
        <w:top w:val="none" w:sz="0" w:space="0" w:color="auto"/>
        <w:left w:val="none" w:sz="0" w:space="0" w:color="auto"/>
        <w:bottom w:val="none" w:sz="0" w:space="0" w:color="auto"/>
        <w:right w:val="none" w:sz="0" w:space="0" w:color="auto"/>
      </w:divBdr>
      <w:divsChild>
        <w:div w:id="1159689370">
          <w:marLeft w:val="0"/>
          <w:marRight w:val="0"/>
          <w:marTop w:val="0"/>
          <w:marBottom w:val="0"/>
          <w:divBdr>
            <w:top w:val="none" w:sz="0" w:space="0" w:color="auto"/>
            <w:left w:val="none" w:sz="0" w:space="0" w:color="auto"/>
            <w:bottom w:val="none" w:sz="0" w:space="0" w:color="auto"/>
            <w:right w:val="none" w:sz="0" w:space="0" w:color="auto"/>
          </w:divBdr>
          <w:divsChild>
            <w:div w:id="2022655296">
              <w:marLeft w:val="0"/>
              <w:marRight w:val="0"/>
              <w:marTop w:val="0"/>
              <w:marBottom w:val="0"/>
              <w:divBdr>
                <w:top w:val="none" w:sz="0" w:space="0" w:color="auto"/>
                <w:left w:val="none" w:sz="0" w:space="0" w:color="auto"/>
                <w:bottom w:val="none" w:sz="0" w:space="0" w:color="auto"/>
                <w:right w:val="none" w:sz="0" w:space="0" w:color="auto"/>
              </w:divBdr>
              <w:divsChild>
                <w:div w:id="186266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20062">
      <w:bodyDiv w:val="1"/>
      <w:marLeft w:val="0"/>
      <w:marRight w:val="0"/>
      <w:marTop w:val="0"/>
      <w:marBottom w:val="0"/>
      <w:divBdr>
        <w:top w:val="none" w:sz="0" w:space="0" w:color="auto"/>
        <w:left w:val="none" w:sz="0" w:space="0" w:color="auto"/>
        <w:bottom w:val="none" w:sz="0" w:space="0" w:color="auto"/>
        <w:right w:val="none" w:sz="0" w:space="0" w:color="auto"/>
      </w:divBdr>
      <w:divsChild>
        <w:div w:id="1360666506">
          <w:marLeft w:val="0"/>
          <w:marRight w:val="0"/>
          <w:marTop w:val="0"/>
          <w:marBottom w:val="0"/>
          <w:divBdr>
            <w:top w:val="none" w:sz="0" w:space="0" w:color="auto"/>
            <w:left w:val="none" w:sz="0" w:space="0" w:color="auto"/>
            <w:bottom w:val="none" w:sz="0" w:space="0" w:color="auto"/>
            <w:right w:val="none" w:sz="0" w:space="0" w:color="auto"/>
          </w:divBdr>
          <w:divsChild>
            <w:div w:id="713888371">
              <w:marLeft w:val="0"/>
              <w:marRight w:val="0"/>
              <w:marTop w:val="0"/>
              <w:marBottom w:val="0"/>
              <w:divBdr>
                <w:top w:val="none" w:sz="0" w:space="0" w:color="auto"/>
                <w:left w:val="none" w:sz="0" w:space="0" w:color="auto"/>
                <w:bottom w:val="none" w:sz="0" w:space="0" w:color="auto"/>
                <w:right w:val="none" w:sz="0" w:space="0" w:color="auto"/>
              </w:divBdr>
            </w:div>
          </w:divsChild>
        </w:div>
        <w:div w:id="2090299816">
          <w:marLeft w:val="0"/>
          <w:marRight w:val="0"/>
          <w:marTop w:val="0"/>
          <w:marBottom w:val="0"/>
          <w:divBdr>
            <w:top w:val="none" w:sz="0" w:space="0" w:color="auto"/>
            <w:left w:val="none" w:sz="0" w:space="0" w:color="auto"/>
            <w:bottom w:val="none" w:sz="0" w:space="0" w:color="auto"/>
            <w:right w:val="none" w:sz="0" w:space="0" w:color="auto"/>
          </w:divBdr>
        </w:div>
      </w:divsChild>
    </w:div>
    <w:div w:id="1849246470">
      <w:bodyDiv w:val="1"/>
      <w:marLeft w:val="0"/>
      <w:marRight w:val="0"/>
      <w:marTop w:val="0"/>
      <w:marBottom w:val="0"/>
      <w:divBdr>
        <w:top w:val="none" w:sz="0" w:space="0" w:color="auto"/>
        <w:left w:val="none" w:sz="0" w:space="0" w:color="auto"/>
        <w:bottom w:val="none" w:sz="0" w:space="0" w:color="auto"/>
        <w:right w:val="none" w:sz="0" w:space="0" w:color="auto"/>
      </w:divBdr>
      <w:divsChild>
        <w:div w:id="186482323">
          <w:marLeft w:val="0"/>
          <w:marRight w:val="0"/>
          <w:marTop w:val="0"/>
          <w:marBottom w:val="0"/>
          <w:divBdr>
            <w:top w:val="none" w:sz="0" w:space="0" w:color="auto"/>
            <w:left w:val="none" w:sz="0" w:space="0" w:color="auto"/>
            <w:bottom w:val="none" w:sz="0" w:space="0" w:color="auto"/>
            <w:right w:val="none" w:sz="0" w:space="0" w:color="auto"/>
          </w:divBdr>
          <w:divsChild>
            <w:div w:id="1674139227">
              <w:marLeft w:val="0"/>
              <w:marRight w:val="0"/>
              <w:marTop w:val="0"/>
              <w:marBottom w:val="0"/>
              <w:divBdr>
                <w:top w:val="none" w:sz="0" w:space="0" w:color="auto"/>
                <w:left w:val="none" w:sz="0" w:space="0" w:color="auto"/>
                <w:bottom w:val="none" w:sz="0" w:space="0" w:color="auto"/>
                <w:right w:val="none" w:sz="0" w:space="0" w:color="auto"/>
              </w:divBdr>
              <w:divsChild>
                <w:div w:id="30628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74008">
      <w:bodyDiv w:val="1"/>
      <w:marLeft w:val="0"/>
      <w:marRight w:val="0"/>
      <w:marTop w:val="0"/>
      <w:marBottom w:val="0"/>
      <w:divBdr>
        <w:top w:val="none" w:sz="0" w:space="0" w:color="auto"/>
        <w:left w:val="none" w:sz="0" w:space="0" w:color="auto"/>
        <w:bottom w:val="none" w:sz="0" w:space="0" w:color="auto"/>
        <w:right w:val="none" w:sz="0" w:space="0" w:color="auto"/>
      </w:divBdr>
      <w:divsChild>
        <w:div w:id="785199437">
          <w:marLeft w:val="0"/>
          <w:marRight w:val="0"/>
          <w:marTop w:val="0"/>
          <w:marBottom w:val="0"/>
          <w:divBdr>
            <w:top w:val="none" w:sz="0" w:space="0" w:color="auto"/>
            <w:left w:val="none" w:sz="0" w:space="0" w:color="auto"/>
            <w:bottom w:val="none" w:sz="0" w:space="0" w:color="auto"/>
            <w:right w:val="none" w:sz="0" w:space="0" w:color="auto"/>
          </w:divBdr>
          <w:divsChild>
            <w:div w:id="1988589781">
              <w:marLeft w:val="0"/>
              <w:marRight w:val="0"/>
              <w:marTop w:val="0"/>
              <w:marBottom w:val="0"/>
              <w:divBdr>
                <w:top w:val="none" w:sz="0" w:space="0" w:color="auto"/>
                <w:left w:val="none" w:sz="0" w:space="0" w:color="auto"/>
                <w:bottom w:val="none" w:sz="0" w:space="0" w:color="auto"/>
                <w:right w:val="none" w:sz="0" w:space="0" w:color="auto"/>
              </w:divBdr>
              <w:divsChild>
                <w:div w:id="1748990969">
                  <w:marLeft w:val="0"/>
                  <w:marRight w:val="0"/>
                  <w:marTop w:val="0"/>
                  <w:marBottom w:val="0"/>
                  <w:divBdr>
                    <w:top w:val="none" w:sz="0" w:space="0" w:color="auto"/>
                    <w:left w:val="none" w:sz="0" w:space="0" w:color="auto"/>
                    <w:bottom w:val="none" w:sz="0" w:space="0" w:color="auto"/>
                    <w:right w:val="none" w:sz="0" w:space="0" w:color="auto"/>
                  </w:divBdr>
                </w:div>
                <w:div w:id="95421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7183">
      <w:bodyDiv w:val="1"/>
      <w:marLeft w:val="0"/>
      <w:marRight w:val="0"/>
      <w:marTop w:val="0"/>
      <w:marBottom w:val="0"/>
      <w:divBdr>
        <w:top w:val="none" w:sz="0" w:space="0" w:color="auto"/>
        <w:left w:val="none" w:sz="0" w:space="0" w:color="auto"/>
        <w:bottom w:val="none" w:sz="0" w:space="0" w:color="auto"/>
        <w:right w:val="none" w:sz="0" w:space="0" w:color="auto"/>
      </w:divBdr>
      <w:divsChild>
        <w:div w:id="1996450903">
          <w:marLeft w:val="0"/>
          <w:marRight w:val="0"/>
          <w:marTop w:val="0"/>
          <w:marBottom w:val="0"/>
          <w:divBdr>
            <w:top w:val="none" w:sz="0" w:space="0" w:color="auto"/>
            <w:left w:val="none" w:sz="0" w:space="0" w:color="auto"/>
            <w:bottom w:val="none" w:sz="0" w:space="0" w:color="auto"/>
            <w:right w:val="none" w:sz="0" w:space="0" w:color="auto"/>
          </w:divBdr>
        </w:div>
        <w:div w:id="1887914242">
          <w:marLeft w:val="0"/>
          <w:marRight w:val="0"/>
          <w:marTop w:val="0"/>
          <w:marBottom w:val="0"/>
          <w:divBdr>
            <w:top w:val="none" w:sz="0" w:space="0" w:color="auto"/>
            <w:left w:val="none" w:sz="0" w:space="0" w:color="auto"/>
            <w:bottom w:val="none" w:sz="0" w:space="0" w:color="auto"/>
            <w:right w:val="none" w:sz="0" w:space="0" w:color="auto"/>
          </w:divBdr>
        </w:div>
      </w:divsChild>
    </w:div>
    <w:div w:id="2092848442">
      <w:bodyDiv w:val="1"/>
      <w:marLeft w:val="0"/>
      <w:marRight w:val="0"/>
      <w:marTop w:val="0"/>
      <w:marBottom w:val="0"/>
      <w:divBdr>
        <w:top w:val="none" w:sz="0" w:space="0" w:color="auto"/>
        <w:left w:val="none" w:sz="0" w:space="0" w:color="auto"/>
        <w:bottom w:val="none" w:sz="0" w:space="0" w:color="auto"/>
        <w:right w:val="none" w:sz="0" w:space="0" w:color="auto"/>
      </w:divBdr>
      <w:divsChild>
        <w:div w:id="1607617101">
          <w:marLeft w:val="0"/>
          <w:marRight w:val="0"/>
          <w:marTop w:val="0"/>
          <w:marBottom w:val="0"/>
          <w:divBdr>
            <w:top w:val="none" w:sz="0" w:space="0" w:color="auto"/>
            <w:left w:val="none" w:sz="0" w:space="0" w:color="auto"/>
            <w:bottom w:val="none" w:sz="0" w:space="0" w:color="auto"/>
            <w:right w:val="none" w:sz="0" w:space="0" w:color="auto"/>
          </w:divBdr>
          <w:divsChild>
            <w:div w:id="1344894273">
              <w:marLeft w:val="0"/>
              <w:marRight w:val="0"/>
              <w:marTop w:val="0"/>
              <w:marBottom w:val="0"/>
              <w:divBdr>
                <w:top w:val="none" w:sz="0" w:space="0" w:color="auto"/>
                <w:left w:val="none" w:sz="0" w:space="0" w:color="auto"/>
                <w:bottom w:val="none" w:sz="0" w:space="0" w:color="auto"/>
                <w:right w:val="none" w:sz="0" w:space="0" w:color="auto"/>
              </w:divBdr>
              <w:divsChild>
                <w:div w:id="102637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D8A53-D173-4B54-B0F0-826D9D88B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3408</Words>
  <Characters>20453</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lpstr>
    </vt:vector>
  </TitlesOfParts>
  <Company>MŚ</Company>
  <LinksUpToDate>false</LinksUpToDate>
  <CharactersWithSpaces>23814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MINISTERSTWO ŚRODOWISKA</dc:creator>
  <cp:keywords/>
  <dc:description/>
  <cp:lastModifiedBy>Bartosz Lasota</cp:lastModifiedBy>
  <cp:revision>11</cp:revision>
  <cp:lastPrinted>2012-12-21T14:23:00Z</cp:lastPrinted>
  <dcterms:created xsi:type="dcterms:W3CDTF">2022-02-15T13:10:00Z</dcterms:created>
  <dcterms:modified xsi:type="dcterms:W3CDTF">2023-07-18T12:06:00Z</dcterms:modified>
</cp:coreProperties>
</file>