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2CBC" w14:textId="77777777" w:rsidR="000F0F0E" w:rsidRPr="009A6A24" w:rsidRDefault="000F0F0E" w:rsidP="00944A1B">
      <w:pPr>
        <w:jc w:val="both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</w:p>
    <w:p w14:paraId="333F7B29" w14:textId="4982E26C" w:rsidR="009A6A24" w:rsidRPr="00883914" w:rsidRDefault="009A6A24" w:rsidP="00854D3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  <w:r w:rsidRPr="00883914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 xml:space="preserve">Rozeznanie rynku dotyczące </w:t>
      </w:r>
      <w:r w:rsidR="00883914" w:rsidRPr="00883914">
        <w:rPr>
          <w:rFonts w:ascii="inherit" w:hAnsi="inherit"/>
          <w:b/>
          <w:bCs/>
          <w:sz w:val="24"/>
          <w:szCs w:val="24"/>
        </w:rPr>
        <w:t xml:space="preserve">opracowania wzoru graficznego dokumentu </w:t>
      </w:r>
      <w:r w:rsidR="00883914">
        <w:rPr>
          <w:rFonts w:ascii="inherit" w:hAnsi="inherit"/>
          <w:b/>
          <w:bCs/>
          <w:sz w:val="24"/>
          <w:szCs w:val="24"/>
        </w:rPr>
        <w:br/>
      </w:r>
      <w:r w:rsidR="00883914" w:rsidRPr="00883914">
        <w:rPr>
          <w:rFonts w:ascii="inherit" w:hAnsi="inherit"/>
          <w:b/>
          <w:bCs/>
          <w:sz w:val="24"/>
          <w:szCs w:val="24"/>
        </w:rPr>
        <w:t xml:space="preserve">licencji doradcy restrukturyzacyjnego </w:t>
      </w:r>
      <w:r w:rsidR="00883914" w:rsidRPr="00883914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 xml:space="preserve">oraz jego specyfikacji technicznej </w:t>
      </w:r>
      <w:r w:rsidR="00883914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br/>
      </w:r>
      <w:r w:rsidR="00883914" w:rsidRPr="00883914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 xml:space="preserve">z opisem zabezpieczeń, a także </w:t>
      </w:r>
      <w:r w:rsidR="00883914" w:rsidRPr="00883914">
        <w:rPr>
          <w:rFonts w:ascii="inherit" w:hAnsi="inherit"/>
          <w:b/>
          <w:bCs/>
          <w:sz w:val="24"/>
          <w:szCs w:val="24"/>
        </w:rPr>
        <w:t>wytworzenia, personalizacji i dostarczenia dokumentów licencji</w:t>
      </w:r>
      <w:r w:rsidR="00883914" w:rsidRPr="00883914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 xml:space="preserve"> </w:t>
      </w:r>
    </w:p>
    <w:p w14:paraId="0249EAA9" w14:textId="77777777" w:rsidR="000F0F0E" w:rsidRDefault="000F0F0E" w:rsidP="00854D3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</w:p>
    <w:p w14:paraId="1256E8DB" w14:textId="77777777" w:rsidR="000F0F0E" w:rsidRPr="00854D39" w:rsidRDefault="000F0F0E" w:rsidP="00854D3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</w:p>
    <w:p w14:paraId="72745897" w14:textId="48DA04DB" w:rsidR="00944A1B" w:rsidRDefault="009A6A24" w:rsidP="00854D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</w:pPr>
      <w:r w:rsidRPr="00FE2AF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Zamawiający</w:t>
      </w:r>
      <w:r w:rsidR="003C6348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, </w:t>
      </w:r>
      <w:r w:rsidRPr="00FE2AF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Ministerstwo Sprawiedliwości</w:t>
      </w:r>
      <w:r w:rsidR="0042156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(Departament Zawodów Prawniczych)</w:t>
      </w:r>
      <w:r w:rsidR="003C6348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,</w:t>
      </w:r>
      <w:r w:rsidRPr="00FE2AF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planuje</w:t>
      </w:r>
      <w:r w:rsidR="0027274E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Pr="00FE2AF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udzielenie zamówienia na </w:t>
      </w:r>
      <w:r w:rsidR="00FE2AF6" w:rsidRPr="00FE2AF6">
        <w:rPr>
          <w:rFonts w:ascii="inherit" w:hAnsi="inherit"/>
          <w:sz w:val="24"/>
          <w:szCs w:val="24"/>
        </w:rPr>
        <w:t xml:space="preserve">opracowanie wzoru graficznego dokumentu licencji doradcy restrukturyzacyjnego </w:t>
      </w:r>
      <w:r w:rsidR="00EA67C0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oraz jego </w:t>
      </w:r>
      <w:r w:rsidR="00EA67C0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specyfikacj</w:t>
      </w:r>
      <w:r w:rsidR="00EA67C0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i</w:t>
      </w:r>
      <w:r w:rsidR="00EA67C0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techniczn</w:t>
      </w:r>
      <w:r w:rsidR="00EA67C0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ej</w:t>
      </w:r>
      <w:r w:rsidR="00EA67C0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z opisem zabezpieczeń</w:t>
      </w:r>
      <w:r w:rsidR="00EA67C0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, a także </w:t>
      </w:r>
      <w:r w:rsidR="00FE2AF6" w:rsidRPr="00FE2AF6">
        <w:rPr>
          <w:rFonts w:ascii="inherit" w:hAnsi="inherit"/>
          <w:sz w:val="24"/>
          <w:szCs w:val="24"/>
        </w:rPr>
        <w:t>wytworzenie, personalizacj</w:t>
      </w:r>
      <w:r w:rsidR="00FE2AF6">
        <w:rPr>
          <w:rFonts w:ascii="inherit" w:hAnsi="inherit"/>
          <w:sz w:val="24"/>
          <w:szCs w:val="24"/>
        </w:rPr>
        <w:t>ę</w:t>
      </w:r>
      <w:r w:rsidR="00FE2AF6" w:rsidRPr="00FE2AF6">
        <w:rPr>
          <w:rFonts w:ascii="inherit" w:hAnsi="inherit"/>
          <w:sz w:val="24"/>
          <w:szCs w:val="24"/>
        </w:rPr>
        <w:t xml:space="preserve"> i dostarczenie 1000 </w:t>
      </w:r>
      <w:r w:rsidR="00FE2AF6">
        <w:rPr>
          <w:rFonts w:ascii="inherit" w:hAnsi="inherit"/>
          <w:sz w:val="24"/>
          <w:szCs w:val="24"/>
        </w:rPr>
        <w:t xml:space="preserve">sztuk </w:t>
      </w:r>
      <w:r w:rsidR="00FE2AF6" w:rsidRPr="00FE2AF6">
        <w:rPr>
          <w:rFonts w:ascii="inherit" w:hAnsi="inherit"/>
          <w:sz w:val="24"/>
          <w:szCs w:val="24"/>
        </w:rPr>
        <w:t>dokumentów licencji</w:t>
      </w:r>
      <w:r w:rsidRPr="00FE2AF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doradcy </w:t>
      </w:r>
      <w:r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restrukturyzacyjnego na podłożu z tworzyw sztucznych</w:t>
      </w:r>
      <w:r w:rsidR="00056253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(poliwęglan)</w:t>
      </w:r>
      <w:r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. </w:t>
      </w:r>
    </w:p>
    <w:p w14:paraId="287A026F" w14:textId="77777777" w:rsidR="00875416" w:rsidRPr="00854D39" w:rsidRDefault="00875416" w:rsidP="00854D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</w:pPr>
    </w:p>
    <w:p w14:paraId="33419C47" w14:textId="68BC1588" w:rsidR="00875416" w:rsidRDefault="0027274E" w:rsidP="00854D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</w:pPr>
      <w:r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Zamawiany dokument licencji stanowi</w:t>
      </w:r>
      <w:r w:rsidR="0087541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dokument publiczny kategorii trzeciej </w:t>
      </w:r>
      <w:r w:rsidR="0087541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 rozumieniu ustawy z dnia 22 listopada 2018 r. o dokumentach publicznych </w:t>
      </w:r>
      <w:r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  <w:t>(Dz. U. z 2022 r. poz. 1394, ze zm.</w:t>
      </w:r>
      <w:r w:rsidR="00B40BF8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, dalej: ustawa</w:t>
      </w:r>
      <w:r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). </w:t>
      </w:r>
    </w:p>
    <w:p w14:paraId="16415403" w14:textId="77777777" w:rsidR="00C724DB" w:rsidRDefault="00B40BF8" w:rsidP="00854D39">
      <w:pPr>
        <w:spacing w:after="0" w:line="240" w:lineRule="auto"/>
        <w:jc w:val="both"/>
        <w:rPr>
          <w:rFonts w:ascii="inherit" w:eastAsia="Times New Roman" w:hAnsi="inherit" w:cstheme="minorHAnsi"/>
          <w:sz w:val="24"/>
          <w:szCs w:val="24"/>
          <w:lang w:eastAsia="pl-PL"/>
        </w:rPr>
      </w:pPr>
      <w:r w:rsidRPr="00B40BF8">
        <w:rPr>
          <w:rFonts w:ascii="inherit" w:eastAsia="Times New Roman" w:hAnsi="inherit" w:cstheme="minorHAnsi"/>
          <w:sz w:val="24"/>
          <w:szCs w:val="24"/>
          <w:lang w:eastAsia="pl-PL"/>
        </w:rPr>
        <w:t xml:space="preserve">Zgodnie z art. 18 ustawy, dokumenty kategorii </w:t>
      </w:r>
      <w:r w:rsidR="00854D39" w:rsidRPr="00854D39">
        <w:rPr>
          <w:rFonts w:ascii="inherit" w:eastAsia="Times New Roman" w:hAnsi="inherit" w:cstheme="minorHAnsi"/>
          <w:sz w:val="24"/>
          <w:szCs w:val="24"/>
          <w:lang w:eastAsia="pl-PL"/>
        </w:rPr>
        <w:t xml:space="preserve">trzeciej </w:t>
      </w:r>
      <w:r w:rsidRPr="00B40BF8">
        <w:rPr>
          <w:rFonts w:ascii="inherit" w:eastAsia="Times New Roman" w:hAnsi="inherit" w:cstheme="minorHAnsi"/>
          <w:sz w:val="24"/>
          <w:szCs w:val="24"/>
          <w:lang w:eastAsia="pl-PL"/>
        </w:rPr>
        <w:t xml:space="preserve">mogą być wytwarzane </w:t>
      </w:r>
      <w:r w:rsidR="00C724DB">
        <w:rPr>
          <w:rFonts w:ascii="inherit" w:eastAsia="Times New Roman" w:hAnsi="inherit" w:cstheme="minorHAnsi"/>
          <w:sz w:val="24"/>
          <w:szCs w:val="24"/>
          <w:lang w:eastAsia="pl-PL"/>
        </w:rPr>
        <w:t xml:space="preserve">wyłącznie </w:t>
      </w:r>
      <w:r w:rsidRPr="00B40BF8">
        <w:rPr>
          <w:rFonts w:ascii="inherit" w:eastAsia="Times New Roman" w:hAnsi="inherit" w:cstheme="minorHAnsi"/>
          <w:sz w:val="24"/>
          <w:szCs w:val="24"/>
          <w:lang w:eastAsia="pl-PL"/>
        </w:rPr>
        <w:t>przez</w:t>
      </w:r>
      <w:r w:rsidR="00854D39">
        <w:rPr>
          <w:rFonts w:ascii="inherit" w:eastAsia="Times New Roman" w:hAnsi="inherit" w:cstheme="minorHAnsi"/>
          <w:sz w:val="24"/>
          <w:szCs w:val="24"/>
          <w:lang w:eastAsia="pl-PL"/>
        </w:rPr>
        <w:t>:</w:t>
      </w:r>
      <w:r w:rsidRPr="00B40BF8">
        <w:rPr>
          <w:rFonts w:ascii="inherit" w:eastAsia="Times New Roman" w:hAnsi="inherit" w:cstheme="minorHAnsi"/>
          <w:sz w:val="24"/>
          <w:szCs w:val="24"/>
          <w:lang w:eastAsia="pl-PL"/>
        </w:rPr>
        <w:t xml:space="preserve"> </w:t>
      </w:r>
      <w:r w:rsidR="00854D39">
        <w:rPr>
          <w:rFonts w:ascii="inherit" w:eastAsia="Times New Roman" w:hAnsi="inherit" w:cstheme="minorHAnsi"/>
          <w:sz w:val="24"/>
          <w:szCs w:val="24"/>
          <w:lang w:eastAsia="pl-PL"/>
        </w:rPr>
        <w:t xml:space="preserve">                           </w:t>
      </w:r>
    </w:p>
    <w:p w14:paraId="467C4A42" w14:textId="439A05D0" w:rsidR="00854D39" w:rsidRDefault="00854D39" w:rsidP="00854D39">
      <w:pPr>
        <w:spacing w:after="0" w:line="240" w:lineRule="auto"/>
        <w:jc w:val="both"/>
        <w:rPr>
          <w:rFonts w:ascii="inherit" w:eastAsia="Times New Roman" w:hAnsi="inherit" w:cstheme="minorHAnsi"/>
          <w:sz w:val="24"/>
          <w:szCs w:val="24"/>
          <w:lang w:eastAsia="pl-PL"/>
        </w:rPr>
      </w:pPr>
      <w:r>
        <w:rPr>
          <w:rFonts w:ascii="inherit" w:eastAsia="Times New Roman" w:hAnsi="inherit" w:cstheme="minorHAnsi"/>
          <w:sz w:val="24"/>
          <w:szCs w:val="24"/>
          <w:lang w:eastAsia="pl-PL"/>
        </w:rPr>
        <w:t>-</w:t>
      </w:r>
      <w:r w:rsidR="00C724DB">
        <w:rPr>
          <w:rFonts w:ascii="inherit" w:eastAsia="Times New Roman" w:hAnsi="inherit" w:cstheme="minorHAnsi" w:hint="eastAsia"/>
          <w:sz w:val="24"/>
          <w:szCs w:val="24"/>
          <w:lang w:eastAsia="pl-PL"/>
        </w:rPr>
        <w:t> </w:t>
      </w:r>
      <w:r w:rsidR="00B40BF8" w:rsidRPr="00B40BF8">
        <w:rPr>
          <w:rFonts w:ascii="inherit" w:eastAsia="Times New Roman" w:hAnsi="inherit" w:cstheme="minorHAnsi"/>
          <w:sz w:val="24"/>
          <w:szCs w:val="24"/>
          <w:lang w:eastAsia="pl-PL"/>
        </w:rPr>
        <w:t xml:space="preserve">jednoosobową spółkę Skarbu Państwa, której przedmiotem działalności jest wytwarzanie blankietów dokumentów i druków zabezpieczonych, mającą siedzibę oraz zakład produkcyjny, w którym są wytwarzane blankiety dokumentów publicznych, </w:t>
      </w:r>
      <w:r w:rsidR="00D7246F">
        <w:rPr>
          <w:rFonts w:ascii="inherit" w:eastAsia="Times New Roman" w:hAnsi="inherit" w:cstheme="minorHAnsi"/>
          <w:sz w:val="24"/>
          <w:szCs w:val="24"/>
          <w:lang w:eastAsia="pl-PL"/>
        </w:rPr>
        <w:br/>
      </w:r>
      <w:r w:rsidR="00B40BF8" w:rsidRPr="00B40BF8">
        <w:rPr>
          <w:rFonts w:ascii="inherit" w:eastAsia="Times New Roman" w:hAnsi="inherit" w:cstheme="minorHAnsi"/>
          <w:sz w:val="24"/>
          <w:szCs w:val="24"/>
          <w:lang w:eastAsia="pl-PL"/>
        </w:rPr>
        <w:t>na terytorium Rzeczypospolitej Polskiej albo</w:t>
      </w:r>
    </w:p>
    <w:p w14:paraId="56B3BBE4" w14:textId="396D7CDB" w:rsidR="00B40BF8" w:rsidRDefault="00854D39" w:rsidP="00854D39">
      <w:pPr>
        <w:spacing w:after="0" w:line="240" w:lineRule="auto"/>
        <w:jc w:val="both"/>
        <w:rPr>
          <w:rFonts w:ascii="inherit" w:eastAsia="Calibri" w:hAnsi="inherit" w:cstheme="minorHAnsi"/>
          <w:color w:val="333333"/>
          <w:sz w:val="24"/>
          <w:szCs w:val="24"/>
          <w:shd w:val="clear" w:color="auto" w:fill="FFFFFF"/>
        </w:rPr>
      </w:pPr>
      <w:r>
        <w:rPr>
          <w:rFonts w:ascii="inherit" w:eastAsia="Times New Roman" w:hAnsi="inherit" w:cstheme="minorHAnsi"/>
          <w:sz w:val="24"/>
          <w:szCs w:val="24"/>
          <w:lang w:eastAsia="pl-PL"/>
        </w:rPr>
        <w:t>-</w:t>
      </w:r>
      <w:r w:rsidR="00B40BF8" w:rsidRPr="00B40BF8">
        <w:rPr>
          <w:rFonts w:ascii="inherit" w:eastAsia="Times New Roman" w:hAnsi="inherit" w:cstheme="minorHAnsi"/>
          <w:sz w:val="24"/>
          <w:szCs w:val="24"/>
          <w:lang w:eastAsia="pl-PL"/>
        </w:rPr>
        <w:t xml:space="preserve"> inny podmiot, którego przedmiotem działalności jest wytwarzanie blankietów dokumentów i druków zabezpieczonych, który spełnia wymagania dotyczące bezpieczeństwa wytwarzania blankietów dokumentów publicznych określone w art. 19 ustawy i w </w:t>
      </w:r>
      <w:bookmarkStart w:id="0" w:name="_Hlk131585748"/>
      <w:r w:rsidR="00B40BF8" w:rsidRPr="00B40BF8">
        <w:rPr>
          <w:rFonts w:ascii="inherit" w:eastAsia="Times New Roman" w:hAnsi="inherit" w:cstheme="minorHAnsi"/>
          <w:sz w:val="24"/>
          <w:szCs w:val="24"/>
          <w:lang w:eastAsia="pl-PL"/>
        </w:rPr>
        <w:t xml:space="preserve">rozporządzeniu </w:t>
      </w:r>
      <w:r w:rsidR="00B40BF8" w:rsidRPr="00B40BF8">
        <w:rPr>
          <w:rFonts w:ascii="inherit" w:eastAsia="Calibri" w:hAnsi="inherit" w:cstheme="minorHAnsi"/>
          <w:color w:val="333333"/>
          <w:sz w:val="24"/>
          <w:szCs w:val="24"/>
          <w:shd w:val="clear" w:color="auto" w:fill="FFFFFF"/>
        </w:rPr>
        <w:t xml:space="preserve">Ministra Spraw Wewnętrznych i Administracji z dnia 2 lipca 2019 r. w sprawie wymagań w zakresie bezpieczeństwa wytwarzania blankietów dokumentów publicznych (Dz. U. z 2019 r. poz. 1266). </w:t>
      </w:r>
      <w:bookmarkEnd w:id="0"/>
      <w:r w:rsidR="00D7246F">
        <w:rPr>
          <w:rFonts w:ascii="inherit" w:eastAsia="Calibri" w:hAnsi="inherit" w:cstheme="minorHAnsi"/>
          <w:color w:val="333333"/>
          <w:sz w:val="24"/>
          <w:szCs w:val="24"/>
          <w:shd w:val="clear" w:color="auto" w:fill="FFFFFF"/>
        </w:rPr>
        <w:t xml:space="preserve">Kontroli </w:t>
      </w:r>
      <w:r w:rsidR="00C724DB">
        <w:rPr>
          <w:rFonts w:ascii="inherit" w:eastAsia="Calibri" w:hAnsi="inherit" w:cstheme="minorHAnsi"/>
          <w:color w:val="333333"/>
          <w:sz w:val="24"/>
          <w:szCs w:val="24"/>
          <w:shd w:val="clear" w:color="auto" w:fill="FFFFFF"/>
        </w:rPr>
        <w:t xml:space="preserve">podmiotu wytwarzającego w zakresie </w:t>
      </w:r>
      <w:r w:rsidR="00D7246F">
        <w:rPr>
          <w:rFonts w:ascii="inherit" w:eastAsia="Calibri" w:hAnsi="inherit" w:cstheme="minorHAnsi"/>
          <w:color w:val="333333"/>
          <w:sz w:val="24"/>
          <w:szCs w:val="24"/>
          <w:shd w:val="clear" w:color="auto" w:fill="FFFFFF"/>
        </w:rPr>
        <w:t>spełniania powyższych wymogów dokonuje, zgodnie z art. 22 ustawy</w:t>
      </w:r>
      <w:r w:rsidR="00C724DB">
        <w:rPr>
          <w:rFonts w:ascii="inherit" w:eastAsia="Calibri" w:hAnsi="inherit" w:cstheme="minorHAnsi"/>
          <w:color w:val="333333"/>
          <w:sz w:val="24"/>
          <w:szCs w:val="24"/>
          <w:shd w:val="clear" w:color="auto" w:fill="FFFFFF"/>
        </w:rPr>
        <w:t>, Minister Spraw Wewnętrznych i Administracji oraz Szef Agencji Bezpieczeństwa Wewnętrznego.</w:t>
      </w:r>
    </w:p>
    <w:p w14:paraId="65E63EBC" w14:textId="77777777" w:rsidR="00854D39" w:rsidRPr="00B40BF8" w:rsidRDefault="00854D39" w:rsidP="00854D39">
      <w:pPr>
        <w:spacing w:after="0" w:line="240" w:lineRule="auto"/>
        <w:jc w:val="both"/>
        <w:rPr>
          <w:rFonts w:ascii="inherit" w:eastAsia="Calibri" w:hAnsi="inherit" w:cstheme="minorHAnsi"/>
          <w:color w:val="333333"/>
          <w:sz w:val="24"/>
          <w:szCs w:val="24"/>
          <w:shd w:val="clear" w:color="auto" w:fill="FFFFFF"/>
        </w:rPr>
      </w:pPr>
    </w:p>
    <w:p w14:paraId="738C7343" w14:textId="6A1D5543" w:rsidR="009A6A24" w:rsidRDefault="00854D39" w:rsidP="00854D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</w:pPr>
      <w:r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Wzór graficzny wraz ze specyfikacją techniczną z opisem zabezpieczeń musi odpowiadać wymogom wynikającym z </w:t>
      </w:r>
      <w:r w:rsidRPr="00854D39">
        <w:rPr>
          <w:rFonts w:ascii="inherit" w:eastAsia="Times New Roman" w:hAnsi="inherit" w:cstheme="minorHAnsi"/>
          <w:sz w:val="24"/>
          <w:szCs w:val="24"/>
          <w:lang w:eastAsia="pl-PL"/>
        </w:rPr>
        <w:t>rozporządzenia Ministra Spraw Wewnętrznych i Administracji z dnia 1 lipca 2022 r. w sprawie wykazu minimalnych zabezpieczeń dokumentów publicznych przed fałszerstwem (Dz. U. z 2022 r. poz. 1456)</w:t>
      </w:r>
      <w:r>
        <w:rPr>
          <w:rFonts w:ascii="inherit" w:eastAsia="Times New Roman" w:hAnsi="inherit" w:cstheme="minorHAnsi"/>
          <w:sz w:val="24"/>
          <w:szCs w:val="24"/>
          <w:lang w:eastAsia="pl-PL"/>
        </w:rPr>
        <w:t xml:space="preserve">, </w:t>
      </w:r>
      <w:r w:rsidRPr="00854D39">
        <w:rPr>
          <w:rFonts w:ascii="inherit" w:eastAsia="Times New Roman" w:hAnsi="inherit" w:cstheme="minorHAnsi"/>
          <w:sz w:val="24"/>
          <w:szCs w:val="24"/>
          <w:lang w:eastAsia="pl-PL"/>
        </w:rPr>
        <w:t xml:space="preserve">skonkretyzowanym </w:t>
      </w:r>
      <w:r w:rsidRPr="00854D39">
        <w:rPr>
          <w:rFonts w:ascii="inherit" w:eastAsia="Times New Roman" w:hAnsi="inherit" w:cstheme="minorHAnsi"/>
          <w:sz w:val="24"/>
          <w:szCs w:val="24"/>
          <w:lang w:eastAsia="pl-PL"/>
        </w:rPr>
        <w:br/>
        <w:t xml:space="preserve">w </w:t>
      </w:r>
      <w:r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Rekomendacji wydanej przez Komisję do spraw dokumentów publicznych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stanowiącej załącznik </w:t>
      </w:r>
      <w:r w:rsidRPr="00875416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nr 1</w:t>
      </w:r>
      <w:r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  <w:r w:rsidR="009A0383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="009A6A24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Wymagania, warunki realizacji i opis przedmiotu zamówienia zawarte są</w:t>
      </w:r>
      <w:r w:rsidR="00E04D97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="0027274E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także </w:t>
      </w:r>
      <w:r w:rsidR="009A6A24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 </w:t>
      </w:r>
      <w:r w:rsidR="00680763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</w:t>
      </w:r>
      <w:r w:rsidR="009A6A24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ałącznik</w:t>
      </w:r>
      <w:r w:rsidR="00680763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u</w:t>
      </w:r>
      <w:r w:rsidR="009A6A24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="00E7680C" w:rsidRPr="00875416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nr 2</w:t>
      </w:r>
      <w:r w:rsidR="00E7680C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="00680763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„Opis przedmiotu zamówienia”</w:t>
      </w:r>
      <w:r w:rsidR="00E04D97"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. </w:t>
      </w:r>
    </w:p>
    <w:p w14:paraId="6DB811A3" w14:textId="77777777" w:rsidR="00854D39" w:rsidRPr="00854D39" w:rsidRDefault="00854D39" w:rsidP="00854D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</w:pPr>
    </w:p>
    <w:p w14:paraId="6E2ED13D" w14:textId="46B5CA62" w:rsidR="009A6A24" w:rsidRPr="00854D39" w:rsidRDefault="009A6A24" w:rsidP="00854D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</w:pPr>
      <w:r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 ramach rozeznania rynku oraz w celu oszacowania wartości zamówienia, w tym</w:t>
      </w:r>
      <w:r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  <w:t>kosztów realizacji zamówienia, Ministerstwo Sprawiedliwości zaprasza do przesłania wstępnej kalkulacji ceny.</w:t>
      </w:r>
    </w:p>
    <w:p w14:paraId="554495D0" w14:textId="1292EED5" w:rsidR="00056253" w:rsidRPr="000F0F0E" w:rsidRDefault="009A6A24" w:rsidP="00854D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</w:pPr>
      <w:r w:rsidRP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 przedstawionej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kalkulacji cenowej należy podać ceny </w:t>
      </w:r>
      <w:r w:rsidR="00056253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netto i brutto 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zgodnie z </w:t>
      </w:r>
      <w:r w:rsidRPr="00C724DB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Formularzem wyceny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– załącznikiem</w:t>
      </w:r>
      <w:r w:rsidRPr="002F7941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 xml:space="preserve"> nr </w:t>
      </w:r>
      <w:r w:rsidR="008A6FD8" w:rsidRPr="002F7941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3</w:t>
      </w:r>
      <w:r w:rsidR="008A6FD8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 niniejszego zapytania.</w:t>
      </w:r>
    </w:p>
    <w:p w14:paraId="3597D474" w14:textId="3DA10458" w:rsidR="00056253" w:rsidRPr="00056253" w:rsidRDefault="009A6A24" w:rsidP="00854D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Informację</w:t>
      </w:r>
      <w:r w:rsidR="000F0F0E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(ofertę) 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należy złożyć do dnia </w:t>
      </w:r>
      <w:r w:rsidR="00944A1B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25 kwietnia</w:t>
      </w:r>
      <w:r w:rsidRPr="009A6A24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 xml:space="preserve"> 202</w:t>
      </w:r>
      <w:r w:rsidR="00944A1B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3</w:t>
      </w:r>
      <w:r w:rsidRPr="009A6A24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 xml:space="preserve"> r.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,</w:t>
      </w:r>
      <w:r w:rsidR="00680763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Pr="009A6A24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do godziny 16:00</w:t>
      </w:r>
      <w:r w:rsidR="00680763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 xml:space="preserve"> </w:t>
      </w:r>
      <w:r w:rsidR="000F0F0E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br/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 formie elektronicznej </w:t>
      </w:r>
      <w:r w:rsidR="000F0F0E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(zalecany format - plik</w:t>
      </w:r>
      <w:r w:rsidR="000F0F0E" w:rsidRPr="00056253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PDF</w:t>
      </w:r>
      <w:r w:rsidR="000F0F0E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) 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na</w:t>
      </w:r>
      <w:r w:rsid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adres</w:t>
      </w:r>
      <w:r w:rsidR="000F0F0E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:</w:t>
      </w:r>
      <w:r w:rsidR="00854D39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hyperlink r:id="rId5" w:history="1">
        <w:r w:rsidR="00854D39" w:rsidRPr="00BD6A08">
          <w:rPr>
            <w:rStyle w:val="Hipercze"/>
            <w:rFonts w:ascii="inherit" w:eastAsia="Times New Roman" w:hAnsi="inherit" w:cs="Open Sans"/>
            <w:color w:val="auto"/>
            <w:sz w:val="24"/>
            <w:szCs w:val="24"/>
            <w:u w:val="none"/>
            <w:lang w:eastAsia="pl-PL"/>
          </w:rPr>
          <w:t>Katarzyna.Trzcinska@ms.gov.pl</w:t>
        </w:r>
      </w:hyperlink>
      <w:r w:rsidR="00680763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 adnotacją: „Rozeznanie rynku”</w:t>
      </w:r>
      <w:r w:rsidR="00680763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  <w:r w:rsidRPr="009A6A24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 xml:space="preserve">  </w:t>
      </w:r>
      <w:r w:rsidR="00056253" w:rsidRPr="00056253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</w:p>
    <w:p w14:paraId="611EEB04" w14:textId="77777777" w:rsidR="00056253" w:rsidRPr="009A6A24" w:rsidRDefault="00056253" w:rsidP="00944A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</w:pPr>
    </w:p>
    <w:p w14:paraId="163799DA" w14:textId="77777777" w:rsidR="00BE0273" w:rsidRDefault="009A6A24" w:rsidP="00944A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</w:pP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Zamawiający informuje, że przedmiotowe zaproszenie</w:t>
      </w:r>
      <w:r w:rsidR="00DE0F9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Pr="009A6A24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nie</w:t>
      </w:r>
      <w:r w:rsidR="00DE0F96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 xml:space="preserve"> </w:t>
      </w:r>
      <w:r w:rsidRPr="009A6A24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stanowi oferty</w:t>
      </w:r>
      <w:r w:rsidR="00DE0F96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 xml:space="preserve"> 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 rozumieniu art. 66 </w:t>
      </w:r>
      <w:r w:rsidR="002835E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K.c. 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ani też nie jest ogłoszeniem w rozumieniu ustawy z dnia 11 września 2019 r. </w:t>
      </w:r>
      <w:r w:rsidR="00DE0F9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–Prawo zamówień publicznych (Dz. U. </w:t>
      </w:r>
      <w:r w:rsidR="00DE0F9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z 2022 r. 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poz.</w:t>
      </w:r>
      <w:r w:rsidR="0063319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="00DE0F9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1710, ze zm.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), ma ono </w:t>
      </w:r>
      <w:r w:rsidRPr="009A6A24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wyłącznie na celu rozeznanie cenowe rynku</w:t>
      </w:r>
      <w:r w:rsidR="00944A1B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wśród wykonawców mogących zrealizować powyższe 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lastRenderedPageBreak/>
        <w:t xml:space="preserve">zamówienie oraz uzyskanie wiedzy na temat szacunkowych kosztów związanych </w:t>
      </w:r>
      <w:r w:rsidR="00DE0F96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 planowanym zamówieniem publicznym. </w:t>
      </w:r>
    </w:p>
    <w:p w14:paraId="2B74F444" w14:textId="25645C59" w:rsidR="009A6A24" w:rsidRPr="00C4104F" w:rsidRDefault="009A6A24" w:rsidP="00944A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</w:pP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Ogłoszenie</w:t>
      </w:r>
      <w:r w:rsidR="00944A1B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Pr="009A6A24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to nie jest równorzędne ze złożeniem zamówienia przez Zamawiającego na podstawie powyższego zapytania </w:t>
      </w:r>
      <w:r w:rsidRPr="00C4104F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ofertowego oraz nie stanowi podstawy</w:t>
      </w:r>
      <w:r w:rsidR="00DE0F96" w:rsidRPr="00C4104F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</w:t>
      </w:r>
      <w:r w:rsidRPr="00C4104F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 roszczenia ze strony Wykonawcy prawa do zawarcia umowy.</w:t>
      </w:r>
    </w:p>
    <w:p w14:paraId="4A5D21A8" w14:textId="77777777" w:rsidR="00056253" w:rsidRPr="00C4104F" w:rsidRDefault="00056253" w:rsidP="00944A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B1B1B"/>
          <w:lang w:eastAsia="pl-PL"/>
        </w:rPr>
      </w:pPr>
    </w:p>
    <w:p w14:paraId="606422A2" w14:textId="40A8D5B4" w:rsidR="009A6A24" w:rsidRPr="00C4104F" w:rsidRDefault="009A6A24" w:rsidP="00944A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B1B1B"/>
          <w:lang w:eastAsia="pl-PL"/>
        </w:rPr>
      </w:pPr>
      <w:r w:rsidRPr="00C4104F">
        <w:rPr>
          <w:rFonts w:ascii="inherit" w:eastAsia="Times New Roman" w:hAnsi="inherit" w:cs="Open Sans"/>
          <w:color w:val="1B1B1B"/>
          <w:lang w:eastAsia="pl-PL"/>
        </w:rPr>
        <w:t>Załączniki:</w:t>
      </w:r>
    </w:p>
    <w:p w14:paraId="26C88528" w14:textId="2FC009C2" w:rsidR="00C4104F" w:rsidRPr="00C4104F" w:rsidRDefault="00C4104F" w:rsidP="00C4104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inherit" w:eastAsia="Times New Roman" w:hAnsi="inherit" w:cs="Open Sans"/>
          <w:color w:val="1B1B1B"/>
          <w:lang w:eastAsia="pl-PL"/>
        </w:rPr>
      </w:pPr>
      <w:r w:rsidRPr="00C4104F">
        <w:rPr>
          <w:rFonts w:ascii="inherit" w:eastAsia="Times New Roman" w:hAnsi="inherit" w:cs="Open Sans"/>
          <w:color w:val="1B1B1B"/>
          <w:lang w:eastAsia="pl-PL"/>
        </w:rPr>
        <w:t>Rekomendacja Komisji do spraw dokumentów publicznych,</w:t>
      </w:r>
    </w:p>
    <w:p w14:paraId="638C7E57" w14:textId="77777777" w:rsidR="00C4104F" w:rsidRPr="00C4104F" w:rsidRDefault="009A6A24" w:rsidP="00C4104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inherit" w:eastAsia="Times New Roman" w:hAnsi="inherit" w:cs="Open Sans"/>
          <w:color w:val="1B1B1B"/>
          <w:lang w:eastAsia="pl-PL"/>
        </w:rPr>
      </w:pPr>
      <w:r w:rsidRPr="00C4104F">
        <w:rPr>
          <w:rFonts w:ascii="inherit" w:eastAsia="Times New Roman" w:hAnsi="inherit" w:cs="Open Sans"/>
          <w:color w:val="1B1B1B"/>
          <w:lang w:eastAsia="pl-PL"/>
        </w:rPr>
        <w:t>Opis przedmiotu zamówienia,</w:t>
      </w:r>
    </w:p>
    <w:p w14:paraId="762D922C" w14:textId="1979750F" w:rsidR="009A6A24" w:rsidRPr="00C4104F" w:rsidRDefault="009A6A24" w:rsidP="00C4104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inherit" w:eastAsia="Times New Roman" w:hAnsi="inherit" w:cs="Open Sans"/>
          <w:color w:val="1B1B1B"/>
          <w:lang w:eastAsia="pl-PL"/>
        </w:rPr>
      </w:pPr>
      <w:r w:rsidRPr="00C4104F">
        <w:rPr>
          <w:rFonts w:ascii="inherit" w:eastAsia="Times New Roman" w:hAnsi="inherit" w:cs="Open Sans"/>
          <w:color w:val="1B1B1B"/>
          <w:lang w:eastAsia="pl-PL"/>
        </w:rPr>
        <w:t>Formularz cenowy.</w:t>
      </w:r>
    </w:p>
    <w:p w14:paraId="2FA99DFE" w14:textId="77777777" w:rsidR="009A6A24" w:rsidRDefault="009A6A24"/>
    <w:sectPr w:rsidR="009A6A24" w:rsidSect="00854D3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74CD"/>
    <w:multiLevelType w:val="multilevel"/>
    <w:tmpl w:val="59D4A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B7C8C"/>
    <w:multiLevelType w:val="multilevel"/>
    <w:tmpl w:val="B1B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A5B2A"/>
    <w:multiLevelType w:val="hybridMultilevel"/>
    <w:tmpl w:val="883E15BC"/>
    <w:lvl w:ilvl="0" w:tplc="58B821BC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2162">
    <w:abstractNumId w:val="1"/>
  </w:num>
  <w:num w:numId="2" w16cid:durableId="1959069394">
    <w:abstractNumId w:val="0"/>
  </w:num>
  <w:num w:numId="3" w16cid:durableId="1185441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EC"/>
    <w:rsid w:val="00056253"/>
    <w:rsid w:val="000F0F0E"/>
    <w:rsid w:val="0027274E"/>
    <w:rsid w:val="002835E6"/>
    <w:rsid w:val="002F7941"/>
    <w:rsid w:val="00310E5C"/>
    <w:rsid w:val="003C6348"/>
    <w:rsid w:val="00421564"/>
    <w:rsid w:val="00543498"/>
    <w:rsid w:val="00562CC1"/>
    <w:rsid w:val="0059027D"/>
    <w:rsid w:val="00633196"/>
    <w:rsid w:val="00680763"/>
    <w:rsid w:val="007A2C76"/>
    <w:rsid w:val="00854D39"/>
    <w:rsid w:val="00875416"/>
    <w:rsid w:val="00883914"/>
    <w:rsid w:val="008A6FD8"/>
    <w:rsid w:val="00944A1B"/>
    <w:rsid w:val="009A0383"/>
    <w:rsid w:val="009A6A24"/>
    <w:rsid w:val="00A335FC"/>
    <w:rsid w:val="00B40BF8"/>
    <w:rsid w:val="00BD6A08"/>
    <w:rsid w:val="00BE0273"/>
    <w:rsid w:val="00C4104F"/>
    <w:rsid w:val="00C724DB"/>
    <w:rsid w:val="00CC72EC"/>
    <w:rsid w:val="00D469A6"/>
    <w:rsid w:val="00D7246F"/>
    <w:rsid w:val="00DE0F96"/>
    <w:rsid w:val="00DE6400"/>
    <w:rsid w:val="00E04D97"/>
    <w:rsid w:val="00E7680C"/>
    <w:rsid w:val="00EA67C0"/>
    <w:rsid w:val="00EC4EEB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8F81"/>
  <w15:chartTrackingRefBased/>
  <w15:docId w15:val="{31139A9C-4574-423A-A620-428F05AB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4E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EE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4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281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Trzcinsk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Stebelski Jarosław  (DZP)</dc:creator>
  <cp:keywords/>
  <dc:description/>
  <cp:lastModifiedBy>Błażejczyk Beata  (DZP)</cp:lastModifiedBy>
  <cp:revision>2</cp:revision>
  <cp:lastPrinted>2023-04-05T08:50:00Z</cp:lastPrinted>
  <dcterms:created xsi:type="dcterms:W3CDTF">2023-04-06T10:48:00Z</dcterms:created>
  <dcterms:modified xsi:type="dcterms:W3CDTF">2023-04-06T10:48:00Z</dcterms:modified>
</cp:coreProperties>
</file>