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4270" w:rsidRDefault="00B64270" w:rsidP="00B64270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64270">
        <w:drawing>
          <wp:inline distT="0" distB="0" distL="0" distR="0" wp14:anchorId="5C2FEAC4" wp14:editId="0E116487">
            <wp:extent cx="1673524" cy="848978"/>
            <wp:effectExtent l="0" t="0" r="317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4887" cy="85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6D" w:rsidRDefault="00F5466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81AE5">
        <w:rPr>
          <w:rFonts w:ascii="Cambria" w:hAnsi="Cambria" w:cs="Arial"/>
          <w:b/>
          <w:bCs/>
          <w:sz w:val="22"/>
          <w:szCs w:val="22"/>
        </w:rPr>
        <w:t xml:space="preserve">6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17" w:name="_GoBack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którym mowa w art. 275 pkt 1 ustawy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EF3BAA" w:rsidRPr="00EF3BAA">
        <w:rPr>
          <w:rFonts w:ascii="Cambria" w:hAnsi="Cambria" w:cs="Arial"/>
          <w:bCs/>
          <w:smallCaps/>
          <w:sz w:val="22"/>
          <w:szCs w:val="22"/>
        </w:rPr>
        <w:t>„Dostawa znaczników do drewna”, nr Z.270.6.2022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(dalej: „Postępowanie”), tj. </w:t>
      </w:r>
    </w:p>
    <w:p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  <w:r w:rsidR="00271388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C6FEB" w:rsidRDefault="00CC6FE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6E0" w:rsidRDefault="004956E0">
      <w:r>
        <w:separator/>
      </w:r>
    </w:p>
  </w:endnote>
  <w:endnote w:type="continuationSeparator" w:id="0">
    <w:p w:rsidR="004956E0" w:rsidRDefault="0049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A1192" w:rsidRPr="00DA119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6E0" w:rsidRDefault="004956E0">
      <w:r>
        <w:separator/>
      </w:r>
    </w:p>
  </w:footnote>
  <w:footnote w:type="continuationSeparator" w:id="0">
    <w:p w:rsidR="004956E0" w:rsidRDefault="0049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1388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6E0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61B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FD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270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608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47AC0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1895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BA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5D9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3F8120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1304-6C51-467B-98AB-BC1E6CA1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Aleksandra PACHUTA</cp:lastModifiedBy>
  <cp:revision>3</cp:revision>
  <cp:lastPrinted>2017-05-23T10:32:00Z</cp:lastPrinted>
  <dcterms:created xsi:type="dcterms:W3CDTF">2022-03-09T13:36:00Z</dcterms:created>
  <dcterms:modified xsi:type="dcterms:W3CDTF">2022-03-17T07:58:00Z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