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4274" w14:textId="77777777" w:rsidR="00945466" w:rsidRDefault="00945466" w:rsidP="0094546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7E8C3B25" w14:textId="77777777" w:rsidR="00945466" w:rsidRDefault="00945466" w:rsidP="0094546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Specyfikacja techniczna: Łącze BGP – podstawowe </w:t>
      </w:r>
    </w:p>
    <w:p w14:paraId="64C606EE" w14:textId="77777777" w:rsidR="00945466" w:rsidRDefault="00945466" w:rsidP="00945466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76"/>
      </w:tblGrid>
      <w:tr w:rsidR="00945466" w14:paraId="5704D3F7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C87B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Lokalizacja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DF5C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Rzeszów, ul. Grunwaldzka 15 (budynek Podkarpackiego Urzędu Wojewódzkiego w Rzeszowie - PUW), III piętro, pokój nr 304</w:t>
            </w:r>
          </w:p>
        </w:tc>
      </w:tr>
      <w:tr w:rsidR="00945466" w14:paraId="227F587D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B32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Przepływność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FA8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Mbit/s – łącze symetryczne</w:t>
            </w:r>
          </w:p>
        </w:tc>
      </w:tr>
      <w:tr w:rsidR="00945466" w14:paraId="4704D5EA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7FB1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Technologia wykonania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5954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Łącze światłowodowe.</w:t>
            </w:r>
          </w:p>
        </w:tc>
      </w:tr>
      <w:tr w:rsidR="00945466" w14:paraId="3A566B31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4927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1A29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urządzenia pasywne/aktywne (np. modemy, konwertery mediów) służące do zestawienia łącza będą podczas trwania umowy  własnością operatora i będą przez niego zarządzane.</w:t>
            </w:r>
          </w:p>
        </w:tc>
      </w:tr>
      <w:tr w:rsidR="00945466" w14:paraId="48D52044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78B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Technologia zakończenia łącza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4093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GigabitEthernet</w:t>
            </w:r>
          </w:p>
        </w:tc>
      </w:tr>
      <w:tr w:rsidR="00945466" w14:paraId="67893F2C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BAE1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0BFA" w14:textId="77777777" w:rsidR="00945466" w:rsidRDefault="00945466" w:rsidP="00945466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Operator musi posiadać status LIR’a (istnieć na wykazie podmiotów znajdujących się na </w:t>
            </w:r>
            <w:hyperlink r:id="rId4" w:history="1">
              <w:r>
                <w:rPr>
                  <w:rStyle w:val="Hipercze"/>
                  <w:sz w:val="24"/>
                  <w:szCs w:val="24"/>
                </w:rPr>
                <w:t>https://www.ripe.net/membership/indices/PL.html</w:t>
              </w:r>
            </w:hyperlink>
            <w:r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945466" w14:paraId="60CDE54A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7485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IPv4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DD9E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dostarczy adresację połączeniową dla styku z infrastruktura BGP PUW w protokole IPv4. Adresacją połączeniowa musi być adresacją routowaną w sieci internetowej. Ilość adresów w sieci połączeniowej nie mniej niż 2szt. (prefiks /31)</w:t>
            </w:r>
          </w:p>
        </w:tc>
      </w:tr>
      <w:tr w:rsidR="00945466" w14:paraId="1BD04230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417E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 IPv6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510B" w14:textId="77777777" w:rsidR="00945466" w:rsidRDefault="00945466" w:rsidP="0094546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dostarczy adresację połączeniową dla styku z infrastruktura BGP PUW w protokole IPv6.</w:t>
            </w:r>
          </w:p>
          <w:p w14:paraId="21ECFDC5" w14:textId="77777777" w:rsidR="00945466" w:rsidRDefault="00945466" w:rsidP="0094546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Adresacją połączeniowa musi być adresacją routowaną w sieci internetowej. Ilość adresów w sieci połączeniowej nie mniej niż ilość adresów wynikających z prefiksu /64</w:t>
            </w:r>
          </w:p>
        </w:tc>
      </w:tr>
      <w:tr w:rsidR="00945466" w14:paraId="7D5B6FF9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FA30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BGP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D99B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umożliwi PUW z jego własnym numerem ASN uruchomienie protokołu BGP poprzez podłączenie jego do infrastruktury BGP operatora. Operator umożliwi uruchomienie sesji BGP w protokole IPv4 oraz IPv6. Operator umożliwi dostęp do pełnej tablicy routingu BGP zarówno w protokole IPv4 i IPv6.</w:t>
            </w:r>
          </w:p>
          <w:p w14:paraId="15C9E4CE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Sesja BGP zabezpieczona hasłem </w:t>
            </w:r>
          </w:p>
        </w:tc>
      </w:tr>
      <w:tr w:rsidR="00945466" w14:paraId="559DAFF7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AC0D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4DA8" w14:textId="77777777" w:rsidR="00945466" w:rsidRDefault="00945466" w:rsidP="00945466">
            <w:pPr>
              <w:tabs>
                <w:tab w:val="num" w:pos="720"/>
                <w:tab w:val="center" w:pos="4536"/>
                <w:tab w:val="right" w:pos="9072"/>
              </w:tabs>
              <w:spacing w:line="276" w:lineRule="auto"/>
              <w:ind w:left="720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Miesięczną Dostępność Usługi (dalej: MDU) na poziomie min. 99.7% </w:t>
            </w:r>
          </w:p>
          <w:p w14:paraId="6E4C0530" w14:textId="77777777" w:rsidR="00945466" w:rsidRDefault="00945466" w:rsidP="00945466">
            <w:pPr>
              <w:tabs>
                <w:tab w:val="num" w:pos="720"/>
                <w:tab w:val="center" w:pos="4536"/>
                <w:tab w:val="right" w:pos="9072"/>
              </w:tabs>
              <w:spacing w:line="276" w:lineRule="auto"/>
              <w:ind w:left="720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Czas usunięcia awarii (dalej: CZUA) od momentu zgłoszenia: max. 8h</w:t>
            </w:r>
          </w:p>
          <w:p w14:paraId="756FF680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</w:p>
          <w:p w14:paraId="63507446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MDU [%] =  (1- SCUAwM /CLGwM) x 100% </w:t>
            </w:r>
          </w:p>
          <w:p w14:paraId="2089914D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</w:p>
          <w:p w14:paraId="5897F1B7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Sumaryczny czas usuwania awarii w miesiącu (ilość rozpoczętych godzin) = SCUAwM</w:t>
            </w:r>
          </w:p>
          <w:p w14:paraId="5820E2E7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Całkowita liczba godzin w miesiącu = CLGwM = 720</w:t>
            </w:r>
          </w:p>
          <w:p w14:paraId="00ADA791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</w:p>
          <w:p w14:paraId="21020B84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 przypadku nie dotrzymania przez operatora w/w parametrów będzie on zobowiązany do udzielenia bonifikaty na następujących zasadach:</w:t>
            </w:r>
          </w:p>
          <w:p w14:paraId="66809660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</w:p>
          <w:p w14:paraId="6E15DAE5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 każdą rozpoczętą godzinę przekroczenia MDU bonifikata będzie wynosić min. 1/720 miesięcznych opłat abonamentowych</w:t>
            </w:r>
          </w:p>
          <w:p w14:paraId="577B68A5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</w:p>
          <w:p w14:paraId="346A59AF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360"/>
              <w:rPr>
                <w:color w:val="80808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 każdą rozpoczętą godzinę przekroczenia CZUA bonifikata będzie wynosić min. 1/720 miesięcznych opłat abonamentowych</w:t>
            </w:r>
          </w:p>
          <w:p w14:paraId="6EFF5CF2" w14:textId="77777777" w:rsidR="00945466" w:rsidRDefault="00945466" w:rsidP="00945466">
            <w:pPr>
              <w:tabs>
                <w:tab w:val="center" w:pos="4536"/>
                <w:tab w:val="right" w:pos="9072"/>
              </w:tabs>
              <w:spacing w:line="276" w:lineRule="auto"/>
              <w:ind w:left="720" w:hanging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80808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466" w14:paraId="2C40E5AC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80E8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Infolinia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0685" w14:textId="21FFAF01" w:rsidR="00945466" w:rsidRDefault="00945466" w:rsidP="0094546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Operator  udostępni PUW dostęp do całodobowego,  kontaktu telefonicznego (numer 0-800 lub 0-801) </w:t>
            </w:r>
            <w:r w:rsidR="005C4266">
              <w:rPr>
                <w:sz w:val="24"/>
                <w:szCs w:val="24"/>
              </w:rPr>
              <w:t>lub</w:t>
            </w:r>
            <w:r>
              <w:rPr>
                <w:sz w:val="24"/>
                <w:szCs w:val="24"/>
              </w:rPr>
              <w:t xml:space="preserve"> numer stacjonarny w celu bieżącej obsługi klienta (zgłaszanie awarii i innych spraw dotyczących obsługi klienta).</w:t>
            </w:r>
          </w:p>
        </w:tc>
      </w:tr>
      <w:tr w:rsidR="00945466" w14:paraId="61245DC5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CAA7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5A56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Łącze będzie gwarantowało, że żadne informacje przez nie przepływające nie zostaną przechwycone, bądź obserwowane przez nieuprawnione osoby.</w:t>
            </w:r>
          </w:p>
        </w:tc>
      </w:tr>
      <w:tr w:rsidR="00945466" w14:paraId="210EA601" w14:textId="77777777" w:rsidTr="0094546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482D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AntyDDOS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89E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Łącze winno posiadać ochronę przed atakami DDoS na poziomie min. 10 Gbps obejmującą:</w:t>
            </w:r>
          </w:p>
          <w:p w14:paraId="431E702C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automatyczną analizę ruchu w celu identyfikacji typu i natury ataku,</w:t>
            </w:r>
          </w:p>
          <w:p w14:paraId="01C21B9C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definiowanie wielkości ruchu (pps, bps) dla poszczególnych adresów IP dla której zastąpi automatyczne uruchomienie mitygacji,</w:t>
            </w:r>
          </w:p>
          <w:p w14:paraId="0EA9D810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definiowanie obiektów, list portów i protokołów,</w:t>
            </w:r>
            <w:r>
              <w:rPr>
                <w:sz w:val="24"/>
                <w:szCs w:val="24"/>
              </w:rPr>
              <w:br/>
              <w:t>- definiowanie własnych białych i czarnych list portów i protokołów,</w:t>
            </w:r>
          </w:p>
          <w:p w14:paraId="24D28D9F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automatyczne rozpoczęcie usuwania ataku i informacja dla Zamawiającego o jego wykryciu,</w:t>
            </w:r>
          </w:p>
          <w:p w14:paraId="3C8FD2E5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dostęp do portalu klienta ze statystykami,</w:t>
            </w:r>
          </w:p>
          <w:p w14:paraId="749A75A1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automatyczna mitygacja (reakcja na zdarzenie) musi nastąpić w ciągu 5 min od wykrycia ataku,</w:t>
            </w:r>
          </w:p>
          <w:p w14:paraId="649F848B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modyfikację zestawu użytych mechanizmów przeciwdziałania tak, aby uzyskać maksymalny </w:t>
            </w:r>
            <w:r>
              <w:rPr>
                <w:sz w:val="24"/>
                <w:szCs w:val="24"/>
              </w:rPr>
              <w:lastRenderedPageBreak/>
              <w:t>poziom filtracji ruchu niepożądanego przy minimalnym wpływie na ruch prawidłowy,</w:t>
            </w:r>
          </w:p>
          <w:p w14:paraId="56ACA76E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Wykonawca zobowiązuje się, że ruch w sieci Zamawiającego  przekierowany do oczyszczania będzie wysyłany wyłącznie na obszar znajdujący się pod bezpośrednim nadzorem służb technicznych Wykonawcy. </w:t>
            </w:r>
            <w:r>
              <w:rPr>
                <w:sz w:val="24"/>
                <w:szCs w:val="24"/>
              </w:rPr>
              <w:br/>
              <w:t>- Usługa ochrony przed DDoS świadczona będzie w trybie 24/7/365,</w:t>
            </w:r>
          </w:p>
          <w:p w14:paraId="38A0061F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możliwość ustalania polityk mitygacji dla różnych krajów, w tym ograniczania adresów źródłowych do terytorium RP podczas ataku,</w:t>
            </w:r>
          </w:p>
          <w:p w14:paraId="6E17A0F6" w14:textId="77777777" w:rsidR="00945466" w:rsidRDefault="00945466" w:rsidP="009454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Wykonawca w ofercie przedstawi informację </w:t>
            </w:r>
            <w:r>
              <w:rPr>
                <w:sz w:val="24"/>
                <w:szCs w:val="24"/>
              </w:rPr>
              <w:br/>
              <w:t>o sposobie realizacji usługi DDoS</w:t>
            </w:r>
          </w:p>
          <w:p w14:paraId="1B86E512" w14:textId="77777777" w:rsidR="00945466" w:rsidRDefault="00945466" w:rsidP="0094546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A032C42" w14:textId="77777777" w:rsidR="00945466" w:rsidRDefault="00945466" w:rsidP="00945466">
      <w:pPr>
        <w:pStyle w:val="Tekstprzypisukocowego"/>
        <w:spacing w:line="276" w:lineRule="auto"/>
      </w:pPr>
    </w:p>
    <w:p w14:paraId="76C5CD25" w14:textId="77777777" w:rsidR="00821E4E" w:rsidRDefault="00821E4E" w:rsidP="00945466">
      <w:pPr>
        <w:spacing w:line="276" w:lineRule="auto"/>
      </w:pPr>
    </w:p>
    <w:sectPr w:rsidR="0082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F7"/>
    <w:rsid w:val="002B42F7"/>
    <w:rsid w:val="005C4266"/>
    <w:rsid w:val="00821E4E"/>
    <w:rsid w:val="0094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76C3"/>
  <w15:chartTrackingRefBased/>
  <w15:docId w15:val="{C0BE0253-DF47-4C7B-AFF7-536102C8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4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4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5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pe.net/membership/indices/P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Głód</dc:creator>
  <cp:keywords/>
  <dc:description/>
  <cp:lastModifiedBy>Marcin Głód</cp:lastModifiedBy>
  <cp:revision>3</cp:revision>
  <dcterms:created xsi:type="dcterms:W3CDTF">2022-03-14T12:58:00Z</dcterms:created>
  <dcterms:modified xsi:type="dcterms:W3CDTF">2024-03-07T11:13:00Z</dcterms:modified>
</cp:coreProperties>
</file>