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ECBEF" w14:textId="7ECA15A1" w:rsidR="00F9078E" w:rsidRPr="00987AD1" w:rsidRDefault="00DF359B" w:rsidP="007E1F1C">
      <w:p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687F80C3" wp14:editId="014345E7">
            <wp:extent cx="5760720" cy="601345"/>
            <wp:effectExtent l="0" t="0" r="0" b="0"/>
            <wp:docPr id="3" name="Obraz 3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5DCFF1" w14:textId="77F83C47" w:rsidR="00F9078E" w:rsidRPr="00987AD1" w:rsidRDefault="00F9078E" w:rsidP="007E1F1C">
      <w:p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</w:p>
    <w:p w14:paraId="100E2388" w14:textId="5FFECE46" w:rsidR="00C7781C" w:rsidRPr="00FD6187" w:rsidRDefault="00DD34E4" w:rsidP="007E1F1C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/>
        </w:rPr>
      </w:pPr>
      <w:r w:rsidRPr="00FD6187">
        <w:rPr>
          <w:rFonts w:ascii="Open Sans Light" w:hAnsi="Open Sans Light" w:cs="Open Sans Light"/>
          <w:b/>
        </w:rPr>
        <w:t>Załącznik nr 3</w:t>
      </w:r>
      <w:r w:rsidR="00C52A4A" w:rsidRPr="00FD6187">
        <w:rPr>
          <w:rFonts w:ascii="Open Sans Light" w:hAnsi="Open Sans Light" w:cs="Open Sans Light"/>
          <w:b/>
        </w:rPr>
        <w:t xml:space="preserve"> do Regulaminu</w:t>
      </w:r>
      <w:r w:rsidR="00FF5860" w:rsidRPr="00FD6187">
        <w:rPr>
          <w:rFonts w:ascii="Open Sans Light" w:hAnsi="Open Sans Light" w:cs="Open Sans Light"/>
          <w:b/>
        </w:rPr>
        <w:t xml:space="preserve"> wyboru projektów</w:t>
      </w:r>
      <w:r w:rsidR="00C7781C" w:rsidRPr="00FD6187">
        <w:rPr>
          <w:rFonts w:ascii="Open Sans Light" w:hAnsi="Open Sans Light" w:cs="Open Sans Light"/>
          <w:b/>
        </w:rPr>
        <w:t xml:space="preserve"> </w:t>
      </w:r>
    </w:p>
    <w:p w14:paraId="0E3C0E08" w14:textId="77777777" w:rsidR="00FB7009" w:rsidRPr="00987AD1" w:rsidRDefault="00FB7009" w:rsidP="007E1F1C">
      <w:p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</w:p>
    <w:p w14:paraId="09E4EE26" w14:textId="7371DE85" w:rsidR="00E54F44" w:rsidRPr="00987AD1" w:rsidRDefault="00E54F44" w:rsidP="007E1F1C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Lista załączników do wniosku o dofinansowanie</w:t>
      </w:r>
    </w:p>
    <w:p w14:paraId="2E90CB9F" w14:textId="77777777" w:rsidR="00E54F44" w:rsidRPr="00987AD1" w:rsidRDefault="00E54F44" w:rsidP="007E1F1C">
      <w:p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</w:p>
    <w:p w14:paraId="41A7AE84" w14:textId="57B5E75E" w:rsidR="00EF4285" w:rsidRPr="007E1F1C" w:rsidRDefault="00EF4285" w:rsidP="007E1F1C">
      <w:pPr>
        <w:spacing w:after="0" w:line="276" w:lineRule="auto"/>
        <w:jc w:val="both"/>
        <w:rPr>
          <w:rFonts w:ascii="Open Sans Light" w:hAnsi="Open Sans Light" w:cs="Open Sans Light"/>
          <w:b/>
          <w:bCs/>
          <w:color w:val="000000"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Działanie FENX.01.0</w:t>
      </w:r>
      <w:r w:rsidR="00D800FE"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5</w:t>
      </w:r>
      <w:r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.</w:t>
      </w:r>
      <w:r w:rsidR="00DD34E4" w:rsidRPr="007E1F1C">
        <w:rPr>
          <w:rFonts w:ascii="Open Sans Light" w:hAnsi="Open Sans Light" w:cs="Open Sans Light"/>
          <w:b/>
          <w:bCs/>
        </w:rPr>
        <w:t xml:space="preserve"> </w:t>
      </w:r>
      <w:r w:rsidR="00D800FE"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Ochrona przyrody i rozwój zielonej infrastruktury</w:t>
      </w:r>
    </w:p>
    <w:p w14:paraId="58DEDFBC" w14:textId="3906D217" w:rsidR="00EF4285" w:rsidRPr="007E1F1C" w:rsidRDefault="00EF4285" w:rsidP="007E1F1C">
      <w:pPr>
        <w:spacing w:after="0" w:line="276" w:lineRule="auto"/>
        <w:jc w:val="both"/>
        <w:rPr>
          <w:rFonts w:ascii="Open Sans Light" w:hAnsi="Open Sans Light" w:cs="Open Sans Light"/>
          <w:b/>
          <w:bCs/>
          <w:color w:val="000000"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 xml:space="preserve">Typ </w:t>
      </w:r>
      <w:r w:rsidR="00DD34E4"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projektu:</w:t>
      </w:r>
      <w:r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 xml:space="preserve"> </w:t>
      </w:r>
      <w:r w:rsidR="00D800FE" w:rsidRPr="007E1F1C">
        <w:rPr>
          <w:rFonts w:ascii="Open Sans Light" w:hAnsi="Open Sans Light" w:cs="Open Sans Light"/>
          <w:b/>
          <w:bCs/>
          <w:color w:val="000000"/>
          <w:sz w:val="24"/>
          <w:szCs w:val="24"/>
        </w:rPr>
        <w:t>Rekultywacja i remediacja terenów zdegradowanych działalnością gospodarczą</w:t>
      </w:r>
    </w:p>
    <w:p w14:paraId="779BF036" w14:textId="345B481F" w:rsidR="00F47ADD" w:rsidRPr="00987AD1" w:rsidRDefault="00F47ADD" w:rsidP="007E1F1C">
      <w:pPr>
        <w:spacing w:after="120" w:line="276" w:lineRule="auto"/>
        <w:jc w:val="both"/>
        <w:rPr>
          <w:rFonts w:ascii="Open Sans Light" w:hAnsi="Open Sans Light" w:cs="Open Sans Light"/>
          <w:b/>
          <w:sz w:val="24"/>
          <w:szCs w:val="24"/>
        </w:rPr>
      </w:pPr>
    </w:p>
    <w:p w14:paraId="7FB1A1E5" w14:textId="27EBBC1A" w:rsidR="00DC4BDF" w:rsidRPr="00987AD1" w:rsidRDefault="00F47ADD" w:rsidP="007E1F1C">
      <w:p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Lista wymaganych załączników do wniosku o dofinansowanie</w:t>
      </w:r>
    </w:p>
    <w:p w14:paraId="3ECB8896" w14:textId="24316193" w:rsidR="00DD34E4" w:rsidRPr="00987AD1" w:rsidRDefault="00DD34E4" w:rsidP="007E1F1C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Studium wykonalności dla projektu </w:t>
      </w:r>
      <w:r w:rsidRPr="00FD6187">
        <w:rPr>
          <w:rFonts w:ascii="Open Sans Light" w:hAnsi="Open Sans Light" w:cs="Open Sans Light"/>
          <w:sz w:val="24"/>
          <w:szCs w:val="24"/>
        </w:rPr>
        <w:t xml:space="preserve">zawierające analizę </w:t>
      </w:r>
      <w:r w:rsidR="001F4BAF" w:rsidRPr="00FD6187">
        <w:rPr>
          <w:rFonts w:ascii="Open Sans Light" w:hAnsi="Open Sans Light" w:cs="Open Sans Light"/>
          <w:sz w:val="24"/>
          <w:szCs w:val="24"/>
        </w:rPr>
        <w:t xml:space="preserve">ekonomiczno-finansową </w:t>
      </w:r>
      <w:r w:rsidRPr="00FD6187">
        <w:rPr>
          <w:rFonts w:ascii="Open Sans Light" w:hAnsi="Open Sans Light" w:cs="Open Sans Light"/>
          <w:sz w:val="24"/>
          <w:szCs w:val="24"/>
        </w:rPr>
        <w:t xml:space="preserve">wraz z </w:t>
      </w:r>
      <w:r w:rsidR="005C0B35" w:rsidRPr="00FD6187">
        <w:rPr>
          <w:rFonts w:ascii="Open Sans Light" w:hAnsi="Open Sans Light" w:cs="Open Sans Light"/>
          <w:sz w:val="24"/>
          <w:szCs w:val="24"/>
        </w:rPr>
        <w:t>modelem finansowym sporządzonym w</w:t>
      </w:r>
      <w:r w:rsidR="005C0B35">
        <w:rPr>
          <w:rFonts w:ascii="Open Sans Light" w:hAnsi="Open Sans Light" w:cs="Open Sans Light"/>
          <w:sz w:val="24"/>
          <w:szCs w:val="24"/>
        </w:rPr>
        <w:t xml:space="preserve"> formie </w:t>
      </w:r>
      <w:r w:rsidRPr="00987AD1">
        <w:rPr>
          <w:rFonts w:ascii="Open Sans Light" w:hAnsi="Open Sans Light" w:cs="Open Sans Light"/>
          <w:sz w:val="24"/>
          <w:szCs w:val="24"/>
        </w:rPr>
        <w:t>arkusz</w:t>
      </w:r>
      <w:r w:rsidR="005C0B35">
        <w:rPr>
          <w:rFonts w:ascii="Open Sans Light" w:hAnsi="Open Sans Light" w:cs="Open Sans Light"/>
          <w:sz w:val="24"/>
          <w:szCs w:val="24"/>
        </w:rPr>
        <w:t xml:space="preserve">a </w:t>
      </w:r>
      <w:r w:rsidRPr="00987AD1">
        <w:rPr>
          <w:rFonts w:ascii="Open Sans Light" w:hAnsi="Open Sans Light" w:cs="Open Sans Light"/>
          <w:sz w:val="24"/>
          <w:szCs w:val="24"/>
        </w:rPr>
        <w:t>kalkulacyjn</w:t>
      </w:r>
      <w:r w:rsidR="005C0B35">
        <w:rPr>
          <w:rFonts w:ascii="Open Sans Light" w:hAnsi="Open Sans Light" w:cs="Open Sans Light"/>
          <w:sz w:val="24"/>
          <w:szCs w:val="24"/>
        </w:rPr>
        <w:t>ego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</w:p>
    <w:p w14:paraId="38C8C9F8" w14:textId="1D11445D" w:rsidR="00DD34E4" w:rsidRPr="00987AD1" w:rsidRDefault="00DD34E4" w:rsidP="007E1F1C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Mapa przedstawiająca lokalizację zadania (obszar projektu) i najważniejsze jego elementy, w tym usytuowanie obiektów infrastruktury terenowej/zagospodarowanie terenu w skali umożliwiająca czytelność wraz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 xml:space="preserve">z opisem/legendą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hAnsi="Open Sans Light" w:cs="Open Sans Light"/>
          <w:sz w:val="24"/>
          <w:szCs w:val="24"/>
        </w:rPr>
        <w:t xml:space="preserve"> wymagany.</w:t>
      </w:r>
    </w:p>
    <w:p w14:paraId="3E85DB96" w14:textId="76FE6FAA" w:rsidR="00DD34E4" w:rsidRPr="00987AD1" w:rsidRDefault="00DD34E4" w:rsidP="007E1F1C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Wykres Gantta dla projektu – wymagany.</w:t>
      </w:r>
    </w:p>
    <w:p w14:paraId="3045DD7D" w14:textId="2021B15C" w:rsidR="00DD34E4" w:rsidRPr="00987AD1" w:rsidRDefault="00DD34E4" w:rsidP="007E1F1C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Zgodność z prawem ochrony środowiska - dokumentacja związana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>z przeprowadzonym postępowaniem ws. oceny oddziaływania na środowisko, zgodna z dyrektywą Parlamentu Europejskiego i Rady z dnia 27 czerwca 2001 r. nr 2001/42/WE oraz dyrektywa Parlamentu Europejskiego i Rady z dnia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>13 grudnia 2011 r. nr 2011/92/UE (ze zmianami) - wymagany;</w:t>
      </w:r>
    </w:p>
    <w:p w14:paraId="6A80AD69" w14:textId="15790B10" w:rsidR="00AF6091" w:rsidRPr="00987AD1" w:rsidRDefault="00AF6091" w:rsidP="007E1F1C">
      <w:pPr>
        <w:pStyle w:val="Akapitzlist"/>
        <w:numPr>
          <w:ilvl w:val="1"/>
          <w:numId w:val="29"/>
        </w:numPr>
        <w:tabs>
          <w:tab w:val="left" w:pos="851"/>
        </w:tabs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Deklaracja organu odpowiedzialnego za monitorowanie obszarów Natura 2000 – </w:t>
      </w:r>
      <w:r w:rsidR="00D800FE">
        <w:rPr>
          <w:rFonts w:ascii="Open Sans Light" w:hAnsi="Open Sans Light" w:cs="Open Sans Light"/>
          <w:sz w:val="24"/>
          <w:szCs w:val="24"/>
        </w:rPr>
        <w:t>wymagany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5A7483AE" w14:textId="5FAA234D" w:rsidR="00AF6091" w:rsidRPr="00987AD1" w:rsidRDefault="00AF6091" w:rsidP="007E1F1C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Deklaracja właściwego organu odpowiedzialnego za gospodarkę wodną – </w:t>
      </w:r>
      <w:r w:rsidR="00D800FE">
        <w:rPr>
          <w:rFonts w:ascii="Open Sans Light" w:hAnsi="Open Sans Light" w:cs="Open Sans Light"/>
          <w:sz w:val="24"/>
          <w:szCs w:val="24"/>
        </w:rPr>
        <w:t>wymagany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7DA86A28" w14:textId="466878DF" w:rsidR="000200EE" w:rsidRPr="00987AD1" w:rsidRDefault="0035339B" w:rsidP="007E1F1C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zgodności zakresu rzeczowego decyzji o środowiskowych uwarunkowaniach z zakresem rzeczowym projekt</w:t>
      </w:r>
      <w:r w:rsidR="009E51E1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– wymagany</w:t>
      </w:r>
    </w:p>
    <w:p w14:paraId="505F3A05" w14:textId="07C294CC" w:rsidR="0035339B" w:rsidRPr="00987AD1" w:rsidRDefault="0035339B" w:rsidP="007E1F1C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Wykaz dokumentów gromadzonych w celu potwierdzenia spełnienia zasady DNSH w całym cyklu życia projektu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</w:p>
    <w:p w14:paraId="6C1DA0F2" w14:textId="1D192D8C" w:rsidR="0035339B" w:rsidRPr="00987AD1" w:rsidRDefault="0035339B" w:rsidP="007E1F1C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Decyzja o środowiskowych uwarunkowaniach dla projektu lub postanowienie o braku konieczności wydania ww. decyzji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F90899">
        <w:rPr>
          <w:rFonts w:ascii="Open Sans Light" w:hAnsi="Open Sans Light" w:cs="Open Sans Light"/>
          <w:sz w:val="24"/>
          <w:szCs w:val="24"/>
        </w:rPr>
        <w:t xml:space="preserve"> </w:t>
      </w:r>
      <w:r w:rsidR="00D800FE">
        <w:rPr>
          <w:rFonts w:ascii="Open Sans Light" w:hAnsi="Open Sans Light" w:cs="Open Sans Light"/>
          <w:sz w:val="24"/>
          <w:szCs w:val="24"/>
        </w:rPr>
        <w:t>wymagany</w:t>
      </w:r>
    </w:p>
    <w:p w14:paraId="0A59D150" w14:textId="04F7723E" w:rsidR="00DD34E4" w:rsidRPr="00987AD1" w:rsidRDefault="00DD34E4" w:rsidP="007E1F1C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lastRenderedPageBreak/>
        <w:t>Działania informacyjno-promocyjne</w:t>
      </w:r>
      <w:r w:rsidR="0035339B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35339B"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</w:p>
    <w:p w14:paraId="687553E3" w14:textId="1830A235" w:rsidR="004A2C35" w:rsidRPr="00987AD1" w:rsidRDefault="00183A7B" w:rsidP="007E1F1C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Dokumenty potwierdzające status prawny </w:t>
      </w:r>
      <w:r w:rsidR="00BF5941" w:rsidRPr="00987AD1">
        <w:rPr>
          <w:rFonts w:ascii="Open Sans Light" w:hAnsi="Open Sans Light" w:cs="Open Sans Light"/>
          <w:sz w:val="24"/>
          <w:szCs w:val="24"/>
        </w:rPr>
        <w:t>w</w:t>
      </w:r>
      <w:r w:rsidRPr="00987AD1">
        <w:rPr>
          <w:rFonts w:ascii="Open Sans Light" w:hAnsi="Open Sans Light" w:cs="Open Sans Light"/>
          <w:sz w:val="24"/>
          <w:szCs w:val="24"/>
        </w:rPr>
        <w:t>nioskodawcy (np. statut, umowa spółki</w:t>
      </w:r>
      <w:r w:rsidR="005C0B35">
        <w:rPr>
          <w:rFonts w:ascii="Open Sans Light" w:hAnsi="Open Sans Light" w:cs="Open Sans Light"/>
          <w:sz w:val="24"/>
          <w:szCs w:val="24"/>
        </w:rPr>
        <w:t>,</w:t>
      </w:r>
      <w:r w:rsidRPr="00987AD1">
        <w:rPr>
          <w:rFonts w:ascii="Open Sans Light" w:hAnsi="Open Sans Light" w:cs="Open Sans Light"/>
          <w:sz w:val="24"/>
          <w:szCs w:val="24"/>
        </w:rPr>
        <w:t xml:space="preserve"> itp.) właściwe dla danej formy prawnej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wymagany</w:t>
      </w:r>
      <w:r w:rsidR="002A5FA0" w:rsidRPr="00987AD1">
        <w:rPr>
          <w:rFonts w:ascii="Open Sans Light" w:hAnsi="Open Sans Light" w:cs="Open Sans Light"/>
          <w:sz w:val="24"/>
          <w:szCs w:val="24"/>
        </w:rPr>
        <w:t xml:space="preserve">. </w:t>
      </w:r>
    </w:p>
    <w:p w14:paraId="06A13E59" w14:textId="69F50EE7" w:rsidR="008F7874" w:rsidRPr="00987AD1" w:rsidRDefault="00183A7B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Dokumenty potwierdzające umocowanie 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osób uprawionych do reprezentowania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(np. uchwały odpowiednich organów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w przedmiocie wyboru osób uprawionych do reprezentowania </w:t>
      </w:r>
      <w:r w:rsidR="00E47D23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>nioskodawcy</w:t>
      </w:r>
      <w:r w:rsidR="0098635D" w:rsidRPr="00987AD1">
        <w:rPr>
          <w:rFonts w:ascii="Open Sans Light" w:hAnsi="Open Sans Light" w:cs="Open Sans Light"/>
          <w:color w:val="000000"/>
          <w:sz w:val="24"/>
          <w:szCs w:val="24"/>
        </w:rPr>
        <w:t>)</w:t>
      </w:r>
      <w:r w:rsidR="00BB7FB5"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</w:t>
      </w:r>
      <w:r w:rsidR="005C0B35">
        <w:rPr>
          <w:rFonts w:ascii="Open Sans Light" w:hAnsi="Open Sans Light" w:cs="Open Sans Light"/>
          <w:color w:val="000000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wymagany</w:t>
      </w:r>
      <w:r w:rsidR="004A2C35" w:rsidRPr="00987AD1">
        <w:rPr>
          <w:rFonts w:ascii="Open Sans Light" w:hAnsi="Open Sans Light" w:cs="Open Sans Light"/>
          <w:color w:val="000000"/>
          <w:sz w:val="24"/>
          <w:szCs w:val="24"/>
        </w:rPr>
        <w:t>.</w:t>
      </w:r>
    </w:p>
    <w:p w14:paraId="53D3CFE1" w14:textId="794992D9" w:rsidR="006C6EF7" w:rsidRPr="00987AD1" w:rsidRDefault="00183A7B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Upoważnienie</w:t>
      </w:r>
      <w:r w:rsidR="002A5FA0" w:rsidRPr="00987AD1">
        <w:rPr>
          <w:rFonts w:ascii="Open Sans Light" w:hAnsi="Open Sans Light" w:cs="Open Sans Light"/>
          <w:sz w:val="24"/>
          <w:szCs w:val="24"/>
        </w:rPr>
        <w:t>/pełnomocnictwo</w:t>
      </w:r>
      <w:r w:rsidRPr="00987AD1">
        <w:rPr>
          <w:rFonts w:ascii="Open Sans Light" w:hAnsi="Open Sans Light" w:cs="Open Sans Light"/>
          <w:sz w:val="24"/>
          <w:szCs w:val="24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5C0B35">
        <w:rPr>
          <w:rFonts w:ascii="Open Sans Light" w:hAnsi="Open Sans Light" w:cs="Open Sans Light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opcjonalny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A8582A3" w14:textId="5AD726A9" w:rsidR="008021B6" w:rsidRPr="00987AD1" w:rsidRDefault="00183A7B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Uchwała Rady Gminy lub organu założycielskiego (dla jednostek innych niż gmina</w:t>
      </w:r>
      <w:r w:rsidR="00E01835" w:rsidRPr="00987AD1">
        <w:rPr>
          <w:rFonts w:ascii="Open Sans Light" w:hAnsi="Open Sans Light" w:cs="Open Sans Light"/>
          <w:sz w:val="24"/>
          <w:szCs w:val="24"/>
        </w:rPr>
        <w:t xml:space="preserve"> i związek gmin</w:t>
      </w:r>
      <w:r w:rsidRPr="00987AD1">
        <w:rPr>
          <w:rFonts w:ascii="Open Sans Light" w:hAnsi="Open Sans Light" w:cs="Open Sans Light"/>
          <w:sz w:val="24"/>
          <w:szCs w:val="24"/>
        </w:rPr>
        <w:t>) upoważniająca do złożenia wniosku o dofinansowanie oraz przyjęci</w:t>
      </w:r>
      <w:r w:rsidR="00E47D23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projektu do realizacji</w:t>
      </w:r>
      <w:r w:rsidR="007C20D7">
        <w:rPr>
          <w:rFonts w:ascii="Open Sans Light" w:hAnsi="Open Sans Light" w:cs="Open Sans Light"/>
          <w:sz w:val="24"/>
          <w:szCs w:val="24"/>
        </w:rPr>
        <w:t>, lub statut jednostki zawierający upoważnienie do działania w ww. zakresie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98635D" w:rsidRPr="00987AD1">
        <w:rPr>
          <w:rFonts w:ascii="Open Sans Light" w:hAnsi="Open Sans Light" w:cs="Open Sans Light"/>
          <w:sz w:val="24"/>
          <w:szCs w:val="24"/>
        </w:rPr>
        <w:t>wymagany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E68B9B8" w14:textId="36AF34E9" w:rsidR="0029501E" w:rsidRPr="00987AD1" w:rsidRDefault="00467B31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Porozumienie zawarte pomiędzy wnioskodawcą a podmiotem, który </w:t>
      </w:r>
      <w:r w:rsidR="005C0B35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został 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upoważniony do ponoszenia wydatków kwalifikowanych </w:t>
      </w:r>
      <w:r w:rsidR="00F90899" w:rsidRPr="00F90899">
        <w:rPr>
          <w:rFonts w:ascii="Open Sans Light" w:eastAsia="Times New Roman" w:hAnsi="Open Sans Light" w:cs="Open Sans Light"/>
          <w:sz w:val="24"/>
          <w:szCs w:val="24"/>
          <w:lang w:eastAsia="pl-PL"/>
        </w:rPr>
        <w:t>–</w:t>
      </w:r>
      <w:r w:rsidR="00BB7FB5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opcjonalny</w:t>
      </w:r>
      <w:r w:rsidR="00183A7B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F90382F" w14:textId="27BF5169" w:rsidR="00AE1AF1" w:rsidRPr="00987AD1" w:rsidRDefault="00AE1AF1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Oświadczenie </w:t>
      </w:r>
      <w:r w:rsidR="0035339B" w:rsidRPr="00987AD1">
        <w:rPr>
          <w:rFonts w:ascii="Open Sans Light" w:hAnsi="Open Sans Light" w:cs="Open Sans Light"/>
          <w:sz w:val="24"/>
          <w:szCs w:val="24"/>
        </w:rPr>
        <w:t>dotyczące źródeł finansowania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wymagany.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75D0CB59" w14:textId="10C2A841" w:rsidR="00551FDD" w:rsidRPr="00987AD1" w:rsidRDefault="0053715A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posiadaniu prawa do dysponowania nieruchomości</w:t>
      </w:r>
      <w:r w:rsidR="00796B8A" w:rsidRPr="00987AD1">
        <w:rPr>
          <w:rFonts w:ascii="Open Sans Light" w:hAnsi="Open Sans Light" w:cs="Open Sans Light"/>
          <w:sz w:val="24"/>
          <w:szCs w:val="24"/>
        </w:rPr>
        <w:t>ą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="00F90899" w:rsidRPr="00F90899">
        <w:rPr>
          <w:rFonts w:ascii="Open Sans Light" w:hAnsi="Open Sans Light" w:cs="Open Sans Light"/>
          <w:sz w:val="24"/>
          <w:szCs w:val="24"/>
        </w:rPr>
        <w:t>–</w:t>
      </w:r>
      <w:r w:rsidR="00D735F8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 xml:space="preserve"> 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551FDD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>.</w:t>
      </w:r>
    </w:p>
    <w:p w14:paraId="4C90D4BF" w14:textId="16BD8707" w:rsidR="00AE1AF1" w:rsidRPr="00987AD1" w:rsidRDefault="00AE1AF1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prawomocnych decyzji lokalizacyjnych (Warunki zabudowy</w:t>
      </w:r>
      <w:r w:rsidR="00F90899">
        <w:rPr>
          <w:rFonts w:ascii="Open Sans Light" w:hAnsi="Open Sans Light" w:cs="Open Sans Light"/>
          <w:sz w:val="24"/>
          <w:szCs w:val="24"/>
        </w:rPr>
        <w:br/>
      </w:r>
      <w:r w:rsidRPr="00987AD1">
        <w:rPr>
          <w:rFonts w:ascii="Open Sans Light" w:hAnsi="Open Sans Light" w:cs="Open Sans Light"/>
          <w:sz w:val="24"/>
          <w:szCs w:val="24"/>
        </w:rPr>
        <w:t>i zagospodarowania terenu/Ustalenie lokalizacji inwestycji celu publicznego) lub uchwał zatwierdzających miejscowe plany zagospodarowania przestrzennego dla wszystkich zadań objętych projektem, dla których jest to wymagane – wymagany.</w:t>
      </w:r>
    </w:p>
    <w:p w14:paraId="23813CE2" w14:textId="224099FF" w:rsidR="00AE1AF1" w:rsidRPr="00987AD1" w:rsidRDefault="00AE1AF1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zadań wymagających pozwolenia na budowę lub zgłoszeń zamiaru rozpoczęcia budowy/wykonania robót budowlanych niewymagających pozwolenia na budowę dla wszystkich zadań objętych projektem, dla których jest to wymagane – wymagany.</w:t>
      </w:r>
    </w:p>
    <w:p w14:paraId="6458FB1A" w14:textId="5F83EC92" w:rsidR="00394E1F" w:rsidRPr="00987AD1" w:rsidRDefault="00394E1F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dotyczące SIWZ – wymagany.</w:t>
      </w:r>
    </w:p>
    <w:p w14:paraId="04CC1B81" w14:textId="7FF1E0F8" w:rsidR="00E60B91" w:rsidRPr="00987AD1" w:rsidRDefault="001935C4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Oświadczenie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o zachowaniu form komunikacji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</w:t>
      </w:r>
      <w:r w:rsidR="00F90899" w:rsidRPr="00F90899">
        <w:rPr>
          <w:rFonts w:ascii="Open Sans Light" w:eastAsia="Times New Roman" w:hAnsi="Open Sans Light" w:cs="Open Sans Light"/>
          <w:sz w:val="24"/>
          <w:szCs w:val="24"/>
          <w:lang w:eastAsia="pl-PL"/>
        </w:rPr>
        <w:t>–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39D2BC60" w14:textId="7D508A98" w:rsidR="00E60B91" w:rsidRPr="00987AD1" w:rsidRDefault="0023048D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bCs/>
          <w:sz w:val="24"/>
          <w:szCs w:val="24"/>
        </w:rPr>
        <w:t xml:space="preserve">Procedury dla wnioskodawców dla zadań poza PZP </w:t>
      </w:r>
      <w:r w:rsidR="00744DB3" w:rsidRPr="00987AD1">
        <w:rPr>
          <w:rFonts w:ascii="Open Sans Light" w:hAnsi="Open Sans Light" w:cs="Open Sans Light"/>
          <w:bCs/>
          <w:sz w:val="24"/>
          <w:szCs w:val="24"/>
        </w:rPr>
        <w:t>–</w:t>
      </w:r>
      <w:r w:rsidR="00F90899">
        <w:rPr>
          <w:rFonts w:ascii="Open Sans Light" w:hAnsi="Open Sans Light" w:cs="Open Sans Light"/>
          <w:bCs/>
          <w:sz w:val="24"/>
          <w:szCs w:val="24"/>
        </w:rPr>
        <w:t xml:space="preserve"> </w:t>
      </w:r>
      <w:r w:rsidR="00744DB3" w:rsidRPr="00987AD1">
        <w:rPr>
          <w:rFonts w:ascii="Open Sans Light" w:hAnsi="Open Sans Light" w:cs="Open Sans Light"/>
          <w:bCs/>
          <w:sz w:val="24"/>
          <w:szCs w:val="24"/>
        </w:rPr>
        <w:t>wymagany</w:t>
      </w:r>
      <w:r w:rsidR="00586813" w:rsidRPr="00987AD1">
        <w:rPr>
          <w:rFonts w:ascii="Open Sans Light" w:hAnsi="Open Sans Light" w:cs="Open Sans Light"/>
          <w:bCs/>
          <w:sz w:val="24"/>
          <w:szCs w:val="24"/>
        </w:rPr>
        <w:t>.</w:t>
      </w:r>
    </w:p>
    <w:p w14:paraId="5818DA65" w14:textId="15E1D6D7" w:rsidR="00E60B91" w:rsidRPr="00987AD1" w:rsidRDefault="0010398F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Style w:val="font-weight-bold"/>
          <w:rFonts w:ascii="Open Sans Light" w:hAnsi="Open Sans Light" w:cs="Open Sans Light"/>
          <w:sz w:val="24"/>
          <w:szCs w:val="24"/>
        </w:rPr>
        <w:t>Oświadczenia wnioskodawcy</w:t>
      </w:r>
      <w:r w:rsidR="00BF453F" w:rsidRPr="00987AD1">
        <w:rPr>
          <w:rStyle w:val="font-weight-bold"/>
          <w:rFonts w:ascii="Open Sans Light" w:hAnsi="Open Sans Light" w:cs="Open Sans Light"/>
          <w:sz w:val="24"/>
          <w:szCs w:val="24"/>
        </w:rPr>
        <w:t xml:space="preserve"> </w:t>
      </w:r>
      <w:r w:rsidR="00F90899" w:rsidRPr="00F90899">
        <w:rPr>
          <w:rStyle w:val="font-weight-bold"/>
          <w:rFonts w:ascii="Open Sans Light" w:hAnsi="Open Sans Light" w:cs="Open Sans Light"/>
          <w:sz w:val="24"/>
          <w:szCs w:val="24"/>
        </w:rPr>
        <w:t>–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6A504AF1" w14:textId="18152392" w:rsidR="00BB6C72" w:rsidRDefault="00BB6C72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Wzór klauzul</w:t>
      </w:r>
      <w:r w:rsidR="00AE756D" w:rsidRPr="00987AD1">
        <w:rPr>
          <w:rStyle w:val="markedcontent"/>
          <w:rFonts w:ascii="Open Sans Light" w:hAnsi="Open Sans Light" w:cs="Open Sans Light"/>
          <w:sz w:val="24"/>
          <w:szCs w:val="24"/>
        </w:rPr>
        <w:t>i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informacyjnej – wymagany.</w:t>
      </w:r>
    </w:p>
    <w:p w14:paraId="04144AE6" w14:textId="072829CE" w:rsidR="00D60023" w:rsidRPr="00D60023" w:rsidRDefault="00D60023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>Załącznik dotyczący pomocy publicznej lub pomocy de minimis – wymagany.</w:t>
      </w:r>
    </w:p>
    <w:p w14:paraId="3B4DC505" w14:textId="7A8D9DEA" w:rsidR="00D60023" w:rsidRDefault="00D60023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 xml:space="preserve">Dokumenty potwierdzające dopuszczalność pomocy publicznej lub pomocy de minimis </w:t>
      </w:r>
      <w:r w:rsidR="005C0B35">
        <w:rPr>
          <w:rStyle w:val="markedcontent"/>
          <w:rFonts w:ascii="Open Sans Light" w:hAnsi="Open Sans Light" w:cs="Open Sans Light"/>
          <w:sz w:val="24"/>
          <w:szCs w:val="24"/>
        </w:rPr>
        <w:t>–</w:t>
      </w:r>
      <w:r w:rsidRPr="00D60023">
        <w:rPr>
          <w:rStyle w:val="markedcontent"/>
          <w:rFonts w:ascii="Open Sans Light" w:hAnsi="Open Sans Light" w:cs="Open Sans Light"/>
          <w:sz w:val="24"/>
          <w:szCs w:val="24"/>
        </w:rPr>
        <w:t xml:space="preserve"> opcjonalny</w:t>
      </w:r>
    </w:p>
    <w:p w14:paraId="765889AB" w14:textId="4ABF4B70" w:rsidR="00970632" w:rsidRDefault="00970632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>
        <w:rPr>
          <w:rStyle w:val="markedcontent"/>
          <w:rFonts w:ascii="Open Sans Light" w:hAnsi="Open Sans Light" w:cs="Open Sans Light"/>
          <w:sz w:val="24"/>
          <w:szCs w:val="24"/>
        </w:rPr>
        <w:lastRenderedPageBreak/>
        <w:t xml:space="preserve"> Dokumenty potwierdzające wartość gruntu przed i po rekultywacji (operat szacunkowy, umowa zakupu), w przypadku wystąpienia pomocy na rekultywację </w:t>
      </w:r>
      <w:r w:rsidR="00764726">
        <w:rPr>
          <w:rStyle w:val="markedcontent"/>
          <w:rFonts w:ascii="Open Sans Light" w:hAnsi="Open Sans Light" w:cs="Open Sans Light"/>
          <w:sz w:val="24"/>
          <w:szCs w:val="24"/>
        </w:rPr>
        <w:t>–</w:t>
      </w:r>
      <w:r>
        <w:rPr>
          <w:rStyle w:val="markedcontent"/>
          <w:rFonts w:ascii="Open Sans Light" w:hAnsi="Open Sans Light" w:cs="Open Sans Light"/>
          <w:sz w:val="24"/>
          <w:szCs w:val="24"/>
        </w:rPr>
        <w:t xml:space="preserve"> opcjonalny</w:t>
      </w:r>
    </w:p>
    <w:p w14:paraId="145D0703" w14:textId="5F5D19D9" w:rsidR="00764726" w:rsidRPr="00D60023" w:rsidRDefault="00764726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>
        <w:rPr>
          <w:rStyle w:val="markedcontent"/>
          <w:rFonts w:ascii="Open Sans Light" w:hAnsi="Open Sans Light" w:cs="Open Sans Light"/>
          <w:sz w:val="24"/>
          <w:szCs w:val="24"/>
        </w:rPr>
        <w:t>Oświadczenie o kwalifikowalności VAT - opcjonalny</w:t>
      </w:r>
    </w:p>
    <w:p w14:paraId="5C2E646B" w14:textId="5FE6BA1E" w:rsidR="00094932" w:rsidRPr="00987AD1" w:rsidRDefault="00B15B66" w:rsidP="007E1F1C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Inne dokumenty, uznane za konieczne do złożenia przez wnioskodawcę</w:t>
      </w:r>
      <w:r w:rsidR="00F90899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br/>
      </w:r>
      <w:r w:rsidR="00F90899" w:rsidRPr="00F90899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–</w:t>
      </w:r>
      <w:r w:rsidR="00DE2DD6" w:rsidRPr="00987AD1">
        <w:rPr>
          <w:rFonts w:ascii="Open Sans Light" w:hAnsi="Open Sans Light" w:cs="Open Sans Light"/>
          <w:bCs/>
          <w:sz w:val="24"/>
          <w:szCs w:val="24"/>
        </w:rPr>
        <w:t xml:space="preserve"> opcjonalny</w:t>
      </w: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.</w:t>
      </w:r>
    </w:p>
    <w:p w14:paraId="5D4B4AFE" w14:textId="77777777" w:rsidR="00E47EB1" w:rsidRPr="00987AD1" w:rsidRDefault="00E47EB1" w:rsidP="007E1F1C">
      <w:p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</w:p>
    <w:p w14:paraId="19080F52" w14:textId="77777777" w:rsidR="00E47EB1" w:rsidRPr="00987AD1" w:rsidRDefault="00E47EB1" w:rsidP="007E1F1C">
      <w:pPr>
        <w:spacing w:after="0" w:line="276" w:lineRule="auto"/>
        <w:jc w:val="both"/>
        <w:rPr>
          <w:rFonts w:ascii="Open Sans Light" w:hAnsi="Open Sans Light" w:cs="Open Sans Light"/>
          <w:b/>
          <w:sz w:val="24"/>
          <w:szCs w:val="24"/>
        </w:rPr>
      </w:pPr>
    </w:p>
    <w:p w14:paraId="26CF020E" w14:textId="2C88D960" w:rsidR="009F03DF" w:rsidRPr="00987AD1" w:rsidRDefault="002021CD" w:rsidP="007E1F1C">
      <w:pPr>
        <w:spacing w:after="0" w:line="276" w:lineRule="auto"/>
        <w:jc w:val="both"/>
        <w:rPr>
          <w:rFonts w:ascii="Open Sans Light" w:hAnsi="Open Sans Light" w:cs="Open Sans Light"/>
          <w:b/>
          <w:sz w:val="24"/>
          <w:szCs w:val="24"/>
        </w:rPr>
      </w:pPr>
      <w:r w:rsidRPr="00987AD1">
        <w:rPr>
          <w:rFonts w:ascii="Open Sans Light" w:hAnsi="Open Sans Light" w:cs="Open Sans Light"/>
          <w:b/>
          <w:sz w:val="24"/>
          <w:szCs w:val="24"/>
        </w:rPr>
        <w:t>UWAGI:</w:t>
      </w:r>
    </w:p>
    <w:p w14:paraId="6C05B690" w14:textId="17A394D4" w:rsidR="00357143" w:rsidRPr="00987AD1" w:rsidRDefault="00FB6ECC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Style w:val="Odwoaniedokomentarza"/>
          <w:rFonts w:ascii="Open Sans Light" w:eastAsia="Calibri" w:hAnsi="Open Sans Light" w:cs="Open Sans Light"/>
          <w:sz w:val="24"/>
          <w:szCs w:val="24"/>
        </w:rPr>
        <w:t>W</w:t>
      </w:r>
      <w:r w:rsidR="00357143" w:rsidRPr="00987AD1">
        <w:rPr>
          <w:rFonts w:ascii="Open Sans Light" w:hAnsi="Open Sans Light" w:cs="Open Sans Light"/>
          <w:sz w:val="24"/>
          <w:szCs w:val="24"/>
        </w:rPr>
        <w:t>ielkość pojedynczego załącz</w:t>
      </w:r>
      <w:r w:rsidR="000327C9" w:rsidRPr="00987AD1">
        <w:rPr>
          <w:rFonts w:ascii="Open Sans Light" w:hAnsi="Open Sans Light" w:cs="Open Sans Light"/>
          <w:sz w:val="24"/>
          <w:szCs w:val="24"/>
        </w:rPr>
        <w:t>nika nie może przekraczać 25 MB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239906C" w14:textId="79913DFD" w:rsidR="00357143" w:rsidRPr="00987AD1" w:rsidRDefault="00357143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Dopuszcza się składanie załączników w formie</w:t>
      </w:r>
      <w:r w:rsidR="000327C9" w:rsidRPr="00987AD1">
        <w:rPr>
          <w:rFonts w:ascii="Open Sans Light" w:hAnsi="Open Sans Light" w:cs="Open Sans Light"/>
          <w:sz w:val="24"/>
          <w:szCs w:val="24"/>
        </w:rPr>
        <w:t xml:space="preserve"> skompresowanej (zip, rar, 7z…)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5665E77" w14:textId="370C16C2" w:rsidR="00357143" w:rsidRPr="00987AD1" w:rsidRDefault="00357143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Tabele/modele finansowe </w:t>
      </w:r>
      <w:r w:rsidR="008B6501" w:rsidRPr="00987AD1">
        <w:rPr>
          <w:rFonts w:ascii="Open Sans Light" w:hAnsi="Open Sans Light" w:cs="Open Sans Light"/>
          <w:sz w:val="24"/>
          <w:szCs w:val="24"/>
        </w:rPr>
        <w:t>po</w:t>
      </w:r>
      <w:r w:rsidRPr="00987AD1">
        <w:rPr>
          <w:rFonts w:ascii="Open Sans Light" w:hAnsi="Open Sans Light" w:cs="Open Sans Light"/>
          <w:sz w:val="24"/>
          <w:szCs w:val="24"/>
        </w:rPr>
        <w:t xml:space="preserve">winny być </w:t>
      </w:r>
      <w:r w:rsidR="008B6501" w:rsidRPr="00987AD1">
        <w:rPr>
          <w:rFonts w:ascii="Open Sans Light" w:hAnsi="Open Sans Light" w:cs="Open Sans Light"/>
          <w:sz w:val="24"/>
          <w:szCs w:val="24"/>
        </w:rPr>
        <w:t xml:space="preserve">zapisane w </w:t>
      </w:r>
      <w:r w:rsidRPr="00987AD1">
        <w:rPr>
          <w:rFonts w:ascii="Open Sans Light" w:hAnsi="Open Sans Light" w:cs="Open Sans Light"/>
          <w:sz w:val="24"/>
          <w:szCs w:val="24"/>
        </w:rPr>
        <w:t xml:space="preserve">formacie xls, xlsx lub xlsm (arkusze kalkulacyjne muszą mieć odblokowane formuły, aby można było prześledzić </w:t>
      </w:r>
      <w:r w:rsidR="000327C9" w:rsidRPr="00987AD1">
        <w:rPr>
          <w:rFonts w:ascii="Open Sans Light" w:hAnsi="Open Sans Light" w:cs="Open Sans Light"/>
          <w:sz w:val="24"/>
          <w:szCs w:val="24"/>
        </w:rPr>
        <w:t>poprawność dokonanych wyliczeń)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342F644" w14:textId="380857C4" w:rsidR="00357143" w:rsidRPr="00987AD1" w:rsidRDefault="00357143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Nazwy plików powinny wskazywać na ich zawartość i ni</w:t>
      </w:r>
      <w:r w:rsidR="000327C9" w:rsidRPr="00987AD1">
        <w:rPr>
          <w:rFonts w:ascii="Open Sans Light" w:hAnsi="Open Sans Light" w:cs="Open Sans Light"/>
          <w:sz w:val="24"/>
          <w:szCs w:val="24"/>
        </w:rPr>
        <w:t>e mogą zawierać polskich znaków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1E9F75D" w14:textId="0C08F58E" w:rsidR="00357143" w:rsidRPr="00987AD1" w:rsidRDefault="005A67A4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bookmarkStart w:id="0" w:name="_Hlk135825350"/>
      <w:r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 xml:space="preserve">Oświadczenia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stanowiące załączniki do wniosku muszą zostać podpisane elektronicznym podpisem</w:t>
      </w:r>
      <w:r w:rsidR="00357143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kwalifikowanym</w:t>
      </w:r>
      <w:bookmarkEnd w:id="0"/>
      <w:r w:rsidR="00327C1F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.</w:t>
      </w:r>
    </w:p>
    <w:p w14:paraId="1EEADD67" w14:textId="4F1B0ABA" w:rsidR="00FB6ECC" w:rsidRPr="00987AD1" w:rsidRDefault="00FB6ECC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  <w:u w:val="single"/>
        </w:rPr>
      </w:pP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Jeśli załącznik został opracował wg załączonego wzoru (a nie jest 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o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świadczeniem),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należy go również podpisać </w:t>
      </w:r>
      <w:r w:rsidR="007B1448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elektronicznym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podpisem kwalifikowanym</w:t>
      </w:r>
      <w:r w:rsidR="00327C1F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.</w:t>
      </w:r>
    </w:p>
    <w:p w14:paraId="614F8FB5" w14:textId="65D1E48B" w:rsidR="00357143" w:rsidRPr="00987AD1" w:rsidRDefault="00357143" w:rsidP="007E1F1C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Kopie dokumentów, które stanowią załącznik do wniosku, muszą być poświadczone za zgodność z oryginałem i podpisane elektro</w:t>
      </w:r>
      <w:r w:rsidR="000327C9" w:rsidRPr="00987AD1">
        <w:rPr>
          <w:rFonts w:ascii="Open Sans Light" w:hAnsi="Open Sans Light" w:cs="Open Sans Light"/>
          <w:sz w:val="24"/>
          <w:szCs w:val="24"/>
        </w:rPr>
        <w:t>nicznym podpisem kwalifikowanym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1CF5C8DB" w14:textId="0A20A4CF" w:rsidR="00DF359B" w:rsidRPr="00987AD1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215F57C4" w14:textId="61B6C761" w:rsidR="00DF359B" w:rsidRPr="00987AD1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C0BB186" w14:textId="27A640FE" w:rsidR="00DF359B" w:rsidRPr="00987AD1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018058C" w14:textId="2499AB52" w:rsidR="00DF359B" w:rsidRPr="00987AD1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64E2C00" w14:textId="6FFAD337" w:rsidR="00DF359B" w:rsidRPr="00987AD1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0485CF4F" w14:textId="1C6EB396" w:rsidR="00DF359B" w:rsidRPr="00987AD1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5DEC4992" w14:textId="4CCF5C33" w:rsidR="00DF359B" w:rsidRPr="00987AD1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4A10FB86" w14:textId="088E2C35" w:rsidR="00DF359B" w:rsidRPr="00987AD1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5142AFA4" w14:textId="0658FDE0" w:rsidR="00DF359B" w:rsidRPr="00987AD1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1F101EF1" w14:textId="487FCF9A" w:rsidR="00DF359B" w:rsidRPr="00987AD1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A4C2ECB" w14:textId="07AC1883" w:rsidR="00DF359B" w:rsidRPr="00987AD1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7035093E" w14:textId="3DB07D72" w:rsidR="00DF359B" w:rsidRPr="00987AD1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6C943E0" w14:textId="623DAA76" w:rsidR="00DF359B" w:rsidRPr="00987AD1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72C152A5" w14:textId="7D8C85B7" w:rsidR="00DF359B" w:rsidRPr="00987AD1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78F66DA" w14:textId="77777777" w:rsidR="00987AD1" w:rsidRPr="00987AD1" w:rsidRDefault="00987AD1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BD4AC34" w14:textId="77777777" w:rsidR="00DF359B" w:rsidRPr="00987AD1" w:rsidRDefault="00DF359B" w:rsidP="007E1F1C">
      <w:pPr>
        <w:spacing w:line="276" w:lineRule="auto"/>
        <w:jc w:val="both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01F6BC7F" wp14:editId="1665DE38">
            <wp:extent cx="5760720" cy="601694"/>
            <wp:effectExtent l="0" t="0" r="0" b="0"/>
            <wp:docPr id="2" name="Obraz 2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DF27ED" w14:textId="77777777" w:rsidR="00DF359B" w:rsidRPr="00987AD1" w:rsidRDefault="00DF359B" w:rsidP="007E1F1C">
      <w:pPr>
        <w:spacing w:line="276" w:lineRule="auto"/>
        <w:jc w:val="both"/>
        <w:rPr>
          <w:rFonts w:ascii="Open Sans Light" w:hAnsi="Open Sans Light" w:cs="Open Sans Light"/>
        </w:rPr>
      </w:pPr>
    </w:p>
    <w:p w14:paraId="0EA441CE" w14:textId="77777777" w:rsidR="00D641DC" w:rsidRDefault="00DF359B" w:rsidP="007E1F1C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Zakres studium wykonalności</w:t>
      </w:r>
    </w:p>
    <w:p w14:paraId="335F989D" w14:textId="77777777" w:rsidR="005C0B35" w:rsidRPr="00CD4028" w:rsidRDefault="005C0B35" w:rsidP="007E1F1C">
      <w:pPr>
        <w:pStyle w:val="Nagwek1"/>
        <w:spacing w:line="276" w:lineRule="auto"/>
        <w:rPr>
          <w:rFonts w:ascii="Open Sans Light" w:eastAsiaTheme="minorHAnsi" w:hAnsi="Open Sans Light" w:cs="Open Sans Light"/>
          <w:b/>
          <w:color w:val="auto"/>
          <w:sz w:val="24"/>
          <w:szCs w:val="24"/>
        </w:rPr>
      </w:pPr>
      <w:r w:rsidRPr="00CD4028">
        <w:rPr>
          <w:rFonts w:ascii="Open Sans Light" w:eastAsiaTheme="minorHAnsi" w:hAnsi="Open Sans Light" w:cs="Open Sans Light"/>
          <w:b/>
          <w:color w:val="auto"/>
          <w:sz w:val="24"/>
          <w:szCs w:val="24"/>
        </w:rPr>
        <w:t>Działanie FENX.01.05. Ochrona przyrody i rozwój zielonej infrastruktury</w:t>
      </w:r>
    </w:p>
    <w:p w14:paraId="6EE4129B" w14:textId="77777777" w:rsidR="005C0B35" w:rsidRDefault="005C0B35" w:rsidP="007E1F1C">
      <w:pPr>
        <w:spacing w:line="276" w:lineRule="auto"/>
        <w:rPr>
          <w:rFonts w:ascii="Open Sans Light" w:hAnsi="Open Sans Light" w:cs="Open Sans Light"/>
          <w:b/>
          <w:sz w:val="24"/>
          <w:szCs w:val="24"/>
        </w:rPr>
      </w:pPr>
      <w:r w:rsidRPr="00CD4028">
        <w:rPr>
          <w:rFonts w:ascii="Open Sans Light" w:hAnsi="Open Sans Light" w:cs="Open Sans Light"/>
          <w:b/>
          <w:sz w:val="24"/>
          <w:szCs w:val="24"/>
        </w:rPr>
        <w:t>Typ projektu: Rekultywacja i remediacja terenów zdegradowanych działalnością gospodarczą</w:t>
      </w:r>
    </w:p>
    <w:p w14:paraId="4ECA9651" w14:textId="77777777" w:rsidR="007E1F1C" w:rsidRPr="00CD4028" w:rsidRDefault="007E1F1C" w:rsidP="007E1F1C">
      <w:pPr>
        <w:spacing w:line="276" w:lineRule="auto"/>
        <w:rPr>
          <w:rFonts w:ascii="Open Sans Light" w:hAnsi="Open Sans Light" w:cs="Open Sans Light"/>
          <w:b/>
          <w:sz w:val="24"/>
          <w:szCs w:val="24"/>
        </w:rPr>
      </w:pPr>
    </w:p>
    <w:p w14:paraId="79324A58" w14:textId="27A685BB" w:rsidR="00D800FE" w:rsidRPr="007E1F1C" w:rsidRDefault="00D800FE" w:rsidP="007E1F1C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Open Sans Light" w:hAnsi="Open Sans Light" w:cs="Open Sans Light"/>
          <w:b/>
          <w:sz w:val="24"/>
          <w:szCs w:val="24"/>
        </w:rPr>
      </w:pPr>
      <w:r w:rsidRPr="00CD4028">
        <w:rPr>
          <w:rFonts w:ascii="Open Sans Light" w:hAnsi="Open Sans Light" w:cs="Open Sans Light"/>
          <w:b/>
          <w:sz w:val="24"/>
          <w:szCs w:val="24"/>
        </w:rPr>
        <w:t xml:space="preserve">Opis </w:t>
      </w:r>
      <w:r w:rsidRPr="007E1F1C">
        <w:rPr>
          <w:rFonts w:ascii="Open Sans Light" w:hAnsi="Open Sans Light" w:cs="Open Sans Light"/>
          <w:b/>
          <w:sz w:val="24"/>
          <w:szCs w:val="24"/>
        </w:rPr>
        <w:t>projektu</w:t>
      </w:r>
    </w:p>
    <w:p w14:paraId="195B1698" w14:textId="3A651AE5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Lokalizacja przedsięwzięcia</w:t>
      </w:r>
    </w:p>
    <w:p w14:paraId="567E8C2D" w14:textId="53C5935D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Opis lokalizacji przedsięwzięcia,</w:t>
      </w:r>
    </w:p>
    <w:p w14:paraId="4FD474B6" w14:textId="5DB33E42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Dostępność terenów pod inwestycje, struktura własności, </w:t>
      </w:r>
    </w:p>
    <w:p w14:paraId="248E4635" w14:textId="40686443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Zgodność przedsięwzięcia z miejscowymi planami zagospodarowania przestrzennego</w:t>
      </w:r>
    </w:p>
    <w:p w14:paraId="01281BCD" w14:textId="7FDB2299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Sposób obecnego zagospodarowania i wykorzystania terenu</w:t>
      </w:r>
    </w:p>
    <w:p w14:paraId="7ABF31F4" w14:textId="52887EA1" w:rsidR="00D800FE" w:rsidRPr="007E1F1C" w:rsidRDefault="00CA1112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Źródła historycznych zanieczyszczeń/degradacji</w:t>
      </w:r>
    </w:p>
    <w:p w14:paraId="13EC5D79" w14:textId="596EC9D8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Cel przedsięwzięcia </w:t>
      </w:r>
    </w:p>
    <w:p w14:paraId="6DCAA553" w14:textId="0A4237C4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stanu prawnego terenów pod kątem spełnienia zasady zanieczyszczający płaci </w:t>
      </w:r>
    </w:p>
    <w:p w14:paraId="12354E1A" w14:textId="29621AF1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Analiza potencjalnych zagrożeń</w:t>
      </w:r>
    </w:p>
    <w:p w14:paraId="2201F31F" w14:textId="33B066FE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Opis i charakterystyka wybranego rozwiązania technicznego  </w:t>
      </w:r>
    </w:p>
    <w:p w14:paraId="3FD89E2A" w14:textId="116BF724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Kwalifikowane i niekwalifikowane koszty inwestycyjne projektu ze wskazaniem przyjętej metodyki ich szacowania – identyfikacja czy projekt jest projektem dużym</w:t>
      </w:r>
    </w:p>
    <w:p w14:paraId="74388A0C" w14:textId="75F4E3E3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Koszty przygotowawcze </w:t>
      </w:r>
    </w:p>
    <w:p w14:paraId="3814D191" w14:textId="4ED76410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Koszty prac budowlano – montażowych, wielkość nakładów na majątek trwały</w:t>
      </w:r>
    </w:p>
    <w:p w14:paraId="11B86E09" w14:textId="3826A988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Pozostałe kategorie kosztów  </w:t>
      </w:r>
    </w:p>
    <w:p w14:paraId="6B62183F" w14:textId="3E429994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Zbiorcze zestawienie zadań budowlanych</w:t>
      </w:r>
    </w:p>
    <w:p w14:paraId="2D4925F2" w14:textId="1C0A8E12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Harmonogram realizacji przedsięwzięcia oraz plan płatności  </w:t>
      </w:r>
    </w:p>
    <w:p w14:paraId="6A416E88" w14:textId="7D10B2C8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lastRenderedPageBreak/>
        <w:t xml:space="preserve">Opis struktury organizacyjnej i własnościowej po zakończeniu realizacji przedsięwzięcia </w:t>
      </w:r>
    </w:p>
    <w:p w14:paraId="6B3A4B65" w14:textId="2B06ABF0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Zachowanie trwałości</w:t>
      </w:r>
      <w:r w:rsidR="00217970" w:rsidRPr="007E1F1C">
        <w:rPr>
          <w:rFonts w:ascii="Open Sans Light" w:hAnsi="Open Sans Light" w:cs="Open Sans Light"/>
          <w:sz w:val="24"/>
          <w:szCs w:val="24"/>
        </w:rPr>
        <w:t xml:space="preserve"> (stabilności) </w:t>
      </w:r>
      <w:r w:rsidRPr="007E1F1C">
        <w:rPr>
          <w:rFonts w:ascii="Open Sans Light" w:hAnsi="Open Sans Light" w:cs="Open Sans Light"/>
          <w:sz w:val="24"/>
          <w:szCs w:val="24"/>
        </w:rPr>
        <w:t>projektu</w:t>
      </w:r>
    </w:p>
    <w:p w14:paraId="4BE01641" w14:textId="6D074DD2" w:rsidR="00D800FE" w:rsidRPr="007E1F1C" w:rsidRDefault="00D800FE" w:rsidP="007E1F1C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>Analiza oddziaływania na środowisko, z uwzględnieniem potrzeb dotyczących przystosowania się i łagodzenia zmian klimatu oraz odporności na klęski żywiołowe</w:t>
      </w:r>
    </w:p>
    <w:p w14:paraId="6EC2A077" w14:textId="7531EDC4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Zgodność projektu z politykami ochrony środowiska  </w:t>
      </w:r>
    </w:p>
    <w:p w14:paraId="3B92E1CD" w14:textId="4597C9A8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Sposób wdrożenia przez projekt zasady zapobiegania zanieczyszczeniom źródła i zasady zanieczyszczający płaci</w:t>
      </w:r>
    </w:p>
    <w:p w14:paraId="0CED56F5" w14:textId="38A536BC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Ocena oddziaływania przedsięwzięcia na środowisko (OOŚ) (o ile dotyczy)</w:t>
      </w:r>
    </w:p>
    <w:p w14:paraId="082DB48C" w14:textId="3BF93E2F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Przystosowanie się do zmian klimatu i łagodzenie zmian klimatu, a także odporność na klęski żywiołowe.</w:t>
      </w:r>
    </w:p>
    <w:p w14:paraId="22584B26" w14:textId="4211EE22" w:rsidR="00CA1112" w:rsidRPr="007E1F1C" w:rsidRDefault="00CA1112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Realizacja celów w zakresie zmian klimatu zgodnie ze strategią „Europa 2020”</w:t>
      </w:r>
    </w:p>
    <w:p w14:paraId="3047A70E" w14:textId="6EB774BA" w:rsidR="00CA1112" w:rsidRPr="007E1F1C" w:rsidRDefault="00CA1112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Zagrożenia związane ze zmianą klimatu, kwestie dotyczące przystosowania się do zmian klimatu i ich łagodzenia oraz odporność na klęski żywiołowe</w:t>
      </w:r>
    </w:p>
    <w:p w14:paraId="47E08B0B" w14:textId="031F11D5" w:rsidR="00CA1112" w:rsidRPr="007E1F1C" w:rsidRDefault="00CA1112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Zapewnienie odporności na bieżącą zmienność klimatu i przyszłą zmianę klimatu w ramach projektu</w:t>
      </w:r>
    </w:p>
    <w:p w14:paraId="0C42FF5D" w14:textId="65921666" w:rsidR="00CA1112" w:rsidRPr="007E1F1C" w:rsidRDefault="00CA1112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Strategiczne oceny oddziaływania na środowisko.</w:t>
      </w:r>
    </w:p>
    <w:p w14:paraId="014B4883" w14:textId="30FEA5F4" w:rsidR="00CA1112" w:rsidRPr="007E1F1C" w:rsidRDefault="00CA1112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Plany i programy podlegające ocenom oddziaływania na środowisko (zgodnie z Dyrektywą 2001/42/WE), z których wynika realizacja przedsięwzięcia.</w:t>
      </w:r>
    </w:p>
    <w:p w14:paraId="16B33BAB" w14:textId="376F3A3A" w:rsidR="00CA1112" w:rsidRPr="007E1F1C" w:rsidRDefault="00CA1112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Uwzględnienie skutków realizacji przedsięwzięcia w sporządzonych prognozach oddziaływania planów i programów na środowisko</w:t>
      </w:r>
    </w:p>
    <w:p w14:paraId="0FBE603F" w14:textId="46A9C846" w:rsidR="00D60023" w:rsidRPr="007E1F1C" w:rsidRDefault="00D60023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Spełnienie przez projekt zasady DNSH.</w:t>
      </w:r>
    </w:p>
    <w:p w14:paraId="6C1E3CD8" w14:textId="12F571EB" w:rsidR="00D800FE" w:rsidRPr="007E1F1C" w:rsidRDefault="00D800FE" w:rsidP="007E1F1C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Analiza wykonalności przedsięwzięcia wraz z analizą opcji  </w:t>
      </w:r>
    </w:p>
    <w:p w14:paraId="2C6BCA9A" w14:textId="1B88AE59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wykonalności (identyfikacja możliwych do zastosowania rozwiązań inwestycyjnych wykonalnych pod względem technicznym, ekonomicznym, środowiskowym i instytucjonalnym) </w:t>
      </w:r>
    </w:p>
    <w:p w14:paraId="3E4836AF" w14:textId="4DCBDF15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opcji  </w:t>
      </w:r>
    </w:p>
    <w:p w14:paraId="45550551" w14:textId="661B904F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Analiza strategiczna – zidentyfikowanie najbardziej korzystnych rozwiązań (analiza jakościowa, rozpatrzenie sposobów rozwiązania problemu)</w:t>
      </w:r>
    </w:p>
    <w:p w14:paraId="69B9DEBF" w14:textId="6BCBB34B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rozwiązań technologicznych (analiza ilościowa) </w:t>
      </w:r>
    </w:p>
    <w:p w14:paraId="1AA33BED" w14:textId="7557CDC5" w:rsidR="00D800FE" w:rsidRPr="007E1F1C" w:rsidRDefault="00D800FE" w:rsidP="007E1F1C">
      <w:pPr>
        <w:pStyle w:val="Akapitzlist"/>
        <w:numPr>
          <w:ilvl w:val="3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Oszacowanie kosztów dla wybranych opcji   </w:t>
      </w:r>
    </w:p>
    <w:p w14:paraId="033EB437" w14:textId="5BF97D1C" w:rsidR="00D800FE" w:rsidRPr="007E1F1C" w:rsidRDefault="00D800FE" w:rsidP="007E1F1C">
      <w:pPr>
        <w:pStyle w:val="Akapitzlist"/>
        <w:numPr>
          <w:ilvl w:val="3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Finansowe i ekonomiczne porównanie rozważanych opcji </w:t>
      </w:r>
    </w:p>
    <w:p w14:paraId="5FF37060" w14:textId="729D8A95" w:rsidR="00D800FE" w:rsidRPr="007E1F1C" w:rsidRDefault="00D800FE" w:rsidP="007E1F1C">
      <w:pPr>
        <w:pStyle w:val="Akapitzlist"/>
        <w:numPr>
          <w:ilvl w:val="3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lastRenderedPageBreak/>
        <w:t xml:space="preserve">Porównanie rozważanych opcji pod względem środowiskowym (uwzględniając wpływ oraz odporność na zmianę klimatu i zagrożenia związane z klęskami żywiołowymi) </w:t>
      </w:r>
    </w:p>
    <w:p w14:paraId="22BEAC81" w14:textId="22B5A445" w:rsidR="00D800FE" w:rsidRPr="007E1F1C" w:rsidRDefault="00D800FE" w:rsidP="007E1F1C">
      <w:pPr>
        <w:pStyle w:val="Akapitzlist"/>
        <w:numPr>
          <w:ilvl w:val="3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Wybór najlepszego rozwiązania spośród rozważanych opcji wraz z uzasadnieniem dokonanego wyboru.</w:t>
      </w:r>
    </w:p>
    <w:p w14:paraId="18026AC1" w14:textId="6D1FF54C" w:rsidR="00D800FE" w:rsidRPr="007E1F1C" w:rsidRDefault="00D800FE" w:rsidP="007E1F1C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Plan finansowania </w:t>
      </w:r>
      <w:r w:rsidR="00D60023"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i wdrożenia </w:t>
      </w:r>
      <w:r w:rsidRPr="007E1F1C">
        <w:rPr>
          <w:rFonts w:ascii="Open Sans Light" w:hAnsi="Open Sans Light" w:cs="Open Sans Light"/>
          <w:b/>
          <w:bCs/>
          <w:sz w:val="24"/>
          <w:szCs w:val="24"/>
        </w:rPr>
        <w:t>przedsięwzięcia</w:t>
      </w:r>
    </w:p>
    <w:p w14:paraId="6053C065" w14:textId="5EE6CCCF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Struktura i źródła finansowania kosztów kwalifikowanych i niekwalifikowanych przedsięwzięcia z podziałem na lata realizacji inwestycji</w:t>
      </w:r>
    </w:p>
    <w:p w14:paraId="549F8346" w14:textId="4D69E7CA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Ocena zdolności beneficjenta i innych podmiotów (o ile dotyczy) do zapewnienia wkładu własnego i informacja o stanie zaawansowania pozyskania środków zewnętrznych</w:t>
      </w:r>
    </w:p>
    <w:p w14:paraId="5AD285DA" w14:textId="38FAE015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Przewidywane sposoby i ocena realności ustanowienia zabezpieczeń dla zwrotnych źródeł finansowania inwestycji (o ile dotyczy) z uwzględnieniem wyników analizy ryzyka </w:t>
      </w:r>
    </w:p>
    <w:p w14:paraId="0A461773" w14:textId="49218A9E" w:rsidR="00D60023" w:rsidRPr="007E1F1C" w:rsidRDefault="00D60023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Struktura i schemat organizacyjny JRP </w:t>
      </w:r>
    </w:p>
    <w:p w14:paraId="3DFE3C8B" w14:textId="55B51A42" w:rsidR="00D60023" w:rsidRPr="007E1F1C" w:rsidRDefault="00D60023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Proponowany zakres kontraktów, procedury kontraktowe, harmonogram ogłaszania przetargów i podpisywania kontraktów </w:t>
      </w:r>
    </w:p>
    <w:p w14:paraId="5D6568F3" w14:textId="79826F0E" w:rsidR="00D60023" w:rsidRPr="007E1F1C" w:rsidRDefault="00D60023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Harmonogram realizacji przedsięwzięcia oraz plan płatności </w:t>
      </w:r>
    </w:p>
    <w:p w14:paraId="167824EC" w14:textId="4DF1756B" w:rsidR="00D60023" w:rsidRPr="007E1F1C" w:rsidRDefault="00D60023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Zarządzanie infrastrukturą po zakończeniu realizacji przedsięwzięcia</w:t>
      </w:r>
    </w:p>
    <w:p w14:paraId="1A2D21C4" w14:textId="660EA560" w:rsidR="00D60023" w:rsidRPr="007E1F1C" w:rsidRDefault="00D60023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Opis struktury organizacyjnej i własnościowej po zakończeniu realizacji przedsięwzięcia </w:t>
      </w:r>
    </w:p>
    <w:p w14:paraId="36108969" w14:textId="22E4EBD6" w:rsidR="00D60023" w:rsidRPr="007E1F1C" w:rsidRDefault="00D60023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Zachowanie trwałości </w:t>
      </w:r>
      <w:r w:rsidR="00217970" w:rsidRPr="007E1F1C">
        <w:rPr>
          <w:rFonts w:ascii="Open Sans Light" w:hAnsi="Open Sans Light" w:cs="Open Sans Light"/>
          <w:sz w:val="24"/>
          <w:szCs w:val="24"/>
        </w:rPr>
        <w:t xml:space="preserve">(stabilności) </w:t>
      </w:r>
      <w:r w:rsidRPr="007E1F1C">
        <w:rPr>
          <w:rFonts w:ascii="Open Sans Light" w:hAnsi="Open Sans Light" w:cs="Open Sans Light"/>
          <w:sz w:val="24"/>
          <w:szCs w:val="24"/>
        </w:rPr>
        <w:t>projektu</w:t>
      </w:r>
    </w:p>
    <w:p w14:paraId="32388FCC" w14:textId="1693CCBC" w:rsidR="00D800FE" w:rsidRPr="007E1F1C" w:rsidRDefault="00D800FE" w:rsidP="007E1F1C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Analiza finansowa i analiza </w:t>
      </w:r>
      <w:r w:rsidR="000448AF" w:rsidRPr="007E1F1C">
        <w:rPr>
          <w:rFonts w:ascii="Open Sans Light" w:hAnsi="Open Sans Light" w:cs="Open Sans Light"/>
          <w:b/>
          <w:bCs/>
          <w:sz w:val="24"/>
          <w:szCs w:val="24"/>
        </w:rPr>
        <w:t>trwałości (</w:t>
      </w:r>
      <w:r w:rsidR="00D76255" w:rsidRPr="007E1F1C">
        <w:rPr>
          <w:rFonts w:ascii="Open Sans Light" w:hAnsi="Open Sans Light" w:cs="Open Sans Light"/>
          <w:b/>
          <w:bCs/>
          <w:sz w:val="24"/>
          <w:szCs w:val="24"/>
        </w:rPr>
        <w:t>stabilności</w:t>
      </w:r>
      <w:r w:rsidR="000448AF" w:rsidRPr="007E1F1C">
        <w:rPr>
          <w:rFonts w:ascii="Open Sans Light" w:hAnsi="Open Sans Light" w:cs="Open Sans Light"/>
          <w:b/>
          <w:bCs/>
          <w:sz w:val="24"/>
          <w:szCs w:val="24"/>
        </w:rPr>
        <w:t>)</w:t>
      </w:r>
    </w:p>
    <w:p w14:paraId="3EF152BC" w14:textId="74D2FD80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Założenia makroekonomiczne, metodyka analizy finansowej i analizy trwałości </w:t>
      </w:r>
      <w:r w:rsidR="000448AF" w:rsidRPr="007E1F1C">
        <w:rPr>
          <w:rFonts w:ascii="Open Sans Light" w:hAnsi="Open Sans Light" w:cs="Open Sans Light"/>
          <w:sz w:val="24"/>
          <w:szCs w:val="24"/>
        </w:rPr>
        <w:t>(stabilności)</w:t>
      </w:r>
    </w:p>
    <w:p w14:paraId="4AFFD707" w14:textId="4E850542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Prognoza przychodów (o ile dotyczy) i kosztów operacyjnych (wg ich rodzajów) w okresie odniesienia </w:t>
      </w:r>
    </w:p>
    <w:p w14:paraId="2FC3DD4C" w14:textId="6E9236FB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Obliczenie maksymalnego wkładu funduszy UE (o ile dotyczy)</w:t>
      </w:r>
    </w:p>
    <w:p w14:paraId="0798B639" w14:textId="764D6589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</w:t>
      </w:r>
      <w:r w:rsidR="004561DF" w:rsidRPr="007E1F1C">
        <w:rPr>
          <w:rFonts w:ascii="Open Sans Light" w:hAnsi="Open Sans Light" w:cs="Open Sans Light"/>
          <w:sz w:val="24"/>
          <w:szCs w:val="24"/>
        </w:rPr>
        <w:t xml:space="preserve">finansowej </w:t>
      </w:r>
      <w:r w:rsidRPr="007E1F1C">
        <w:rPr>
          <w:rFonts w:ascii="Open Sans Light" w:hAnsi="Open Sans Light" w:cs="Open Sans Light"/>
          <w:sz w:val="24"/>
          <w:szCs w:val="24"/>
        </w:rPr>
        <w:t xml:space="preserve">efektywności </w:t>
      </w:r>
    </w:p>
    <w:p w14:paraId="089364CE" w14:textId="2373CEFD" w:rsidR="00D800FE" w:rsidRPr="007E1F1C" w:rsidRDefault="004561DF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Wskaźniki finansowej efektywności </w:t>
      </w:r>
      <w:r w:rsidR="003920A7" w:rsidRPr="007E1F1C">
        <w:rPr>
          <w:rFonts w:ascii="Open Sans Light" w:hAnsi="Open Sans Light" w:cs="Open Sans Light"/>
          <w:sz w:val="24"/>
          <w:szCs w:val="24"/>
        </w:rPr>
        <w:t xml:space="preserve">projektu </w:t>
      </w:r>
      <w:r w:rsidR="00D800FE" w:rsidRPr="007E1F1C">
        <w:rPr>
          <w:rFonts w:ascii="Open Sans Light" w:hAnsi="Open Sans Light" w:cs="Open Sans Light"/>
          <w:sz w:val="24"/>
          <w:szCs w:val="24"/>
        </w:rPr>
        <w:t xml:space="preserve">(FNPV/C i FIRR/C bez </w:t>
      </w:r>
      <w:r w:rsidRPr="007E1F1C">
        <w:rPr>
          <w:rFonts w:ascii="Open Sans Light" w:hAnsi="Open Sans Light" w:cs="Open Sans Light"/>
          <w:sz w:val="24"/>
          <w:szCs w:val="24"/>
        </w:rPr>
        <w:t xml:space="preserve">oraz </w:t>
      </w:r>
      <w:r w:rsidR="00D800FE" w:rsidRPr="007E1F1C">
        <w:rPr>
          <w:rFonts w:ascii="Open Sans Light" w:hAnsi="Open Sans Light" w:cs="Open Sans Light"/>
          <w:sz w:val="24"/>
          <w:szCs w:val="24"/>
        </w:rPr>
        <w:t>z</w:t>
      </w:r>
      <w:r w:rsidRPr="007E1F1C">
        <w:rPr>
          <w:rFonts w:ascii="Open Sans Light" w:hAnsi="Open Sans Light" w:cs="Open Sans Light"/>
          <w:sz w:val="24"/>
          <w:szCs w:val="24"/>
        </w:rPr>
        <w:t>e</w:t>
      </w:r>
      <w:r w:rsidR="00D800FE" w:rsidRPr="007E1F1C">
        <w:rPr>
          <w:rFonts w:ascii="Open Sans Light" w:hAnsi="Open Sans Light" w:cs="Open Sans Light"/>
          <w:sz w:val="24"/>
          <w:szCs w:val="24"/>
        </w:rPr>
        <w:t xml:space="preserve"> wsparciem UE)</w:t>
      </w:r>
    </w:p>
    <w:p w14:paraId="18493235" w14:textId="2A7B07AC" w:rsidR="00D800FE" w:rsidRPr="007E1F1C" w:rsidRDefault="004561DF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Wskaźniki finansowej efektywności kapitału krajowego </w:t>
      </w:r>
      <w:r w:rsidR="00D800FE" w:rsidRPr="007E1F1C">
        <w:rPr>
          <w:rFonts w:ascii="Open Sans Light" w:hAnsi="Open Sans Light" w:cs="Open Sans Light"/>
          <w:sz w:val="24"/>
          <w:szCs w:val="24"/>
        </w:rPr>
        <w:t xml:space="preserve">(FNPV/K i FIRR/K bez </w:t>
      </w:r>
      <w:r w:rsidRPr="007E1F1C">
        <w:rPr>
          <w:rFonts w:ascii="Open Sans Light" w:hAnsi="Open Sans Light" w:cs="Open Sans Light"/>
          <w:sz w:val="24"/>
          <w:szCs w:val="24"/>
        </w:rPr>
        <w:t xml:space="preserve">oraz </w:t>
      </w:r>
      <w:r w:rsidR="00D800FE" w:rsidRPr="007E1F1C">
        <w:rPr>
          <w:rFonts w:ascii="Open Sans Light" w:hAnsi="Open Sans Light" w:cs="Open Sans Light"/>
          <w:sz w:val="24"/>
          <w:szCs w:val="24"/>
        </w:rPr>
        <w:t>z</w:t>
      </w:r>
      <w:r w:rsidRPr="007E1F1C">
        <w:rPr>
          <w:rFonts w:ascii="Open Sans Light" w:hAnsi="Open Sans Light" w:cs="Open Sans Light"/>
          <w:sz w:val="24"/>
          <w:szCs w:val="24"/>
        </w:rPr>
        <w:t>e</w:t>
      </w:r>
      <w:r w:rsidR="00D800FE" w:rsidRPr="007E1F1C">
        <w:rPr>
          <w:rFonts w:ascii="Open Sans Light" w:hAnsi="Open Sans Light" w:cs="Open Sans Light"/>
          <w:sz w:val="24"/>
          <w:szCs w:val="24"/>
        </w:rPr>
        <w:t xml:space="preserve"> wsparciem UE) – o ile dotyczy</w:t>
      </w:r>
    </w:p>
    <w:p w14:paraId="4B17C7D6" w14:textId="2DA11D12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Prognoza sprawozdań finansowych sporządzanych przez beneficjenta i innych podmiotów (jeśli występują) w kontekście potwierdzenia trwałości </w:t>
      </w:r>
      <w:r w:rsidR="00FD6187" w:rsidRPr="007E1F1C">
        <w:rPr>
          <w:rFonts w:ascii="Open Sans Light" w:hAnsi="Open Sans Light" w:cs="Open Sans Light"/>
          <w:sz w:val="24"/>
          <w:szCs w:val="24"/>
        </w:rPr>
        <w:t xml:space="preserve">(stabilności) </w:t>
      </w:r>
      <w:r w:rsidRPr="007E1F1C">
        <w:rPr>
          <w:rFonts w:ascii="Open Sans Light" w:hAnsi="Open Sans Light" w:cs="Open Sans Light"/>
          <w:sz w:val="24"/>
          <w:szCs w:val="24"/>
        </w:rPr>
        <w:t>finansowej w fazie operacyjnej oraz ich ocena</w:t>
      </w:r>
      <w:r w:rsidR="008F0FA9" w:rsidRPr="007E1F1C">
        <w:rPr>
          <w:rFonts w:ascii="Open Sans Light" w:hAnsi="Open Sans Light" w:cs="Open Sans Light"/>
          <w:sz w:val="24"/>
          <w:szCs w:val="24"/>
        </w:rPr>
        <w:t>,</w:t>
      </w:r>
      <w:r w:rsidRPr="007E1F1C">
        <w:rPr>
          <w:rFonts w:ascii="Open Sans Light" w:hAnsi="Open Sans Light" w:cs="Open Sans Light"/>
          <w:sz w:val="24"/>
          <w:szCs w:val="24"/>
        </w:rPr>
        <w:t xml:space="preserve"> w tym analiza wskaźnikowa</w:t>
      </w:r>
    </w:p>
    <w:p w14:paraId="225CDEC2" w14:textId="40632883" w:rsidR="00D800FE" w:rsidRPr="007E1F1C" w:rsidRDefault="00D800FE" w:rsidP="007E1F1C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>Analiza kosztów i korzyści</w:t>
      </w:r>
    </w:p>
    <w:p w14:paraId="5E03EC6B" w14:textId="4AE5E7B1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lastRenderedPageBreak/>
        <w:t xml:space="preserve">Metodyka analizy kosztów i korzyści </w:t>
      </w:r>
    </w:p>
    <w:p w14:paraId="08D01A4D" w14:textId="6400F454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kosztów </w:t>
      </w:r>
      <w:r w:rsidR="003920A7" w:rsidRPr="007E1F1C">
        <w:rPr>
          <w:rFonts w:ascii="Open Sans Light" w:hAnsi="Open Sans Light" w:cs="Open Sans Light"/>
          <w:sz w:val="24"/>
          <w:szCs w:val="24"/>
        </w:rPr>
        <w:t xml:space="preserve">i korzyści </w:t>
      </w:r>
      <w:r w:rsidRPr="007E1F1C">
        <w:rPr>
          <w:rFonts w:ascii="Open Sans Light" w:hAnsi="Open Sans Light" w:cs="Open Sans Light"/>
          <w:sz w:val="24"/>
          <w:szCs w:val="24"/>
        </w:rPr>
        <w:t>związanych z realizacją pr</w:t>
      </w:r>
      <w:r w:rsidR="003920A7" w:rsidRPr="007E1F1C">
        <w:rPr>
          <w:rFonts w:ascii="Open Sans Light" w:hAnsi="Open Sans Light" w:cs="Open Sans Light"/>
          <w:sz w:val="24"/>
          <w:szCs w:val="24"/>
        </w:rPr>
        <w:t xml:space="preserve">ojektu </w:t>
      </w:r>
      <w:r w:rsidRPr="007E1F1C">
        <w:rPr>
          <w:rFonts w:ascii="Open Sans Light" w:hAnsi="Open Sans Light" w:cs="Open Sans Light"/>
          <w:sz w:val="24"/>
          <w:szCs w:val="24"/>
        </w:rPr>
        <w:t xml:space="preserve">z punktu widzenia </w:t>
      </w:r>
      <w:r w:rsidR="003920A7" w:rsidRPr="007E1F1C">
        <w:rPr>
          <w:rFonts w:ascii="Open Sans Light" w:hAnsi="Open Sans Light" w:cs="Open Sans Light"/>
          <w:sz w:val="24"/>
          <w:szCs w:val="24"/>
        </w:rPr>
        <w:t xml:space="preserve">całej </w:t>
      </w:r>
      <w:r w:rsidRPr="007E1F1C">
        <w:rPr>
          <w:rFonts w:ascii="Open Sans Light" w:hAnsi="Open Sans Light" w:cs="Open Sans Light"/>
          <w:sz w:val="24"/>
          <w:szCs w:val="24"/>
        </w:rPr>
        <w:t>społeczności (jakościowa i ilościowa)</w:t>
      </w:r>
    </w:p>
    <w:p w14:paraId="29C8D240" w14:textId="6E1EE013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Analiza ekonomiczna (o ile dotyczy)</w:t>
      </w:r>
    </w:p>
    <w:p w14:paraId="01BDB7B2" w14:textId="06AEDCF6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Efekty fiskalne</w:t>
      </w:r>
      <w:r w:rsidR="003920A7" w:rsidRPr="007E1F1C">
        <w:rPr>
          <w:rFonts w:ascii="Open Sans Light" w:hAnsi="Open Sans Light" w:cs="Open Sans Light"/>
          <w:sz w:val="24"/>
          <w:szCs w:val="24"/>
        </w:rPr>
        <w:t xml:space="preserve"> (transfery)</w:t>
      </w:r>
    </w:p>
    <w:p w14:paraId="46D3DFA5" w14:textId="5E9375EC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Efekty zewnętrzn</w:t>
      </w:r>
      <w:r w:rsidR="003920A7" w:rsidRPr="007E1F1C">
        <w:rPr>
          <w:rFonts w:ascii="Open Sans Light" w:hAnsi="Open Sans Light" w:cs="Open Sans Light"/>
          <w:sz w:val="24"/>
          <w:szCs w:val="24"/>
        </w:rPr>
        <w:t xml:space="preserve">e </w:t>
      </w:r>
    </w:p>
    <w:p w14:paraId="4937A278" w14:textId="636F5933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Przekształcenie cen rynkowych </w:t>
      </w:r>
      <w:r w:rsidR="003920A7" w:rsidRPr="007E1F1C">
        <w:rPr>
          <w:rFonts w:ascii="Open Sans Light" w:hAnsi="Open Sans Light" w:cs="Open Sans Light"/>
          <w:sz w:val="24"/>
          <w:szCs w:val="24"/>
        </w:rPr>
        <w:t xml:space="preserve">na </w:t>
      </w:r>
      <w:r w:rsidRPr="007E1F1C">
        <w:rPr>
          <w:rFonts w:ascii="Open Sans Light" w:hAnsi="Open Sans Light" w:cs="Open Sans Light"/>
          <w:sz w:val="24"/>
          <w:szCs w:val="24"/>
        </w:rPr>
        <w:t>ceny rozrachunkowe</w:t>
      </w:r>
    </w:p>
    <w:p w14:paraId="5B684D36" w14:textId="099B242C" w:rsidR="00D800FE" w:rsidRPr="007E1F1C" w:rsidRDefault="003920A7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Analiza ekonomicznej efektywności projektu </w:t>
      </w:r>
      <w:r w:rsidR="00D800FE" w:rsidRPr="007E1F1C">
        <w:rPr>
          <w:rFonts w:ascii="Open Sans Light" w:hAnsi="Open Sans Light" w:cs="Open Sans Light"/>
          <w:sz w:val="24"/>
          <w:szCs w:val="24"/>
        </w:rPr>
        <w:t>(ENPV</w:t>
      </w:r>
      <w:r w:rsidRPr="007E1F1C">
        <w:rPr>
          <w:rFonts w:ascii="Open Sans Light" w:hAnsi="Open Sans Light" w:cs="Open Sans Light"/>
          <w:sz w:val="24"/>
          <w:szCs w:val="24"/>
        </w:rPr>
        <w:t xml:space="preserve"> i </w:t>
      </w:r>
      <w:r w:rsidR="00D800FE" w:rsidRPr="007E1F1C">
        <w:rPr>
          <w:rFonts w:ascii="Open Sans Light" w:hAnsi="Open Sans Light" w:cs="Open Sans Light"/>
          <w:sz w:val="24"/>
          <w:szCs w:val="24"/>
        </w:rPr>
        <w:t>ERR)</w:t>
      </w:r>
    </w:p>
    <w:p w14:paraId="49177B54" w14:textId="7526F404" w:rsidR="00D800FE" w:rsidRPr="007E1F1C" w:rsidRDefault="00D800FE" w:rsidP="007E1F1C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 xml:space="preserve">Analiza ryzyka i wrażliwości  </w:t>
      </w:r>
    </w:p>
    <w:p w14:paraId="3681CB64" w14:textId="27106A43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Analiza wrażliwości</w:t>
      </w:r>
    </w:p>
    <w:p w14:paraId="25CD518F" w14:textId="338FCD45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Badane zmienne i ich wpływ na wskaźniki finansowej i ekonomicznej efektywności </w:t>
      </w:r>
      <w:r w:rsidR="003920A7" w:rsidRPr="007E1F1C">
        <w:rPr>
          <w:rFonts w:ascii="Open Sans Light" w:hAnsi="Open Sans Light" w:cs="Open Sans Light"/>
          <w:sz w:val="24"/>
          <w:szCs w:val="24"/>
        </w:rPr>
        <w:t xml:space="preserve">projektu </w:t>
      </w:r>
      <w:r w:rsidRPr="007E1F1C">
        <w:rPr>
          <w:rFonts w:ascii="Open Sans Light" w:hAnsi="Open Sans Light" w:cs="Open Sans Light"/>
          <w:sz w:val="24"/>
          <w:szCs w:val="24"/>
        </w:rPr>
        <w:t xml:space="preserve">oraz jego trwałość finansową </w:t>
      </w:r>
    </w:p>
    <w:p w14:paraId="50BEA4E7" w14:textId="48684E1F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Zestawienie zmiennych zidentyfikowanych jako krytyczne </w:t>
      </w:r>
    </w:p>
    <w:p w14:paraId="3CC91679" w14:textId="4E404307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Wartości progowe dla zmiennych krytycznych </w:t>
      </w:r>
      <w:r w:rsidR="000448AF" w:rsidRPr="007E1F1C">
        <w:rPr>
          <w:rFonts w:ascii="Open Sans Light" w:hAnsi="Open Sans Light" w:cs="Open Sans Light"/>
          <w:sz w:val="24"/>
          <w:szCs w:val="24"/>
        </w:rPr>
        <w:t>(jeśli dotyczy)</w:t>
      </w:r>
    </w:p>
    <w:p w14:paraId="096FF0A9" w14:textId="0B9C6955" w:rsidR="00D800FE" w:rsidRPr="007E1F1C" w:rsidRDefault="00D800FE" w:rsidP="007E1F1C">
      <w:pPr>
        <w:pStyle w:val="Akapitzlist"/>
        <w:numPr>
          <w:ilvl w:val="1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Jakościowa analiza ryzyka </w:t>
      </w:r>
    </w:p>
    <w:p w14:paraId="26702890" w14:textId="1890D769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Lista zidentyfikowanych czynników ryzyka  </w:t>
      </w:r>
    </w:p>
    <w:p w14:paraId="7919AF39" w14:textId="6CE3E113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 xml:space="preserve">Matryca ryzyka (przyczyny wystąpienia ryzyka, ew. związek z analizą wrażliwości, skutki i prawdopodobieństwo wystąpienia, poziom ryzyka, mitygacja ryzyka, ryzyka rezydualne) </w:t>
      </w:r>
    </w:p>
    <w:p w14:paraId="69642447" w14:textId="51151209" w:rsidR="00D800FE" w:rsidRPr="007E1F1C" w:rsidRDefault="00D800FE" w:rsidP="007E1F1C">
      <w:pPr>
        <w:pStyle w:val="Akapitzlist"/>
        <w:numPr>
          <w:ilvl w:val="2"/>
          <w:numId w:val="4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7E1F1C">
        <w:rPr>
          <w:rFonts w:ascii="Open Sans Light" w:hAnsi="Open Sans Light" w:cs="Open Sans Light"/>
          <w:sz w:val="24"/>
          <w:szCs w:val="24"/>
        </w:rPr>
        <w:t>Interpretacja matrycy ryzyka</w:t>
      </w:r>
    </w:p>
    <w:p w14:paraId="73535B7F" w14:textId="77777777" w:rsidR="00DF359B" w:rsidRPr="007E1F1C" w:rsidRDefault="00DF359B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C37AEAB" w14:textId="77777777" w:rsidR="007E1F1C" w:rsidRDefault="007E1F1C">
      <w:pPr>
        <w:rPr>
          <w:rFonts w:ascii="Open Sans Light" w:eastAsia="Calibri" w:hAnsi="Open Sans Light" w:cs="Open Sans Light"/>
          <w:sz w:val="28"/>
          <w:szCs w:val="28"/>
        </w:rPr>
      </w:pPr>
      <w:r>
        <w:rPr>
          <w:rFonts w:ascii="Open Sans Light" w:eastAsia="Calibri" w:hAnsi="Open Sans Light" w:cs="Open Sans Light"/>
          <w:sz w:val="28"/>
          <w:szCs w:val="28"/>
        </w:rPr>
        <w:br w:type="page"/>
      </w:r>
    </w:p>
    <w:p w14:paraId="64ECE431" w14:textId="1FB34A57" w:rsidR="00A06325" w:rsidRPr="00987AD1" w:rsidRDefault="00A06325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8"/>
          <w:szCs w:val="28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lastRenderedPageBreak/>
        <w:drawing>
          <wp:inline distT="0" distB="0" distL="0" distR="0" wp14:anchorId="4B05B2F4" wp14:editId="24E0A52F">
            <wp:extent cx="5760720" cy="601345"/>
            <wp:effectExtent l="0" t="0" r="0" b="0"/>
            <wp:docPr id="1" name="Obraz 1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D0CA24" w14:textId="77777777" w:rsidR="00A06325" w:rsidRPr="00987AD1" w:rsidRDefault="00A06325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8"/>
          <w:szCs w:val="28"/>
        </w:rPr>
      </w:pPr>
    </w:p>
    <w:p w14:paraId="0039A7EF" w14:textId="690CB04C" w:rsidR="00BD4093" w:rsidRDefault="00A06325" w:rsidP="007E1F1C">
      <w:pPr>
        <w:pStyle w:val="Nagwek1"/>
        <w:spacing w:line="276" w:lineRule="auto"/>
        <w:jc w:val="center"/>
        <w:rPr>
          <w:rFonts w:ascii="Open Sans Light" w:eastAsia="Calibri" w:hAnsi="Open Sans Light" w:cs="Open Sans Light"/>
        </w:rPr>
      </w:pPr>
      <w:r w:rsidRPr="000448AF">
        <w:rPr>
          <w:rFonts w:ascii="Open Sans Light" w:eastAsia="Calibri" w:hAnsi="Open Sans Light" w:cs="Open Sans Light"/>
        </w:rPr>
        <w:t>Założenia do analiz finansowych</w:t>
      </w:r>
    </w:p>
    <w:p w14:paraId="296D2226" w14:textId="77777777" w:rsidR="000448AF" w:rsidRDefault="000448AF" w:rsidP="007E1F1C">
      <w:pPr>
        <w:jc w:val="both"/>
      </w:pPr>
    </w:p>
    <w:p w14:paraId="790B9765" w14:textId="77777777" w:rsidR="000448AF" w:rsidRPr="007E1F1C" w:rsidRDefault="000448AF" w:rsidP="007E1F1C">
      <w:pPr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>Działanie FENX.01.05. Ochrona przyrody i rozwój zielonej infrastruktury</w:t>
      </w:r>
    </w:p>
    <w:p w14:paraId="6175B47E" w14:textId="4CBBEC0F" w:rsidR="000448AF" w:rsidRPr="007E1F1C" w:rsidRDefault="000448AF" w:rsidP="007E1F1C">
      <w:pPr>
        <w:rPr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Fonts w:ascii="Open Sans Light" w:hAnsi="Open Sans Light" w:cs="Open Sans Light"/>
          <w:b/>
          <w:bCs/>
          <w:sz w:val="24"/>
          <w:szCs w:val="24"/>
        </w:rPr>
        <w:t>Typ projektu: Rekultywacja i remediacja terenów zdegradowanych działalnością gospodarczą</w:t>
      </w:r>
    </w:p>
    <w:p w14:paraId="07262FA2" w14:textId="77777777" w:rsidR="007E1F1C" w:rsidRDefault="007E1F1C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sz w:val="24"/>
          <w:szCs w:val="24"/>
          <w:u w:val="single"/>
        </w:rPr>
      </w:pPr>
    </w:p>
    <w:p w14:paraId="50532AD1" w14:textId="36201083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sz w:val="24"/>
          <w:szCs w:val="24"/>
          <w:u w:val="single"/>
        </w:rPr>
      </w:pPr>
      <w:r w:rsidRPr="007E1F1C">
        <w:rPr>
          <w:rFonts w:ascii="Open Sans Light" w:eastAsia="Calibri" w:hAnsi="Open Sans Light" w:cs="Open Sans Light"/>
          <w:i/>
          <w:iCs/>
          <w:sz w:val="24"/>
          <w:szCs w:val="24"/>
          <w:u w:val="single"/>
        </w:rPr>
        <w:t>Uwaga:</w:t>
      </w:r>
    </w:p>
    <w:p w14:paraId="219E7DF4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sz w:val="24"/>
          <w:szCs w:val="24"/>
        </w:rPr>
      </w:pPr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W kwestiach nieuregulowanych w niniejszych założeniach należy odnieść się do uregulowań zawartych w dokumencie „Wytycznych dotyczących zagadnień związanych z przygotowaniem projektów inwestycyjnych, w tym hybrydowych na lata 2021-2027”.</w:t>
      </w:r>
    </w:p>
    <w:p w14:paraId="5852ADF0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76E7C825" w14:textId="351311DB" w:rsidR="00051C99" w:rsidRPr="007E1F1C" w:rsidRDefault="00051C99" w:rsidP="007E1F1C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Okres odniesienia.</w:t>
      </w:r>
    </w:p>
    <w:p w14:paraId="34F62C3A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Należy przyjąć długość okresu odniesienia zgodnie z okresami odniesienia tożsamymi dla analizy finansowej i analizy ekonomicznej zdefiniowanymi dla poprzedniej perspektywy finansowej UE i stosowanymi w ramach programu PO IiŚ 2014-2020</w:t>
      </w:r>
      <w:r w:rsidRPr="007E1F1C">
        <w:rPr>
          <w:rFonts w:ascii="Open Sans Light" w:eastAsia="Calibri" w:hAnsi="Open Sans Light" w:cs="Open Sans Light"/>
          <w:sz w:val="24"/>
          <w:szCs w:val="24"/>
        </w:rPr>
        <w:br/>
        <w:t>(zgodnie z Załącznikiem I do rozporządzenia nr KE 480/2014), tj.:</w:t>
      </w:r>
    </w:p>
    <w:p w14:paraId="630B7F6A" w14:textId="77777777" w:rsidR="00051C99" w:rsidRPr="007E1F1C" w:rsidRDefault="00051C99" w:rsidP="007E1F1C">
      <w:pPr>
        <w:numPr>
          <w:ilvl w:val="0"/>
          <w:numId w:val="40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Gospodarowanie odpadami: 25 lat.</w:t>
      </w:r>
    </w:p>
    <w:p w14:paraId="4B23F740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DD121C0" w14:textId="3C0303FA" w:rsidR="00051C99" w:rsidRPr="007E1F1C" w:rsidRDefault="00051C99" w:rsidP="007E1F1C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Wartość rezydualna.</w:t>
      </w:r>
    </w:p>
    <w:p w14:paraId="1B0891E0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Należy przyjąć metodę obliczenia wartości rezydualnej w oparciu o wycenę wartości aktywów trwałych netto, określoną przy wykorzystaniu metody i okresu amortyzacji zgodnych z polityką rachunkowości beneficjenta/operatora.</w:t>
      </w:r>
    </w:p>
    <w:p w14:paraId="32D11106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1986D412" w14:textId="5958DD30" w:rsidR="00051C99" w:rsidRPr="007E1F1C" w:rsidRDefault="00051C99" w:rsidP="007E1F1C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Ceny stałe/bieżące (zmienne).</w:t>
      </w:r>
    </w:p>
    <w:p w14:paraId="6482758D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Zgodnie z dokumentem: </w:t>
      </w:r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„Wytyczne dotyczące zagadnień związanych z przygotowaniem projektów inwestycyjnych, w tym hybrydowych na lata 2021-2027”</w:t>
      </w:r>
      <w:r w:rsidRPr="007E1F1C">
        <w:rPr>
          <w:rFonts w:ascii="Open Sans Light" w:eastAsia="Calibri" w:hAnsi="Open Sans Light" w:cs="Open Sans Light"/>
          <w:sz w:val="24"/>
          <w:szCs w:val="24"/>
        </w:rPr>
        <w:t>, Roz. 6 Analiza finansowa, Podrozdział 6.4, analiza finansowa może być sporządzona:</w:t>
      </w:r>
    </w:p>
    <w:p w14:paraId="7BE49935" w14:textId="77777777" w:rsidR="00051C99" w:rsidRPr="007E1F1C" w:rsidRDefault="00051C99" w:rsidP="007E1F1C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w cenach stałych lub</w:t>
      </w:r>
    </w:p>
    <w:p w14:paraId="0BD6712E" w14:textId="77777777" w:rsidR="00051C99" w:rsidRPr="007E1F1C" w:rsidRDefault="00051C99" w:rsidP="007E1F1C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w cenach bieżących, przy czym, o ile to możliwe i uzasadnione, powinna być przeprowadzona w cenach stałych.</w:t>
      </w:r>
    </w:p>
    <w:p w14:paraId="3CC0ACFB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Ceny stałe/bieżące determinują stosowanie określonych stawek dyskontowych:</w:t>
      </w:r>
    </w:p>
    <w:p w14:paraId="46B8E6A9" w14:textId="77777777" w:rsidR="00051C99" w:rsidRPr="007E1F1C" w:rsidRDefault="00051C99" w:rsidP="007E1F1C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lastRenderedPageBreak/>
        <w:t xml:space="preserve">4 % do analizy finansowej prowadzonej w cenach stałych, </w:t>
      </w:r>
    </w:p>
    <w:p w14:paraId="3E75B431" w14:textId="77777777" w:rsidR="00051C99" w:rsidRPr="007E1F1C" w:rsidRDefault="00051C99" w:rsidP="007E1F1C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9 % dla analizy finansowej prowadzonej w cenach bieżących. </w:t>
      </w:r>
    </w:p>
    <w:p w14:paraId="448E8AA0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Należy przyjąć możliwość dokonywania wyboru przez wnioskodawcę stosowania cen stałych lub zmiennych, ale z zaleceniem, że:</w:t>
      </w:r>
    </w:p>
    <w:p w14:paraId="2B68F943" w14:textId="77777777" w:rsidR="00051C99" w:rsidRPr="007E1F1C" w:rsidRDefault="00051C99" w:rsidP="007E1F1C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dla projektów o wartości do 50 mln zł, wnioskodawca ma dowolność w stosowaniu cen stałych/bieżących, ale z zastrzeżeniem, że przyjęcie cen zmiennych w analizie finansowej wymaga przedstawienia przez wnioskodawcę odpowiedniej argumentacji (specyfika branży, warunki makroekonomiczne, itp.);</w:t>
      </w:r>
    </w:p>
    <w:p w14:paraId="752F50B6" w14:textId="77777777" w:rsidR="00051C99" w:rsidRPr="007E1F1C" w:rsidRDefault="00051C99" w:rsidP="007E1F1C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dla projektów o wartości powyżej 50 mln zł, wnioskodawca powinien stosować ceny stałe, ze względu na konieczność ujednolicenia analizy finansowej oraz analizy ekonomicznej, która, co do zasady jest przeprowadzana w cenach stałych. </w:t>
      </w:r>
    </w:p>
    <w:p w14:paraId="333839FF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0F15CA6D" w14:textId="334890AE" w:rsidR="00051C99" w:rsidRPr="007E1F1C" w:rsidRDefault="00051C99" w:rsidP="007E1F1C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Rezerwa na nieprzewidziane wydatki.</w:t>
      </w:r>
    </w:p>
    <w:p w14:paraId="52036275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Wnioskodawca ma możliwość uwzględniania rezerwy na nieprzewidziane wydatki (tzw. rezerwa inwestycyjna), ale z zastrzeżeniem, że maksymalna jej wartość nie może przekraczać 15% całkowitych nakładów inwestycyjnych oraz z zastrzeżeniem, że do wnioskowanego projektu załączona zostanie szczegółowa analiza ryzyka, uzasadniająca utworzenie rezerwy. </w:t>
      </w:r>
    </w:p>
    <w:p w14:paraId="66E4F872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trike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Całkowity koszt projektu/inwestycji obejmuje wydatki kwalifikowalne i niekwalifikowalne, o których mowa w dokumencie „</w:t>
      </w:r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Wytyczne dotyczące zagadnień związanych z przygotowaniem projektów inwestycyjnych, w tym hybrydowych na lata 2021-2027</w:t>
      </w:r>
      <w:r w:rsidRPr="007E1F1C">
        <w:rPr>
          <w:rFonts w:ascii="Open Sans Light" w:eastAsia="Calibri" w:hAnsi="Open Sans Light" w:cs="Open Sans Light"/>
          <w:sz w:val="24"/>
          <w:szCs w:val="24"/>
        </w:rPr>
        <w:t>”.</w:t>
      </w:r>
    </w:p>
    <w:p w14:paraId="791C145D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Rezerwy na nieprzewidziane wydatki nie uwzględnia się dla potrzeb kalkulacji wskaźników efektywności finansowej i ekonomicznej oraz trwałości finansowej projektu z uwagi na fakt, iż rezerwy nie stanowią przepływu środków pieniężnych. W związku z tym, wartość rezerw na nieprzewidziane wydatki należy prezentować oddzielnie od nakładów inwestycyjnych na realizację projektu.</w:t>
      </w:r>
    </w:p>
    <w:p w14:paraId="454623A7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Rezerwy na nieprzewidziane wydatki nie stanowią kosztów operacyjnych. Ponadto niepieniężne pozycje rachunkowe, takie jak rezerwy na nieprzewidziane wydatki, nie mogą być przedmiotem analizy finansowej. </w:t>
      </w:r>
    </w:p>
    <w:p w14:paraId="2ED29EDA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124DB39" w14:textId="459CEB85" w:rsidR="00051C99" w:rsidRPr="007E1F1C" w:rsidRDefault="00051C99" w:rsidP="007E1F1C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="Open Sans Light" w:eastAsia="Calibri" w:hAnsi="Open Sans Light" w:cs="Open Sans Light"/>
          <w:b/>
          <w:bCs/>
          <w:sz w:val="24"/>
          <w:szCs w:val="24"/>
        </w:rPr>
      </w:pPr>
      <w:bookmarkStart w:id="1" w:name="_Hlk152334655"/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Dostępność cenowa.</w:t>
      </w:r>
    </w:p>
    <w:bookmarkEnd w:id="1"/>
    <w:p w14:paraId="006A2C80" w14:textId="43C1194D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W ramach działania FENX.01.0</w:t>
      </w:r>
      <w:r w:rsidR="00BD4093" w:rsidRPr="007E1F1C">
        <w:rPr>
          <w:rFonts w:ascii="Open Sans Light" w:eastAsia="Calibri" w:hAnsi="Open Sans Light" w:cs="Open Sans Light"/>
          <w:sz w:val="24"/>
          <w:szCs w:val="24"/>
        </w:rPr>
        <w:t>5</w:t>
      </w: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. </w:t>
      </w:r>
      <w:r w:rsidR="00BD4093" w:rsidRPr="007E1F1C">
        <w:rPr>
          <w:rFonts w:ascii="Open Sans Light" w:eastAsia="Calibri" w:hAnsi="Open Sans Light" w:cs="Open Sans Light"/>
          <w:sz w:val="24"/>
          <w:szCs w:val="24"/>
        </w:rPr>
        <w:t xml:space="preserve">Rekultywacja i remediacja terenów zdegradowanych działalnością gospodarczą </w:t>
      </w: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nie stosuje się dostępności cenowej. </w:t>
      </w:r>
    </w:p>
    <w:p w14:paraId="4DCDEBB6" w14:textId="77777777" w:rsidR="00051C99" w:rsidRPr="007E1F1C" w:rsidRDefault="00051C99" w:rsidP="007E1F1C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FD89429" w14:textId="06B20632" w:rsidR="00051C99" w:rsidRPr="007E1F1C" w:rsidRDefault="00051C99" w:rsidP="007E1F1C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lastRenderedPageBreak/>
        <w:t>Analiza efektywności kosztowej DGC</w:t>
      </w:r>
    </w:p>
    <w:p w14:paraId="62B8CA13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Należy przyjąć do jednolitego stosowania regulacje dotyczące przeprowadzania analiz efektywności kosztowej zgodnie z dokumentem „</w:t>
      </w:r>
      <w:r w:rsidRPr="007E1F1C">
        <w:rPr>
          <w:rFonts w:ascii="Open Sans Light" w:eastAsia="Calibri" w:hAnsi="Open Sans Light" w:cs="Open Sans Light"/>
          <w:i/>
          <w:iCs/>
          <w:sz w:val="24"/>
          <w:szCs w:val="24"/>
        </w:rPr>
        <w:t>Metodyka analizy efektywności kosztowej w oparciu o wskaźnik dynamicznego kosztu jednostkowego (Dynamic Generation Cost)</w:t>
      </w:r>
      <w:r w:rsidRPr="007E1F1C">
        <w:rPr>
          <w:rFonts w:ascii="Open Sans Light" w:eastAsia="Calibri" w:hAnsi="Open Sans Light" w:cs="Open Sans Light"/>
          <w:sz w:val="24"/>
          <w:szCs w:val="24"/>
        </w:rPr>
        <w:t>”.</w:t>
      </w:r>
    </w:p>
    <w:p w14:paraId="662D2B5E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DE5A7A3" w14:textId="0245653C" w:rsidR="00051C99" w:rsidRPr="007E1F1C" w:rsidRDefault="00051C99" w:rsidP="007E1F1C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="Open Sans Light" w:eastAsia="Calibri" w:hAnsi="Open Sans Light" w:cs="Open Sans Light"/>
          <w:b/>
          <w:bCs/>
          <w:sz w:val="24"/>
          <w:szCs w:val="24"/>
        </w:rPr>
      </w:pPr>
      <w:r w:rsidRPr="007E1F1C">
        <w:rPr>
          <w:rFonts w:ascii="Open Sans Light" w:eastAsia="Calibri" w:hAnsi="Open Sans Light" w:cs="Open Sans Light"/>
          <w:b/>
          <w:bCs/>
          <w:sz w:val="24"/>
          <w:szCs w:val="24"/>
        </w:rPr>
        <w:t>Uproszczenia w zależności od wartości kosztów całkowitych projektu.</w:t>
      </w:r>
    </w:p>
    <w:p w14:paraId="1E5D0709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Należy przyjąć do jednolitego stosowania regulacje, że uproszczenia dotyczą projektów o wartości do 50 mln zł kosztów całkowitych projektu, stanowiących sumę wydatków kwalifikowanych i niekwalifikowanych, z zastrzeżeniem, że całkowity koszt projektu zawiera podatek VAT, niezależnie od tego, czy podatek VAT stanowi wydatek kwalifikowalny w danym projekcie. </w:t>
      </w:r>
    </w:p>
    <w:p w14:paraId="71E3B09E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Czyli, w ujęciu finansowym są to koszty brutto (koszt brutto = koszty netto + podatek VAT). </w:t>
      </w:r>
    </w:p>
    <w:p w14:paraId="46FBA11F" w14:textId="77777777" w:rsidR="00051C99" w:rsidRPr="007E1F1C" w:rsidRDefault="00051C99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Wykaz uproszczeń:</w:t>
      </w:r>
    </w:p>
    <w:p w14:paraId="3E6108B0" w14:textId="197175F6" w:rsidR="00051C99" w:rsidRPr="007E1F1C" w:rsidRDefault="00051C99" w:rsidP="007E1F1C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brak obowiązku przeprowadzenia pełnej analizy </w:t>
      </w:r>
      <w:r w:rsidR="00217970" w:rsidRPr="007E1F1C">
        <w:rPr>
          <w:rFonts w:ascii="Open Sans Light" w:eastAsia="Calibri" w:hAnsi="Open Sans Light" w:cs="Open Sans Light"/>
          <w:sz w:val="24"/>
          <w:szCs w:val="24"/>
        </w:rPr>
        <w:t>kosztów i korzyści</w:t>
      </w: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, z zastrzeżeniem, że należy sporządzić analizę </w:t>
      </w:r>
      <w:r w:rsidR="00217970" w:rsidRPr="007E1F1C">
        <w:rPr>
          <w:rFonts w:ascii="Open Sans Light" w:eastAsia="Calibri" w:hAnsi="Open Sans Light" w:cs="Open Sans Light"/>
          <w:sz w:val="24"/>
          <w:szCs w:val="24"/>
        </w:rPr>
        <w:t xml:space="preserve">kosztów i korzyści </w:t>
      </w:r>
      <w:r w:rsidRPr="007E1F1C">
        <w:rPr>
          <w:rFonts w:ascii="Open Sans Light" w:eastAsia="Calibri" w:hAnsi="Open Sans Light" w:cs="Open Sans Light"/>
          <w:sz w:val="24"/>
          <w:szCs w:val="24"/>
        </w:rPr>
        <w:t xml:space="preserve">w uproszczonej, opisowej formie, </w:t>
      </w:r>
    </w:p>
    <w:p w14:paraId="2B972D64" w14:textId="0CBFBEC7" w:rsidR="00051C99" w:rsidRPr="007E1F1C" w:rsidRDefault="00051C99" w:rsidP="007E1F1C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7E1F1C">
        <w:rPr>
          <w:rFonts w:ascii="Open Sans Light" w:eastAsia="Calibri" w:hAnsi="Open Sans Light" w:cs="Open Sans Light"/>
          <w:sz w:val="24"/>
          <w:szCs w:val="24"/>
        </w:rPr>
        <w:t>brak obowiązku obliczania wskaźników FNPV/K, FRR/K.</w:t>
      </w:r>
    </w:p>
    <w:p w14:paraId="59BDDB34" w14:textId="77777777" w:rsidR="007E1F1C" w:rsidRPr="007E1F1C" w:rsidRDefault="007E1F1C" w:rsidP="007E1F1C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77FE7AAE" w14:textId="76FFDB35" w:rsidR="00A06325" w:rsidRPr="007E1F1C" w:rsidRDefault="00B30463" w:rsidP="007E1F1C">
      <w:pPr>
        <w:pStyle w:val="Akapitzlist"/>
        <w:numPr>
          <w:ilvl w:val="0"/>
          <w:numId w:val="5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b/>
          <w:bCs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b/>
          <w:bCs/>
          <w:sz w:val="24"/>
          <w:szCs w:val="24"/>
        </w:rPr>
        <w:t>Zalecenia ogólne</w:t>
      </w:r>
    </w:p>
    <w:p w14:paraId="1A511CA2" w14:textId="37C012A4" w:rsidR="00B30463" w:rsidRPr="007E1F1C" w:rsidRDefault="00B30463" w:rsidP="007E1F1C">
      <w:pPr>
        <w:pStyle w:val="Akapitzlist"/>
        <w:numPr>
          <w:ilvl w:val="0"/>
          <w:numId w:val="63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Metoda analizy finansowej. </w:t>
      </w:r>
    </w:p>
    <w:p w14:paraId="6F63306C" w14:textId="77777777" w:rsidR="00B30463" w:rsidRPr="007E1F1C" w:rsidRDefault="00B30463" w:rsidP="007E1F1C">
      <w:pPr>
        <w:spacing w:after="0" w:line="276" w:lineRule="auto"/>
        <w:ind w:left="709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Zgodnie z zapisami zawartymi w dokumencie „Wytyczne dotyczące zagadnień związanych z przygotowaniem projektów inwestycyjnych, w tym hybrydowych na lata 2021-2027” (dalej „Wytyczne”), Wnioskodawca powinien wybrać jedną z dwóch metod analizy finansowej (analiza standardowa lub złożona) i w modelu finansowym przedstawić odpowiednie wyliczenia, prezentujące (w dużym uproszczeniu) strumień przepływów pieniężnych dla:</w:t>
      </w:r>
    </w:p>
    <w:p w14:paraId="4B45A1FC" w14:textId="11F81D9C" w:rsidR="00B30463" w:rsidRPr="007E1F1C" w:rsidRDefault="00B30463" w:rsidP="007E1F1C">
      <w:pPr>
        <w:pStyle w:val="Akapitzlist"/>
        <w:numPr>
          <w:ilvl w:val="0"/>
          <w:numId w:val="65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Wnioskodawcy bez Projektu (tzw. Wariant W-0),</w:t>
      </w:r>
    </w:p>
    <w:p w14:paraId="49641909" w14:textId="060FA0B0" w:rsidR="00B30463" w:rsidRPr="007E1F1C" w:rsidRDefault="00B30463" w:rsidP="007E1F1C">
      <w:pPr>
        <w:pStyle w:val="Akapitzlist"/>
        <w:numPr>
          <w:ilvl w:val="0"/>
          <w:numId w:val="65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Wnioskodawcy z Projektem (tzw. Wariant W-1), </w:t>
      </w:r>
    </w:p>
    <w:p w14:paraId="20215BF8" w14:textId="486CACBD" w:rsidR="00B30463" w:rsidRPr="007E1F1C" w:rsidRDefault="00B30463" w:rsidP="007E1F1C">
      <w:pPr>
        <w:pStyle w:val="Akapitzlist"/>
        <w:numPr>
          <w:ilvl w:val="0"/>
          <w:numId w:val="65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Projektu. </w:t>
      </w:r>
    </w:p>
    <w:p w14:paraId="3AD1E993" w14:textId="77777777" w:rsidR="00B30463" w:rsidRPr="007E1F1C" w:rsidRDefault="00B30463" w:rsidP="007E1F1C">
      <w:pPr>
        <w:spacing w:after="0" w:line="276" w:lineRule="auto"/>
        <w:ind w:left="709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Bez względu na wybór metody analiz finansowych, w modelu finansowym powinny zostać przedstawione wyniki finansowe Wnioskodawcy za okres 3 lat wstecz oraz na okres prognoz finansowych (okres odniesienia). </w:t>
      </w:r>
    </w:p>
    <w:p w14:paraId="680A73B7" w14:textId="77777777" w:rsidR="007E1F1C" w:rsidRPr="007E1F1C" w:rsidRDefault="007E1F1C" w:rsidP="007E1F1C">
      <w:pPr>
        <w:spacing w:after="0" w:line="276" w:lineRule="auto"/>
        <w:ind w:left="709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</w:p>
    <w:p w14:paraId="21FA73E3" w14:textId="435D2969" w:rsidR="00B30463" w:rsidRPr="007E1F1C" w:rsidRDefault="00B30463" w:rsidP="007E1F1C">
      <w:pPr>
        <w:spacing w:after="0" w:line="276" w:lineRule="auto"/>
        <w:ind w:left="709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W przypadku, gdy Wnioskodawcą jest JST, wyniki i prognozy finansowe mogą zostać zaprezentowana w układzie rachunkowym (rachunek zysków i strat i </w:t>
      </w: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lastRenderedPageBreak/>
        <w:t xml:space="preserve">bilans) lub w układzie budżetowym (dochody/wydatki, przychody/rozchody, wynik budżetu), z zastrzeżeniem, że w układzie rachunkowym konieczne jest sporządzenie dodatkowo rachunku przepływów pieniężnych, który jest rachunkiem wynikowym w stosunku do rachunku zysków i strat oraz bilansu. </w:t>
      </w:r>
    </w:p>
    <w:p w14:paraId="6ADABB9D" w14:textId="77777777" w:rsidR="007E1F1C" w:rsidRPr="007E1F1C" w:rsidRDefault="007E1F1C" w:rsidP="007E1F1C">
      <w:pPr>
        <w:spacing w:after="0" w:line="276" w:lineRule="auto"/>
        <w:ind w:left="709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</w:p>
    <w:p w14:paraId="4D826257" w14:textId="05E98688" w:rsidR="00B30463" w:rsidRPr="007E1F1C" w:rsidRDefault="00B30463" w:rsidP="007E1F1C">
      <w:pPr>
        <w:spacing w:after="0" w:line="276" w:lineRule="auto"/>
        <w:ind w:left="709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W przypadku projektów realizowanych w ramach: Działanie FENX.01.05. Ochrona przyrody i rozwój zielonej infrastruktury, Typ projektu: Rekultywacja i remediacja terenów zdegradowanych działalnością gospodarczą, rekomendowane jest stosowanie metody standardowej i prezentacja struktura przychodowo-kosztowej i kapitałowo-majątkowej w formie rachunku zysków i strat oraz bilansu, zgodnie z zasadami Ustawy o rachunkowości.</w:t>
      </w:r>
    </w:p>
    <w:p w14:paraId="093729D9" w14:textId="08B0BBEA" w:rsidR="00B30463" w:rsidRPr="007E1F1C" w:rsidRDefault="00B30463" w:rsidP="007E1F1C">
      <w:pPr>
        <w:spacing w:after="0" w:line="276" w:lineRule="auto"/>
        <w:ind w:left="709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Wobec powyższego, oczekuje się, że poprawnie sporządzona analiza finansowa, w Wariancie W-1, będzie prezentować wyniki finansowe Wnioskodawcy (układ rachunkowy lub budżetowy) z uwzględnieniem wnioskowanego Projektu.</w:t>
      </w:r>
    </w:p>
    <w:p w14:paraId="0C7DB794" w14:textId="72D42AF8" w:rsidR="00B30463" w:rsidRPr="007E1F1C" w:rsidRDefault="007E1F1C" w:rsidP="007E1F1C">
      <w:pPr>
        <w:pStyle w:val="Akapitzlist"/>
        <w:numPr>
          <w:ilvl w:val="0"/>
          <w:numId w:val="63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>Model finansowy</w:t>
      </w:r>
    </w:p>
    <w:p w14:paraId="46DC6060" w14:textId="6AA9D5AB" w:rsidR="007E1F1C" w:rsidRPr="007E1F1C" w:rsidRDefault="007E1F1C" w:rsidP="007E1F1C">
      <w:pPr>
        <w:pStyle w:val="Akapitzlist"/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Model finansowy powinien zostać sporządzana w formie aktywnego modelu finansowego, w arkuszu kalkulacyjnym (przykładowe formaty: xls, xlsx, itp.), posiadającym odrębnie ujęte założenia, obliczenia i wyniki. Poszczególne skoroszyty (zakładki) arkusza kalkulacyjnego powinny być powiązane ze sobą aktywnymi formułami, tak aby można było prześledzić poprawność przeprowadzonych obliczeń. Budowa i funkcjonalność modelu finansowego powinna zapewnić spójność i ciągłość prognoz finansowych. Arkusz kalkulacyjny nie powinien być chroniony i nie powinien posiadać ukrytych skoroszytów. </w:t>
      </w:r>
    </w:p>
    <w:p w14:paraId="7CA17AF0" w14:textId="35483DCB" w:rsidR="007E1F1C" w:rsidRPr="007E1F1C" w:rsidRDefault="007E1F1C" w:rsidP="007E1F1C">
      <w:pPr>
        <w:pStyle w:val="Akapitzlist"/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7E1F1C">
        <w:rPr>
          <w:rStyle w:val="font-weight-bold"/>
          <w:rFonts w:ascii="Open Sans Light" w:hAnsi="Open Sans Light" w:cs="Open Sans Light"/>
          <w:sz w:val="24"/>
          <w:szCs w:val="24"/>
        </w:rPr>
        <w:t xml:space="preserve">Ważne jest, aby zachować ciągłość i spójność obliczeń pomiędzy osiągniętymi wynikami finansowymi a prognozowanymi wartościami. W przypadku znaczących zmian prognozowanych wartości poszczególnych pozycji rachunkowych należy przedstawić dodatkowy komentarz, potwierdzający zasadność i poprawność prognozowanych wartości. </w:t>
      </w:r>
    </w:p>
    <w:p w14:paraId="7C2199F3" w14:textId="77777777" w:rsidR="007E1F1C" w:rsidRPr="007E1F1C" w:rsidRDefault="007E1F1C" w:rsidP="007E1F1C">
      <w:pPr>
        <w:pStyle w:val="Akapitzlist"/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</w:p>
    <w:p w14:paraId="7FB17748" w14:textId="77777777" w:rsidR="007E1F1C" w:rsidRPr="007E1F1C" w:rsidRDefault="007E1F1C" w:rsidP="007E1F1C">
      <w:pPr>
        <w:pStyle w:val="Akapitzlist"/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</w:p>
    <w:sectPr w:rsidR="007E1F1C" w:rsidRPr="007E1F1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80234" w14:textId="77777777" w:rsidR="008F4F66" w:rsidRDefault="008F4F66" w:rsidP="00F17459">
      <w:pPr>
        <w:spacing w:after="0" w:line="240" w:lineRule="auto"/>
      </w:pPr>
      <w:r>
        <w:separator/>
      </w:r>
    </w:p>
  </w:endnote>
  <w:endnote w:type="continuationSeparator" w:id="0">
    <w:p w14:paraId="61DEF47B" w14:textId="77777777" w:rsidR="008F4F66" w:rsidRDefault="008F4F66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6690969"/>
      <w:docPartObj>
        <w:docPartGallery w:val="Page Numbers (Bottom of Page)"/>
        <w:docPartUnique/>
      </w:docPartObj>
    </w:sdtPr>
    <w:sdtEndPr/>
    <w:sdtContent>
      <w:p w14:paraId="391FFA9D" w14:textId="1DF28B45" w:rsidR="00A62403" w:rsidRDefault="00A6240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632">
          <w:rPr>
            <w:noProof/>
          </w:rPr>
          <w:t>11</w:t>
        </w:r>
        <w:r>
          <w:fldChar w:fldCharType="end"/>
        </w:r>
      </w:p>
    </w:sdtContent>
  </w:sdt>
  <w:p w14:paraId="067A18C9" w14:textId="77777777" w:rsidR="00A62403" w:rsidRDefault="00A624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CFCD2" w14:textId="77777777" w:rsidR="008F4F66" w:rsidRDefault="008F4F66" w:rsidP="00F17459">
      <w:pPr>
        <w:spacing w:after="0" w:line="240" w:lineRule="auto"/>
      </w:pPr>
      <w:r>
        <w:separator/>
      </w:r>
    </w:p>
  </w:footnote>
  <w:footnote w:type="continuationSeparator" w:id="0">
    <w:p w14:paraId="29254EB5" w14:textId="77777777" w:rsidR="008F4F66" w:rsidRDefault="008F4F66" w:rsidP="00F17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81275"/>
    <w:multiLevelType w:val="hybridMultilevel"/>
    <w:tmpl w:val="7A241F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D0605"/>
    <w:multiLevelType w:val="hybridMultilevel"/>
    <w:tmpl w:val="5EBEF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721DB"/>
    <w:multiLevelType w:val="hybridMultilevel"/>
    <w:tmpl w:val="7DB61BF6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D79DF"/>
    <w:multiLevelType w:val="hybridMultilevel"/>
    <w:tmpl w:val="5F06E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0870A9"/>
    <w:multiLevelType w:val="hybridMultilevel"/>
    <w:tmpl w:val="E94E16AE"/>
    <w:lvl w:ilvl="0" w:tplc="2D5EE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55555"/>
    <w:multiLevelType w:val="hybridMultilevel"/>
    <w:tmpl w:val="0BCE23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BD40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E57C1E"/>
    <w:multiLevelType w:val="hybridMultilevel"/>
    <w:tmpl w:val="D0DAF73A"/>
    <w:lvl w:ilvl="0" w:tplc="8F96D05A">
      <w:start w:val="1"/>
      <w:numFmt w:val="bullet"/>
      <w:lvlText w:val=""/>
      <w:lvlJc w:val="left"/>
      <w:pPr>
        <w:ind w:left="778" w:hanging="360"/>
      </w:pPr>
      <w:rPr>
        <w:rFonts w:ascii="Symbol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161B32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414E43"/>
    <w:multiLevelType w:val="hybridMultilevel"/>
    <w:tmpl w:val="706A1A76"/>
    <w:lvl w:ilvl="0" w:tplc="2D5EE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6D46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FD7D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1279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CB26C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D81778"/>
    <w:multiLevelType w:val="hybridMultilevel"/>
    <w:tmpl w:val="FB6036E2"/>
    <w:lvl w:ilvl="0" w:tplc="2D5EE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1B0F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4A6217"/>
    <w:multiLevelType w:val="hybridMultilevel"/>
    <w:tmpl w:val="CF104430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4314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2135ECA"/>
    <w:multiLevelType w:val="hybridMultilevel"/>
    <w:tmpl w:val="AA40EDEC"/>
    <w:lvl w:ilvl="0" w:tplc="8F96D05A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529B5E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8D47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6B9452F"/>
    <w:multiLevelType w:val="hybridMultilevel"/>
    <w:tmpl w:val="C018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145F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0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AC16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4375CD6"/>
    <w:multiLevelType w:val="hybridMultilevel"/>
    <w:tmpl w:val="8744BB0A"/>
    <w:lvl w:ilvl="0" w:tplc="8F96D05A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68E55981"/>
    <w:multiLevelType w:val="hybridMultilevel"/>
    <w:tmpl w:val="DA023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B443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71760524"/>
    <w:multiLevelType w:val="hybridMultilevel"/>
    <w:tmpl w:val="EDC40B48"/>
    <w:lvl w:ilvl="0" w:tplc="8F96D05A">
      <w:start w:val="1"/>
      <w:numFmt w:val="bullet"/>
      <w:lvlText w:val=""/>
      <w:lvlJc w:val="left"/>
      <w:pPr>
        <w:ind w:left="77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7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60200A"/>
    <w:multiLevelType w:val="hybridMultilevel"/>
    <w:tmpl w:val="CD1C5B58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3746DA3"/>
    <w:multiLevelType w:val="hybridMultilevel"/>
    <w:tmpl w:val="4AA05632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B65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ABD02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70812">
    <w:abstractNumId w:val="31"/>
  </w:num>
  <w:num w:numId="2" w16cid:durableId="722749583">
    <w:abstractNumId w:val="38"/>
  </w:num>
  <w:num w:numId="3" w16cid:durableId="1516189873">
    <w:abstractNumId w:val="23"/>
  </w:num>
  <w:num w:numId="4" w16cid:durableId="1582566706">
    <w:abstractNumId w:val="33"/>
  </w:num>
  <w:num w:numId="5" w16cid:durableId="922107984">
    <w:abstractNumId w:val="21"/>
  </w:num>
  <w:num w:numId="6" w16cid:durableId="1934775933">
    <w:abstractNumId w:val="28"/>
  </w:num>
  <w:num w:numId="7" w16cid:durableId="1294405489">
    <w:abstractNumId w:val="63"/>
  </w:num>
  <w:num w:numId="8" w16cid:durableId="1748764959">
    <w:abstractNumId w:val="37"/>
  </w:num>
  <w:num w:numId="9" w16cid:durableId="1871137812">
    <w:abstractNumId w:val="66"/>
  </w:num>
  <w:num w:numId="10" w16cid:durableId="536966225">
    <w:abstractNumId w:val="10"/>
  </w:num>
  <w:num w:numId="11" w16cid:durableId="2063214674">
    <w:abstractNumId w:val="16"/>
  </w:num>
  <w:num w:numId="12" w16cid:durableId="1688602862">
    <w:abstractNumId w:val="64"/>
  </w:num>
  <w:num w:numId="13" w16cid:durableId="192882473">
    <w:abstractNumId w:val="50"/>
  </w:num>
  <w:num w:numId="14" w16cid:durableId="191773185">
    <w:abstractNumId w:val="25"/>
  </w:num>
  <w:num w:numId="15" w16cid:durableId="1714187005">
    <w:abstractNumId w:val="57"/>
  </w:num>
  <w:num w:numId="16" w16cid:durableId="1665206229">
    <w:abstractNumId w:val="12"/>
  </w:num>
  <w:num w:numId="17" w16cid:durableId="592595934">
    <w:abstractNumId w:val="47"/>
  </w:num>
  <w:num w:numId="18" w16cid:durableId="991057211">
    <w:abstractNumId w:val="6"/>
  </w:num>
  <w:num w:numId="19" w16cid:durableId="169415879">
    <w:abstractNumId w:val="60"/>
  </w:num>
  <w:num w:numId="20" w16cid:durableId="1472163819">
    <w:abstractNumId w:val="4"/>
  </w:num>
  <w:num w:numId="21" w16cid:durableId="1349139800">
    <w:abstractNumId w:val="43"/>
  </w:num>
  <w:num w:numId="22" w16cid:durableId="1463110283">
    <w:abstractNumId w:val="20"/>
  </w:num>
  <w:num w:numId="23" w16cid:durableId="676350245">
    <w:abstractNumId w:val="65"/>
  </w:num>
  <w:num w:numId="24" w16cid:durableId="1351756799">
    <w:abstractNumId w:val="34"/>
  </w:num>
  <w:num w:numId="25" w16cid:durableId="683557665">
    <w:abstractNumId w:val="46"/>
  </w:num>
  <w:num w:numId="26" w16cid:durableId="2075275070">
    <w:abstractNumId w:val="35"/>
  </w:num>
  <w:num w:numId="27" w16cid:durableId="627080561">
    <w:abstractNumId w:val="5"/>
  </w:num>
  <w:num w:numId="28" w16cid:durableId="1913151940">
    <w:abstractNumId w:val="15"/>
  </w:num>
  <w:num w:numId="29" w16cid:durableId="1350637612">
    <w:abstractNumId w:val="49"/>
  </w:num>
  <w:num w:numId="30" w16cid:durableId="894465655">
    <w:abstractNumId w:val="32"/>
  </w:num>
  <w:num w:numId="31" w16cid:durableId="942421138">
    <w:abstractNumId w:val="51"/>
  </w:num>
  <w:num w:numId="32" w16cid:durableId="1564564078">
    <w:abstractNumId w:val="39"/>
  </w:num>
  <w:num w:numId="33" w16cid:durableId="108932603">
    <w:abstractNumId w:val="24"/>
  </w:num>
  <w:num w:numId="34" w16cid:durableId="454831906">
    <w:abstractNumId w:val="0"/>
  </w:num>
  <w:num w:numId="35" w16cid:durableId="782766360">
    <w:abstractNumId w:val="17"/>
  </w:num>
  <w:num w:numId="36" w16cid:durableId="1811285056">
    <w:abstractNumId w:val="3"/>
  </w:num>
  <w:num w:numId="37" w16cid:durableId="929198502">
    <w:abstractNumId w:val="36"/>
  </w:num>
  <w:num w:numId="38" w16cid:durableId="575164609">
    <w:abstractNumId w:val="45"/>
  </w:num>
  <w:num w:numId="39" w16cid:durableId="861405442">
    <w:abstractNumId w:val="58"/>
  </w:num>
  <w:num w:numId="40" w16cid:durableId="273052546">
    <w:abstractNumId w:val="56"/>
  </w:num>
  <w:num w:numId="41" w16cid:durableId="1750735931">
    <w:abstractNumId w:val="13"/>
  </w:num>
  <w:num w:numId="42" w16cid:durableId="825972174">
    <w:abstractNumId w:val="59"/>
  </w:num>
  <w:num w:numId="43" w16cid:durableId="1020469190">
    <w:abstractNumId w:val="22"/>
  </w:num>
  <w:num w:numId="44" w16cid:durableId="1918589607">
    <w:abstractNumId w:val="2"/>
  </w:num>
  <w:num w:numId="45" w16cid:durableId="148909351">
    <w:abstractNumId w:val="26"/>
  </w:num>
  <w:num w:numId="46" w16cid:durableId="2074110282">
    <w:abstractNumId w:val="55"/>
  </w:num>
  <w:num w:numId="47" w16cid:durableId="1407193109">
    <w:abstractNumId w:val="11"/>
  </w:num>
  <w:num w:numId="48" w16cid:durableId="883441798">
    <w:abstractNumId w:val="27"/>
  </w:num>
  <w:num w:numId="49" w16cid:durableId="287014149">
    <w:abstractNumId w:val="19"/>
  </w:num>
  <w:num w:numId="50" w16cid:durableId="1307273342">
    <w:abstractNumId w:val="62"/>
  </w:num>
  <w:num w:numId="51" w16cid:durableId="179660618">
    <w:abstractNumId w:val="52"/>
  </w:num>
  <w:num w:numId="52" w16cid:durableId="2071152168">
    <w:abstractNumId w:val="44"/>
  </w:num>
  <w:num w:numId="53" w16cid:durableId="1776288543">
    <w:abstractNumId w:val="14"/>
  </w:num>
  <w:num w:numId="54" w16cid:durableId="1681816842">
    <w:abstractNumId w:val="30"/>
  </w:num>
  <w:num w:numId="55" w16cid:durableId="517620548">
    <w:abstractNumId w:val="61"/>
  </w:num>
  <w:num w:numId="56" w16cid:durableId="190145742">
    <w:abstractNumId w:val="42"/>
  </w:num>
  <w:num w:numId="57" w16cid:durableId="1950116748">
    <w:abstractNumId w:val="48"/>
  </w:num>
  <w:num w:numId="58" w16cid:durableId="313027836">
    <w:abstractNumId w:val="40"/>
  </w:num>
  <w:num w:numId="59" w16cid:durableId="294920400">
    <w:abstractNumId w:val="7"/>
  </w:num>
  <w:num w:numId="60" w16cid:durableId="1457867635">
    <w:abstractNumId w:val="8"/>
  </w:num>
  <w:num w:numId="61" w16cid:durableId="366873278">
    <w:abstractNumId w:val="29"/>
  </w:num>
  <w:num w:numId="62" w16cid:durableId="125127291">
    <w:abstractNumId w:val="18"/>
  </w:num>
  <w:num w:numId="63" w16cid:durableId="1323855517">
    <w:abstractNumId w:val="9"/>
  </w:num>
  <w:num w:numId="64" w16cid:durableId="520899487">
    <w:abstractNumId w:val="54"/>
  </w:num>
  <w:num w:numId="65" w16cid:durableId="1716077942">
    <w:abstractNumId w:val="41"/>
  </w:num>
  <w:num w:numId="66" w16cid:durableId="1954441151">
    <w:abstractNumId w:val="53"/>
  </w:num>
  <w:num w:numId="67" w16cid:durableId="335116036">
    <w:abstractNumId w:val="1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00EE"/>
    <w:rsid w:val="000278D8"/>
    <w:rsid w:val="00027D9B"/>
    <w:rsid w:val="000327C9"/>
    <w:rsid w:val="00033CD7"/>
    <w:rsid w:val="00037B76"/>
    <w:rsid w:val="000448AF"/>
    <w:rsid w:val="00051C99"/>
    <w:rsid w:val="0005256A"/>
    <w:rsid w:val="000839FF"/>
    <w:rsid w:val="00083AEF"/>
    <w:rsid w:val="000932EA"/>
    <w:rsid w:val="00094932"/>
    <w:rsid w:val="0009662E"/>
    <w:rsid w:val="000A1864"/>
    <w:rsid w:val="000B3FDF"/>
    <w:rsid w:val="000D0B4F"/>
    <w:rsid w:val="000F33EF"/>
    <w:rsid w:val="000F5C0E"/>
    <w:rsid w:val="000F7EC3"/>
    <w:rsid w:val="001021FF"/>
    <w:rsid w:val="0010398F"/>
    <w:rsid w:val="0010766B"/>
    <w:rsid w:val="00140CFA"/>
    <w:rsid w:val="00173E19"/>
    <w:rsid w:val="00183A7B"/>
    <w:rsid w:val="00183B69"/>
    <w:rsid w:val="001935C4"/>
    <w:rsid w:val="001B6C66"/>
    <w:rsid w:val="001D74F3"/>
    <w:rsid w:val="001E12A1"/>
    <w:rsid w:val="001E487C"/>
    <w:rsid w:val="001E79C8"/>
    <w:rsid w:val="001F4BAF"/>
    <w:rsid w:val="001F4C21"/>
    <w:rsid w:val="001F7F52"/>
    <w:rsid w:val="00201477"/>
    <w:rsid w:val="002021CD"/>
    <w:rsid w:val="0020269A"/>
    <w:rsid w:val="002062C8"/>
    <w:rsid w:val="00217970"/>
    <w:rsid w:val="00221569"/>
    <w:rsid w:val="0022206C"/>
    <w:rsid w:val="002254A8"/>
    <w:rsid w:val="0023048D"/>
    <w:rsid w:val="00235C2A"/>
    <w:rsid w:val="002440A0"/>
    <w:rsid w:val="00255AE2"/>
    <w:rsid w:val="00271362"/>
    <w:rsid w:val="0027154D"/>
    <w:rsid w:val="00287CD8"/>
    <w:rsid w:val="002913CA"/>
    <w:rsid w:val="00291999"/>
    <w:rsid w:val="0029501E"/>
    <w:rsid w:val="002A082F"/>
    <w:rsid w:val="002A5FA0"/>
    <w:rsid w:val="002B5462"/>
    <w:rsid w:val="002B689E"/>
    <w:rsid w:val="002B6DCB"/>
    <w:rsid w:val="002C4FA4"/>
    <w:rsid w:val="002E0923"/>
    <w:rsid w:val="002E453D"/>
    <w:rsid w:val="002F5209"/>
    <w:rsid w:val="0030766F"/>
    <w:rsid w:val="00327C1F"/>
    <w:rsid w:val="0035339B"/>
    <w:rsid w:val="003554F5"/>
    <w:rsid w:val="003570B6"/>
    <w:rsid w:val="00357143"/>
    <w:rsid w:val="003660B0"/>
    <w:rsid w:val="00367E2A"/>
    <w:rsid w:val="003911AE"/>
    <w:rsid w:val="00391EB7"/>
    <w:rsid w:val="003920A7"/>
    <w:rsid w:val="00394E1F"/>
    <w:rsid w:val="003A3FFD"/>
    <w:rsid w:val="003B10F2"/>
    <w:rsid w:val="003B7AD6"/>
    <w:rsid w:val="003C3723"/>
    <w:rsid w:val="003D4C06"/>
    <w:rsid w:val="003D4D63"/>
    <w:rsid w:val="003D500C"/>
    <w:rsid w:val="003F03A3"/>
    <w:rsid w:val="003F07D5"/>
    <w:rsid w:val="00430392"/>
    <w:rsid w:val="00431305"/>
    <w:rsid w:val="00452E17"/>
    <w:rsid w:val="004561DF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2EB8"/>
    <w:rsid w:val="004D1BF6"/>
    <w:rsid w:val="004D7AB1"/>
    <w:rsid w:val="004F0E3F"/>
    <w:rsid w:val="00513593"/>
    <w:rsid w:val="00516ED5"/>
    <w:rsid w:val="005231BD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673E"/>
    <w:rsid w:val="00586813"/>
    <w:rsid w:val="005954D7"/>
    <w:rsid w:val="005A46D2"/>
    <w:rsid w:val="005A67A4"/>
    <w:rsid w:val="005C0B35"/>
    <w:rsid w:val="005E536F"/>
    <w:rsid w:val="005E61B1"/>
    <w:rsid w:val="005E7410"/>
    <w:rsid w:val="005F6B45"/>
    <w:rsid w:val="00623C04"/>
    <w:rsid w:val="0063621E"/>
    <w:rsid w:val="00661D46"/>
    <w:rsid w:val="00676D33"/>
    <w:rsid w:val="006918FB"/>
    <w:rsid w:val="006A1888"/>
    <w:rsid w:val="006C43AB"/>
    <w:rsid w:val="006C6EF7"/>
    <w:rsid w:val="006D315B"/>
    <w:rsid w:val="006D4544"/>
    <w:rsid w:val="006D6808"/>
    <w:rsid w:val="006E08F8"/>
    <w:rsid w:val="006F6E4B"/>
    <w:rsid w:val="00744DB3"/>
    <w:rsid w:val="00756C62"/>
    <w:rsid w:val="00756EB3"/>
    <w:rsid w:val="00762CEB"/>
    <w:rsid w:val="00762E7E"/>
    <w:rsid w:val="00764726"/>
    <w:rsid w:val="00770C90"/>
    <w:rsid w:val="00783B0B"/>
    <w:rsid w:val="007862C6"/>
    <w:rsid w:val="00796B8A"/>
    <w:rsid w:val="00797EC4"/>
    <w:rsid w:val="007A0820"/>
    <w:rsid w:val="007A4D50"/>
    <w:rsid w:val="007B1448"/>
    <w:rsid w:val="007C20D7"/>
    <w:rsid w:val="007C3B3C"/>
    <w:rsid w:val="007C5039"/>
    <w:rsid w:val="007D0EF5"/>
    <w:rsid w:val="007D2632"/>
    <w:rsid w:val="007E1F1C"/>
    <w:rsid w:val="007F1C36"/>
    <w:rsid w:val="008021B6"/>
    <w:rsid w:val="00827945"/>
    <w:rsid w:val="0083249D"/>
    <w:rsid w:val="0085004A"/>
    <w:rsid w:val="00860B92"/>
    <w:rsid w:val="008664C9"/>
    <w:rsid w:val="008748CB"/>
    <w:rsid w:val="008B4593"/>
    <w:rsid w:val="008B6501"/>
    <w:rsid w:val="008C06A8"/>
    <w:rsid w:val="008D4F99"/>
    <w:rsid w:val="008E0B90"/>
    <w:rsid w:val="008F0FA9"/>
    <w:rsid w:val="008F4F66"/>
    <w:rsid w:val="008F7874"/>
    <w:rsid w:val="00902307"/>
    <w:rsid w:val="00907932"/>
    <w:rsid w:val="00907F35"/>
    <w:rsid w:val="00933AA9"/>
    <w:rsid w:val="00934785"/>
    <w:rsid w:val="009354D9"/>
    <w:rsid w:val="00970632"/>
    <w:rsid w:val="00970BED"/>
    <w:rsid w:val="009750D4"/>
    <w:rsid w:val="0098635D"/>
    <w:rsid w:val="00987AD1"/>
    <w:rsid w:val="00994CF3"/>
    <w:rsid w:val="009C270A"/>
    <w:rsid w:val="009C42B8"/>
    <w:rsid w:val="009D06D4"/>
    <w:rsid w:val="009D2A8B"/>
    <w:rsid w:val="009D78B9"/>
    <w:rsid w:val="009E2CB0"/>
    <w:rsid w:val="009E51E1"/>
    <w:rsid w:val="009F03DF"/>
    <w:rsid w:val="009F1028"/>
    <w:rsid w:val="009F29BF"/>
    <w:rsid w:val="009F3FB0"/>
    <w:rsid w:val="009F6BB8"/>
    <w:rsid w:val="00A009DE"/>
    <w:rsid w:val="00A03393"/>
    <w:rsid w:val="00A061AB"/>
    <w:rsid w:val="00A06325"/>
    <w:rsid w:val="00A214A9"/>
    <w:rsid w:val="00A229F1"/>
    <w:rsid w:val="00A31A0E"/>
    <w:rsid w:val="00A33395"/>
    <w:rsid w:val="00A41E27"/>
    <w:rsid w:val="00A427FD"/>
    <w:rsid w:val="00A4318A"/>
    <w:rsid w:val="00A45D4A"/>
    <w:rsid w:val="00A62403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E44"/>
    <w:rsid w:val="00AD650D"/>
    <w:rsid w:val="00AE07E3"/>
    <w:rsid w:val="00AE09F9"/>
    <w:rsid w:val="00AE1AF1"/>
    <w:rsid w:val="00AE4233"/>
    <w:rsid w:val="00AE756D"/>
    <w:rsid w:val="00AF6091"/>
    <w:rsid w:val="00B0327A"/>
    <w:rsid w:val="00B15B66"/>
    <w:rsid w:val="00B20067"/>
    <w:rsid w:val="00B219AF"/>
    <w:rsid w:val="00B21FC6"/>
    <w:rsid w:val="00B30463"/>
    <w:rsid w:val="00B37BDB"/>
    <w:rsid w:val="00B4579F"/>
    <w:rsid w:val="00B50E16"/>
    <w:rsid w:val="00B513A7"/>
    <w:rsid w:val="00B52514"/>
    <w:rsid w:val="00B60BD7"/>
    <w:rsid w:val="00B60D34"/>
    <w:rsid w:val="00B9754D"/>
    <w:rsid w:val="00BB6C72"/>
    <w:rsid w:val="00BB6FF0"/>
    <w:rsid w:val="00BB7FB5"/>
    <w:rsid w:val="00BD23E1"/>
    <w:rsid w:val="00BD4093"/>
    <w:rsid w:val="00BF453F"/>
    <w:rsid w:val="00BF5941"/>
    <w:rsid w:val="00BF67A6"/>
    <w:rsid w:val="00C029E8"/>
    <w:rsid w:val="00C13BFC"/>
    <w:rsid w:val="00C26242"/>
    <w:rsid w:val="00C31CE1"/>
    <w:rsid w:val="00C52A4A"/>
    <w:rsid w:val="00C61AD4"/>
    <w:rsid w:val="00C7781C"/>
    <w:rsid w:val="00CA1112"/>
    <w:rsid w:val="00CB4807"/>
    <w:rsid w:val="00CC577C"/>
    <w:rsid w:val="00CC7344"/>
    <w:rsid w:val="00CD4028"/>
    <w:rsid w:val="00CF08C8"/>
    <w:rsid w:val="00CF08E1"/>
    <w:rsid w:val="00D26F8F"/>
    <w:rsid w:val="00D32E98"/>
    <w:rsid w:val="00D348FB"/>
    <w:rsid w:val="00D56F4E"/>
    <w:rsid w:val="00D60023"/>
    <w:rsid w:val="00D63689"/>
    <w:rsid w:val="00D641DC"/>
    <w:rsid w:val="00D735F8"/>
    <w:rsid w:val="00D76255"/>
    <w:rsid w:val="00D800FE"/>
    <w:rsid w:val="00D8592C"/>
    <w:rsid w:val="00DA0D37"/>
    <w:rsid w:val="00DB2820"/>
    <w:rsid w:val="00DC3FD9"/>
    <w:rsid w:val="00DC4BDF"/>
    <w:rsid w:val="00DC545D"/>
    <w:rsid w:val="00DD09B8"/>
    <w:rsid w:val="00DD34E4"/>
    <w:rsid w:val="00DD628D"/>
    <w:rsid w:val="00DD697A"/>
    <w:rsid w:val="00DD6AB1"/>
    <w:rsid w:val="00DE2DD6"/>
    <w:rsid w:val="00DF359B"/>
    <w:rsid w:val="00E01835"/>
    <w:rsid w:val="00E12060"/>
    <w:rsid w:val="00E2417C"/>
    <w:rsid w:val="00E24F7A"/>
    <w:rsid w:val="00E3676A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2E2"/>
    <w:rsid w:val="00EA524E"/>
    <w:rsid w:val="00EA6EF9"/>
    <w:rsid w:val="00EA71EE"/>
    <w:rsid w:val="00EB1729"/>
    <w:rsid w:val="00EC1FA4"/>
    <w:rsid w:val="00EC4E27"/>
    <w:rsid w:val="00ED28F1"/>
    <w:rsid w:val="00EF4285"/>
    <w:rsid w:val="00EF66DE"/>
    <w:rsid w:val="00F03820"/>
    <w:rsid w:val="00F111F7"/>
    <w:rsid w:val="00F17459"/>
    <w:rsid w:val="00F24936"/>
    <w:rsid w:val="00F47ADD"/>
    <w:rsid w:val="00F607ED"/>
    <w:rsid w:val="00F62213"/>
    <w:rsid w:val="00F70078"/>
    <w:rsid w:val="00F8413D"/>
    <w:rsid w:val="00F9078E"/>
    <w:rsid w:val="00F90899"/>
    <w:rsid w:val="00F90DE5"/>
    <w:rsid w:val="00FB6ECC"/>
    <w:rsid w:val="00FB7009"/>
    <w:rsid w:val="00FC056A"/>
    <w:rsid w:val="00FD214A"/>
    <w:rsid w:val="00FD6187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7A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D40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5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5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59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87A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051C99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BD409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841CA-E0CD-4093-9501-1F0A414F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11</Pages>
  <Words>2575</Words>
  <Characters>15456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i zakres wymaganych załączników do wniosku o dofinansowanie</vt:lpstr>
    </vt:vector>
  </TitlesOfParts>
  <Company>NFOSiGW</Company>
  <LinksUpToDate>false</LinksUpToDate>
  <CharactersWithSpaces>17996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 zakres wymaganych załączników do wniosku o dofinansowanie</dc:title>
  <dc:subject/>
  <dc:creator>Maliszewski Bartłomiej</dc:creator>
  <cp:keywords/>
  <dc:description/>
  <cp:lastModifiedBy>Miłoszewski Konrad</cp:lastModifiedBy>
  <cp:revision>12</cp:revision>
  <dcterms:created xsi:type="dcterms:W3CDTF">2024-08-20T12:00:00Z</dcterms:created>
  <dcterms:modified xsi:type="dcterms:W3CDTF">2024-09-18T11:12:00Z</dcterms:modified>
</cp:coreProperties>
</file>