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AA" w:rsidRPr="007E469E" w:rsidRDefault="00BE3CB8" w:rsidP="006E7156">
      <w:pPr>
        <w:spacing w:after="3840"/>
        <w:jc w:val="center"/>
        <w:rPr>
          <w:sz w:val="24"/>
        </w:rPr>
      </w:pPr>
      <w:r w:rsidRPr="008F2221">
        <w:rPr>
          <w:noProof/>
          <w:sz w:val="24"/>
          <w:lang w:eastAsia="pl-PL"/>
        </w:rPr>
        <w:drawing>
          <wp:inline distT="0" distB="0" distL="0" distR="0" wp14:anchorId="276600C4" wp14:editId="0F381C93">
            <wp:extent cx="5760720" cy="86720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0720" cy="867205"/>
                    </a:xfrm>
                    <a:prstGeom prst="rect">
                      <a:avLst/>
                    </a:prstGeom>
                    <a:noFill/>
                  </pic:spPr>
                </pic:pic>
              </a:graphicData>
            </a:graphic>
          </wp:inline>
        </w:drawing>
      </w:r>
    </w:p>
    <w:p w:rsidR="002F60DC" w:rsidRDefault="002F60DC" w:rsidP="00B81671">
      <w:pPr>
        <w:jc w:val="center"/>
        <w:rPr>
          <w:rFonts w:ascii="Arial" w:hAnsi="Arial" w:cs="Arial"/>
          <w:b/>
          <w:sz w:val="24"/>
          <w:szCs w:val="24"/>
        </w:rPr>
      </w:pP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r>
        <w:rPr>
          <w:rFonts w:ascii="Arial" w:hAnsi="Arial" w:cs="Arial"/>
          <w:b/>
          <w:sz w:val="24"/>
          <w:szCs w:val="24"/>
        </w:rPr>
        <w:t xml:space="preserve">Katalog </w:t>
      </w:r>
      <w:r w:rsidR="00BE3CB8">
        <w:rPr>
          <w:rFonts w:ascii="Arial" w:hAnsi="Arial" w:cs="Arial"/>
          <w:b/>
          <w:sz w:val="24"/>
          <w:szCs w:val="24"/>
        </w:rPr>
        <w:t xml:space="preserve">wydatków </w:t>
      </w:r>
      <w:r>
        <w:rPr>
          <w:rFonts w:ascii="Arial" w:hAnsi="Arial" w:cs="Arial"/>
          <w:b/>
          <w:sz w:val="24"/>
          <w:szCs w:val="24"/>
        </w:rPr>
        <w:t>kwalifikowalnych</w:t>
      </w:r>
    </w:p>
    <w:p w:rsidR="002F60DC" w:rsidRDefault="002F60DC" w:rsidP="00B81671">
      <w:pPr>
        <w:jc w:val="center"/>
        <w:rPr>
          <w:rFonts w:ascii="Arial" w:hAnsi="Arial" w:cs="Arial"/>
          <w:b/>
          <w:sz w:val="24"/>
          <w:szCs w:val="24"/>
        </w:rPr>
      </w:pPr>
      <w:r>
        <w:rPr>
          <w:rFonts w:ascii="Arial" w:hAnsi="Arial" w:cs="Arial"/>
          <w:b/>
          <w:sz w:val="24"/>
          <w:szCs w:val="24"/>
        </w:rPr>
        <w:t xml:space="preserve"> w projektach realizowanych </w:t>
      </w:r>
      <w:r w:rsidR="00BE3CB8">
        <w:rPr>
          <w:rFonts w:ascii="Arial" w:hAnsi="Arial" w:cs="Arial"/>
          <w:b/>
          <w:sz w:val="24"/>
          <w:szCs w:val="24"/>
        </w:rPr>
        <w:t xml:space="preserve">w ramach II osi priorytetowej </w:t>
      </w:r>
    </w:p>
    <w:bookmarkEnd w:id="0"/>
    <w:bookmarkEnd w:id="1"/>
    <w:p w:rsidR="00E352AA" w:rsidRPr="00B81671" w:rsidRDefault="007005C1" w:rsidP="00B81671">
      <w:pPr>
        <w:jc w:val="center"/>
        <w:rPr>
          <w:sz w:val="24"/>
          <w:szCs w:val="24"/>
        </w:rPr>
      </w:pPr>
      <w:r w:rsidRPr="00B81671">
        <w:rPr>
          <w:rFonts w:ascii="Arial" w:hAnsi="Arial" w:cs="Arial"/>
          <w:b/>
          <w:sz w:val="24"/>
          <w:szCs w:val="24"/>
        </w:rPr>
        <w:t>Program</w:t>
      </w:r>
      <w:r w:rsidR="00BE3CB8">
        <w:rPr>
          <w:rFonts w:ascii="Arial" w:hAnsi="Arial" w:cs="Arial"/>
          <w:b/>
          <w:sz w:val="24"/>
          <w:szCs w:val="24"/>
        </w:rPr>
        <w:t>u</w:t>
      </w:r>
      <w:r w:rsidRPr="00B81671">
        <w:rPr>
          <w:rFonts w:ascii="Arial" w:hAnsi="Arial" w:cs="Arial"/>
          <w:b/>
          <w:sz w:val="24"/>
          <w:szCs w:val="24"/>
        </w:rPr>
        <w:t xml:space="preserve"> Operacyjn</w:t>
      </w:r>
      <w:r w:rsidR="00BE3CB8">
        <w:rPr>
          <w:rFonts w:ascii="Arial" w:hAnsi="Arial" w:cs="Arial"/>
          <w:b/>
          <w:sz w:val="24"/>
          <w:szCs w:val="24"/>
        </w:rPr>
        <w:t>ego</w:t>
      </w:r>
      <w:r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2"/>
      <w:bookmarkEnd w:id="3"/>
      <w:bookmarkEnd w:id="4"/>
      <w:bookmarkEnd w:id="5"/>
      <w:bookmarkEnd w:id="6"/>
      <w:bookmarkEnd w:id="7"/>
      <w:bookmarkEnd w:id="8"/>
      <w:bookmarkEnd w:id="9"/>
      <w:permStart w:id="1395291465" w:edGrp="everyone"/>
      <w:permEnd w:id="1395291465"/>
    </w:p>
    <w:p w:rsidR="00E352AA" w:rsidRPr="00B81671" w:rsidRDefault="00E352AA" w:rsidP="006E7156">
      <w:pPr>
        <w:spacing w:after="4560"/>
        <w:jc w:val="center"/>
        <w:rPr>
          <w:rFonts w:ascii="Arial" w:hAnsi="Arial" w:cs="Arial"/>
          <w:b/>
          <w:bCs/>
          <w:i/>
          <w:iCs/>
          <w:color w:val="000000"/>
          <w:sz w:val="24"/>
          <w:szCs w:val="24"/>
        </w:rPr>
      </w:pPr>
    </w:p>
    <w:p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6C2121" w:rsidRPr="007E469E">
        <w:rPr>
          <w:b/>
          <w:bCs/>
          <w:i/>
          <w:iCs/>
          <w:color w:val="000000"/>
        </w:rPr>
        <w:t>,</w:t>
      </w:r>
      <w:bookmarkStart w:id="10" w:name="_GoBack"/>
      <w:bookmarkEnd w:id="10"/>
      <w:r w:rsidR="006C2121">
        <w:rPr>
          <w:b/>
          <w:bCs/>
          <w:i/>
          <w:iCs/>
          <w:color w:val="000000"/>
        </w:rPr>
        <w:t xml:space="preserve"> </w:t>
      </w:r>
      <w:r w:rsidR="00C87FE3">
        <w:rPr>
          <w:b/>
          <w:bCs/>
          <w:i/>
          <w:iCs/>
          <w:color w:val="000000"/>
        </w:rPr>
        <w:t>23 stycznia</w:t>
      </w:r>
      <w:r w:rsidR="00D55B89">
        <w:rPr>
          <w:b/>
          <w:bCs/>
          <w:i/>
          <w:iCs/>
          <w:color w:val="000000"/>
        </w:rPr>
        <w:t xml:space="preserve"> </w:t>
      </w:r>
      <w:r w:rsidR="00CF0209" w:rsidRPr="007E469E">
        <w:rPr>
          <w:b/>
          <w:bCs/>
          <w:i/>
          <w:iCs/>
          <w:color w:val="000000"/>
        </w:rPr>
        <w:t>201</w:t>
      </w:r>
      <w:r w:rsidR="00C87FE3">
        <w:rPr>
          <w:b/>
          <w:bCs/>
          <w:i/>
          <w:iCs/>
          <w:color w:val="000000"/>
        </w:rPr>
        <w:t>8</w:t>
      </w:r>
      <w:r w:rsidR="00CF0209" w:rsidRPr="007E469E">
        <w:rPr>
          <w:b/>
          <w:bCs/>
          <w:i/>
          <w:iCs/>
          <w:color w:val="000000"/>
        </w:rPr>
        <w:t xml:space="preserve"> r.</w:t>
      </w: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8E627A"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500322989" w:history="1">
            <w:r w:rsidR="008E627A" w:rsidRPr="00804501">
              <w:rPr>
                <w:rStyle w:val="Hipercze"/>
              </w:rPr>
              <w:t>Wykaz skrótów</w:t>
            </w:r>
            <w:r w:rsidR="008E627A">
              <w:rPr>
                <w:webHidden/>
              </w:rPr>
              <w:tab/>
            </w:r>
            <w:r w:rsidR="008E627A">
              <w:rPr>
                <w:webHidden/>
              </w:rPr>
              <w:fldChar w:fldCharType="begin"/>
            </w:r>
            <w:r w:rsidR="008E627A">
              <w:rPr>
                <w:webHidden/>
              </w:rPr>
              <w:instrText xml:space="preserve"> PAGEREF _Toc500322989 \h </w:instrText>
            </w:r>
            <w:r w:rsidR="008E627A">
              <w:rPr>
                <w:webHidden/>
              </w:rPr>
            </w:r>
            <w:r w:rsidR="008E627A">
              <w:rPr>
                <w:webHidden/>
              </w:rPr>
              <w:fldChar w:fldCharType="separate"/>
            </w:r>
            <w:r w:rsidR="008E627A">
              <w:rPr>
                <w:webHidden/>
              </w:rPr>
              <w:t>3</w:t>
            </w:r>
            <w:r w:rsidR="008E627A">
              <w:rPr>
                <w:webHidden/>
              </w:rPr>
              <w:fldChar w:fldCharType="end"/>
            </w:r>
          </w:hyperlink>
        </w:p>
        <w:p w:rsidR="008E627A" w:rsidRDefault="00CB0321">
          <w:pPr>
            <w:pStyle w:val="Spistreci1"/>
            <w:rPr>
              <w:rFonts w:asciiTheme="minorHAnsi" w:hAnsiTheme="minorHAnsi" w:cstheme="minorBidi"/>
              <w:b w:val="0"/>
            </w:rPr>
          </w:pPr>
          <w:hyperlink w:anchor="_Toc500322990" w:history="1">
            <w:r w:rsidR="008E627A" w:rsidRPr="00804501">
              <w:rPr>
                <w:rStyle w:val="Hipercze"/>
              </w:rPr>
              <w:t>1.</w:t>
            </w:r>
            <w:r w:rsidR="008E627A">
              <w:rPr>
                <w:rFonts w:asciiTheme="minorHAnsi" w:hAnsiTheme="minorHAnsi" w:cstheme="minorBidi"/>
                <w:b w:val="0"/>
              </w:rPr>
              <w:tab/>
            </w:r>
            <w:r w:rsidR="008E627A" w:rsidRPr="00804501">
              <w:rPr>
                <w:rStyle w:val="Hipercze"/>
              </w:rPr>
              <w:t>Rozdział - Słowniczek pojęć</w:t>
            </w:r>
            <w:r w:rsidR="008E627A">
              <w:rPr>
                <w:webHidden/>
              </w:rPr>
              <w:tab/>
            </w:r>
            <w:r w:rsidR="008E627A">
              <w:rPr>
                <w:webHidden/>
              </w:rPr>
              <w:fldChar w:fldCharType="begin"/>
            </w:r>
            <w:r w:rsidR="008E627A">
              <w:rPr>
                <w:webHidden/>
              </w:rPr>
              <w:instrText xml:space="preserve"> PAGEREF _Toc500322990 \h </w:instrText>
            </w:r>
            <w:r w:rsidR="008E627A">
              <w:rPr>
                <w:webHidden/>
              </w:rPr>
            </w:r>
            <w:r w:rsidR="008E627A">
              <w:rPr>
                <w:webHidden/>
              </w:rPr>
              <w:fldChar w:fldCharType="separate"/>
            </w:r>
            <w:r w:rsidR="008E627A">
              <w:rPr>
                <w:webHidden/>
              </w:rPr>
              <w:t>4</w:t>
            </w:r>
            <w:r w:rsidR="008E627A">
              <w:rPr>
                <w:webHidden/>
              </w:rPr>
              <w:fldChar w:fldCharType="end"/>
            </w:r>
          </w:hyperlink>
        </w:p>
        <w:p w:rsidR="008E627A" w:rsidRDefault="00CB0321">
          <w:pPr>
            <w:pStyle w:val="Spistreci1"/>
            <w:rPr>
              <w:rFonts w:asciiTheme="minorHAnsi" w:hAnsiTheme="minorHAnsi" w:cstheme="minorBidi"/>
              <w:b w:val="0"/>
            </w:rPr>
          </w:pPr>
          <w:hyperlink w:anchor="_Toc500322991" w:history="1">
            <w:r w:rsidR="008E627A" w:rsidRPr="00804501">
              <w:rPr>
                <w:rStyle w:val="Hipercze"/>
              </w:rPr>
              <w:t>2.</w:t>
            </w:r>
            <w:r w:rsidR="008E627A">
              <w:rPr>
                <w:rFonts w:asciiTheme="minorHAnsi" w:hAnsiTheme="minorHAnsi" w:cstheme="minorBidi"/>
                <w:b w:val="0"/>
              </w:rPr>
              <w:tab/>
            </w:r>
            <w:r w:rsidR="008E627A" w:rsidRPr="00804501">
              <w:rPr>
                <w:rStyle w:val="Hipercze"/>
              </w:rPr>
              <w:t xml:space="preserve">Rozdział - Cel, zakres oraz obowiązywanie </w:t>
            </w:r>
            <w:r w:rsidR="008E627A" w:rsidRPr="00804501">
              <w:rPr>
                <w:rStyle w:val="Hipercze"/>
                <w:i/>
              </w:rPr>
              <w:t>Katalogu</w:t>
            </w:r>
            <w:r w:rsidR="008E627A">
              <w:rPr>
                <w:webHidden/>
              </w:rPr>
              <w:tab/>
            </w:r>
            <w:r w:rsidR="008E627A">
              <w:rPr>
                <w:webHidden/>
              </w:rPr>
              <w:fldChar w:fldCharType="begin"/>
            </w:r>
            <w:r w:rsidR="008E627A">
              <w:rPr>
                <w:webHidden/>
              </w:rPr>
              <w:instrText xml:space="preserve"> PAGEREF _Toc500322991 \h </w:instrText>
            </w:r>
            <w:r w:rsidR="008E627A">
              <w:rPr>
                <w:webHidden/>
              </w:rPr>
            </w:r>
            <w:r w:rsidR="008E627A">
              <w:rPr>
                <w:webHidden/>
              </w:rPr>
              <w:fldChar w:fldCharType="separate"/>
            </w:r>
            <w:r w:rsidR="008E627A">
              <w:rPr>
                <w:webHidden/>
              </w:rPr>
              <w:t>11</w:t>
            </w:r>
            <w:r w:rsidR="008E627A">
              <w:rPr>
                <w:webHidden/>
              </w:rPr>
              <w:fldChar w:fldCharType="end"/>
            </w:r>
          </w:hyperlink>
        </w:p>
        <w:p w:rsidR="008E627A" w:rsidRDefault="00CB0321">
          <w:pPr>
            <w:pStyle w:val="Spistreci1"/>
            <w:rPr>
              <w:rFonts w:asciiTheme="minorHAnsi" w:hAnsiTheme="minorHAnsi" w:cstheme="minorBidi"/>
              <w:b w:val="0"/>
            </w:rPr>
          </w:pPr>
          <w:hyperlink w:anchor="_Toc500322992" w:history="1">
            <w:r w:rsidR="008E627A" w:rsidRPr="00804501">
              <w:rPr>
                <w:rStyle w:val="Hipercze"/>
              </w:rPr>
              <w:t>3.</w:t>
            </w:r>
            <w:r w:rsidR="008E627A">
              <w:rPr>
                <w:rFonts w:asciiTheme="minorHAnsi" w:hAnsiTheme="minorHAnsi" w:cstheme="minorBidi"/>
                <w:b w:val="0"/>
              </w:rPr>
              <w:tab/>
            </w:r>
            <w:r w:rsidR="008E627A" w:rsidRPr="00804501">
              <w:rPr>
                <w:rStyle w:val="Hipercze"/>
              </w:rPr>
              <w:t>Rozdział - Wspólne warunki i procedury w zakresie kwalifikowalności wydatków</w:t>
            </w:r>
            <w:r w:rsidR="008E627A">
              <w:rPr>
                <w:webHidden/>
              </w:rPr>
              <w:tab/>
            </w:r>
            <w:r w:rsidR="008E627A">
              <w:rPr>
                <w:webHidden/>
              </w:rPr>
              <w:fldChar w:fldCharType="begin"/>
            </w:r>
            <w:r w:rsidR="008E627A">
              <w:rPr>
                <w:webHidden/>
              </w:rPr>
              <w:instrText xml:space="preserve"> PAGEREF _Toc500322992 \h </w:instrText>
            </w:r>
            <w:r w:rsidR="008E627A">
              <w:rPr>
                <w:webHidden/>
              </w:rPr>
            </w:r>
            <w:r w:rsidR="008E627A">
              <w:rPr>
                <w:webHidden/>
              </w:rPr>
              <w:fldChar w:fldCharType="separate"/>
            </w:r>
            <w:r w:rsidR="008E627A">
              <w:rPr>
                <w:webHidden/>
              </w:rPr>
              <w:t>12</w:t>
            </w:r>
            <w:r w:rsidR="008E627A">
              <w:rPr>
                <w:webHidden/>
              </w:rPr>
              <w:fldChar w:fldCharType="end"/>
            </w:r>
          </w:hyperlink>
        </w:p>
        <w:p w:rsidR="008E627A" w:rsidRDefault="00CB0321">
          <w:pPr>
            <w:pStyle w:val="Spistreci2"/>
            <w:tabs>
              <w:tab w:val="left" w:pos="880"/>
              <w:tab w:val="right" w:leader="dot" w:pos="9062"/>
            </w:tabs>
            <w:rPr>
              <w:noProof/>
            </w:rPr>
          </w:pPr>
          <w:hyperlink w:anchor="_Toc500322993" w:history="1">
            <w:r w:rsidR="008E627A" w:rsidRPr="00804501">
              <w:rPr>
                <w:rStyle w:val="Hipercze"/>
                <w:rFonts w:ascii="Arial" w:hAnsi="Arial" w:cs="Arial"/>
                <w:i/>
                <w:noProof/>
              </w:rPr>
              <w:t>3.1</w:t>
            </w:r>
            <w:r w:rsidR="008E627A">
              <w:rPr>
                <w:noProof/>
              </w:rPr>
              <w:tab/>
            </w:r>
            <w:r w:rsidR="008E627A" w:rsidRPr="00804501">
              <w:rPr>
                <w:rStyle w:val="Hipercze"/>
                <w:rFonts w:ascii="Arial" w:hAnsi="Arial" w:cs="Arial"/>
                <w:i/>
                <w:noProof/>
              </w:rPr>
              <w:t>Ocena kwalifikowalności wydatku.</w:t>
            </w:r>
            <w:r w:rsidR="008E627A">
              <w:rPr>
                <w:noProof/>
                <w:webHidden/>
              </w:rPr>
              <w:tab/>
            </w:r>
            <w:r w:rsidR="008E627A">
              <w:rPr>
                <w:noProof/>
                <w:webHidden/>
              </w:rPr>
              <w:fldChar w:fldCharType="begin"/>
            </w:r>
            <w:r w:rsidR="008E627A">
              <w:rPr>
                <w:noProof/>
                <w:webHidden/>
              </w:rPr>
              <w:instrText xml:space="preserve"> PAGEREF _Toc500322993 \h </w:instrText>
            </w:r>
            <w:r w:rsidR="008E627A">
              <w:rPr>
                <w:noProof/>
                <w:webHidden/>
              </w:rPr>
            </w:r>
            <w:r w:rsidR="008E627A">
              <w:rPr>
                <w:noProof/>
                <w:webHidden/>
              </w:rPr>
              <w:fldChar w:fldCharType="separate"/>
            </w:r>
            <w:r w:rsidR="008E627A">
              <w:rPr>
                <w:noProof/>
                <w:webHidden/>
              </w:rPr>
              <w:t>12</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2994" w:history="1">
            <w:r w:rsidR="008E627A" w:rsidRPr="00804501">
              <w:rPr>
                <w:rStyle w:val="Hipercze"/>
                <w:rFonts w:ascii="Arial" w:hAnsi="Arial" w:cs="Arial"/>
                <w:i/>
                <w:noProof/>
              </w:rPr>
              <w:t>3.2</w:t>
            </w:r>
            <w:r w:rsidR="008E627A">
              <w:rPr>
                <w:noProof/>
              </w:rPr>
              <w:tab/>
            </w:r>
            <w:r w:rsidR="008E627A" w:rsidRPr="00804501">
              <w:rPr>
                <w:rStyle w:val="Hipercze"/>
                <w:rFonts w:ascii="Arial" w:hAnsi="Arial" w:cs="Arial"/>
                <w:i/>
                <w:noProof/>
              </w:rPr>
              <w:t>Zasada faktycznego poniesienia wydatku</w:t>
            </w:r>
            <w:r w:rsidR="008E627A">
              <w:rPr>
                <w:noProof/>
                <w:webHidden/>
              </w:rPr>
              <w:tab/>
            </w:r>
            <w:r w:rsidR="008E627A">
              <w:rPr>
                <w:noProof/>
                <w:webHidden/>
              </w:rPr>
              <w:fldChar w:fldCharType="begin"/>
            </w:r>
            <w:r w:rsidR="008E627A">
              <w:rPr>
                <w:noProof/>
                <w:webHidden/>
              </w:rPr>
              <w:instrText xml:space="preserve"> PAGEREF _Toc500322994 \h </w:instrText>
            </w:r>
            <w:r w:rsidR="008E627A">
              <w:rPr>
                <w:noProof/>
                <w:webHidden/>
              </w:rPr>
            </w:r>
            <w:r w:rsidR="008E627A">
              <w:rPr>
                <w:noProof/>
                <w:webHidden/>
              </w:rPr>
              <w:fldChar w:fldCharType="separate"/>
            </w:r>
            <w:r w:rsidR="008E627A">
              <w:rPr>
                <w:noProof/>
                <w:webHidden/>
              </w:rPr>
              <w:t>12</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2995" w:history="1">
            <w:r w:rsidR="008E627A" w:rsidRPr="00804501">
              <w:rPr>
                <w:rStyle w:val="Hipercze"/>
                <w:rFonts w:ascii="Arial" w:hAnsi="Arial" w:cs="Arial"/>
                <w:i/>
                <w:noProof/>
              </w:rPr>
              <w:t>3.3</w:t>
            </w:r>
            <w:r w:rsidR="008E627A">
              <w:rPr>
                <w:noProof/>
              </w:rPr>
              <w:tab/>
            </w:r>
            <w:r w:rsidR="008E627A" w:rsidRPr="00804501">
              <w:rPr>
                <w:rStyle w:val="Hipercze"/>
                <w:rFonts w:ascii="Arial" w:hAnsi="Arial" w:cs="Arial"/>
                <w:i/>
                <w:noProof/>
              </w:rPr>
              <w:t>Warunki oraz okres kwalifikowania wydatków w projektach podlegających zasadom pomocy publicznej</w:t>
            </w:r>
            <w:r w:rsidR="008E627A">
              <w:rPr>
                <w:noProof/>
                <w:webHidden/>
              </w:rPr>
              <w:tab/>
            </w:r>
            <w:r w:rsidR="008E627A">
              <w:rPr>
                <w:noProof/>
                <w:webHidden/>
              </w:rPr>
              <w:fldChar w:fldCharType="begin"/>
            </w:r>
            <w:r w:rsidR="008E627A">
              <w:rPr>
                <w:noProof/>
                <w:webHidden/>
              </w:rPr>
              <w:instrText xml:space="preserve"> PAGEREF _Toc500322995 \h </w:instrText>
            </w:r>
            <w:r w:rsidR="008E627A">
              <w:rPr>
                <w:noProof/>
                <w:webHidden/>
              </w:rPr>
            </w:r>
            <w:r w:rsidR="008E627A">
              <w:rPr>
                <w:noProof/>
                <w:webHidden/>
              </w:rPr>
              <w:fldChar w:fldCharType="separate"/>
            </w:r>
            <w:r w:rsidR="008E627A">
              <w:rPr>
                <w:noProof/>
                <w:webHidden/>
              </w:rPr>
              <w:t>19</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2996" w:history="1">
            <w:r w:rsidR="008E627A" w:rsidRPr="00804501">
              <w:rPr>
                <w:rStyle w:val="Hipercze"/>
                <w:rFonts w:ascii="Arial" w:hAnsi="Arial" w:cs="Arial"/>
                <w:i/>
                <w:noProof/>
              </w:rPr>
              <w:t>3.4</w:t>
            </w:r>
            <w:r w:rsidR="008E627A">
              <w:rPr>
                <w:noProof/>
              </w:rPr>
              <w:tab/>
            </w:r>
            <w:r w:rsidR="008E627A" w:rsidRPr="00804501">
              <w:rPr>
                <w:rStyle w:val="Hipercze"/>
                <w:rFonts w:ascii="Arial" w:hAnsi="Arial" w:cs="Arial"/>
                <w:i/>
                <w:noProof/>
              </w:rPr>
              <w:t>Zamówienia udzielane w projektach</w:t>
            </w:r>
            <w:r w:rsidR="008E627A">
              <w:rPr>
                <w:noProof/>
                <w:webHidden/>
              </w:rPr>
              <w:tab/>
            </w:r>
            <w:r w:rsidR="008E627A">
              <w:rPr>
                <w:noProof/>
                <w:webHidden/>
              </w:rPr>
              <w:fldChar w:fldCharType="begin"/>
            </w:r>
            <w:r w:rsidR="008E627A">
              <w:rPr>
                <w:noProof/>
                <w:webHidden/>
              </w:rPr>
              <w:instrText xml:space="preserve"> PAGEREF _Toc500322996 \h </w:instrText>
            </w:r>
            <w:r w:rsidR="008E627A">
              <w:rPr>
                <w:noProof/>
                <w:webHidden/>
              </w:rPr>
            </w:r>
            <w:r w:rsidR="008E627A">
              <w:rPr>
                <w:noProof/>
                <w:webHidden/>
              </w:rPr>
              <w:fldChar w:fldCharType="separate"/>
            </w:r>
            <w:r w:rsidR="008E627A">
              <w:rPr>
                <w:noProof/>
                <w:webHidden/>
              </w:rPr>
              <w:t>23</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2997" w:history="1">
            <w:r w:rsidR="008E627A" w:rsidRPr="00804501">
              <w:rPr>
                <w:rStyle w:val="Hipercze"/>
                <w:rFonts w:ascii="Arial" w:hAnsi="Arial" w:cs="Arial"/>
                <w:i/>
                <w:noProof/>
              </w:rPr>
              <w:t>3.5</w:t>
            </w:r>
            <w:r w:rsidR="008E627A">
              <w:rPr>
                <w:noProof/>
              </w:rPr>
              <w:tab/>
            </w:r>
            <w:r w:rsidR="008E627A" w:rsidRPr="00804501">
              <w:rPr>
                <w:rStyle w:val="Hipercze"/>
                <w:rFonts w:ascii="Arial" w:hAnsi="Arial" w:cs="Arial"/>
                <w:i/>
                <w:noProof/>
              </w:rPr>
              <w:t>Leasing</w:t>
            </w:r>
            <w:r w:rsidR="008E627A">
              <w:rPr>
                <w:noProof/>
                <w:webHidden/>
              </w:rPr>
              <w:tab/>
            </w:r>
            <w:r w:rsidR="008E627A">
              <w:rPr>
                <w:noProof/>
                <w:webHidden/>
              </w:rPr>
              <w:fldChar w:fldCharType="begin"/>
            </w:r>
            <w:r w:rsidR="008E627A">
              <w:rPr>
                <w:noProof/>
                <w:webHidden/>
              </w:rPr>
              <w:instrText xml:space="preserve"> PAGEREF _Toc500322997 \h </w:instrText>
            </w:r>
            <w:r w:rsidR="008E627A">
              <w:rPr>
                <w:noProof/>
                <w:webHidden/>
              </w:rPr>
            </w:r>
            <w:r w:rsidR="008E627A">
              <w:rPr>
                <w:noProof/>
                <w:webHidden/>
              </w:rPr>
              <w:fldChar w:fldCharType="separate"/>
            </w:r>
            <w:r w:rsidR="008E627A">
              <w:rPr>
                <w:noProof/>
                <w:webHidden/>
              </w:rPr>
              <w:t>23</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2998" w:history="1">
            <w:r w:rsidR="008E627A" w:rsidRPr="00804501">
              <w:rPr>
                <w:rStyle w:val="Hipercze"/>
                <w:rFonts w:ascii="Arial" w:hAnsi="Arial" w:cs="Arial"/>
                <w:i/>
                <w:noProof/>
              </w:rPr>
              <w:t>3.6</w:t>
            </w:r>
            <w:r w:rsidR="008E627A">
              <w:rPr>
                <w:noProof/>
              </w:rPr>
              <w:tab/>
            </w:r>
            <w:r w:rsidR="008E627A" w:rsidRPr="00804501">
              <w:rPr>
                <w:rStyle w:val="Hipercze"/>
                <w:rFonts w:ascii="Arial" w:hAnsi="Arial" w:cs="Arial"/>
                <w:i/>
                <w:noProof/>
              </w:rPr>
              <w:t>Projekty generujące dochód po zakończeniu realizacji projektów</w:t>
            </w:r>
            <w:r w:rsidR="008E627A">
              <w:rPr>
                <w:noProof/>
                <w:webHidden/>
              </w:rPr>
              <w:tab/>
            </w:r>
            <w:r w:rsidR="008E627A">
              <w:rPr>
                <w:noProof/>
                <w:webHidden/>
              </w:rPr>
              <w:fldChar w:fldCharType="begin"/>
            </w:r>
            <w:r w:rsidR="008E627A">
              <w:rPr>
                <w:noProof/>
                <w:webHidden/>
              </w:rPr>
              <w:instrText xml:space="preserve"> PAGEREF _Toc500322998 \h </w:instrText>
            </w:r>
            <w:r w:rsidR="008E627A">
              <w:rPr>
                <w:noProof/>
                <w:webHidden/>
              </w:rPr>
            </w:r>
            <w:r w:rsidR="008E627A">
              <w:rPr>
                <w:noProof/>
                <w:webHidden/>
              </w:rPr>
              <w:fldChar w:fldCharType="separate"/>
            </w:r>
            <w:r w:rsidR="008E627A">
              <w:rPr>
                <w:noProof/>
                <w:webHidden/>
              </w:rPr>
              <w:t>23</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2999" w:history="1">
            <w:r w:rsidR="008E627A" w:rsidRPr="00804501">
              <w:rPr>
                <w:rStyle w:val="Hipercze"/>
                <w:rFonts w:ascii="Arial" w:hAnsi="Arial" w:cs="Arial"/>
                <w:i/>
                <w:noProof/>
              </w:rPr>
              <w:t>3.7</w:t>
            </w:r>
            <w:r w:rsidR="008E627A">
              <w:rPr>
                <w:noProof/>
              </w:rPr>
              <w:tab/>
            </w:r>
            <w:r w:rsidR="008E627A" w:rsidRPr="00804501">
              <w:rPr>
                <w:rStyle w:val="Hipercze"/>
                <w:rFonts w:ascii="Arial" w:hAnsi="Arial" w:cs="Arial"/>
                <w:i/>
                <w:noProof/>
              </w:rPr>
              <w:t>Kwalifikowalność podatku VAT i innych podatków, opłat i obciążeń</w:t>
            </w:r>
            <w:r w:rsidR="008E627A">
              <w:rPr>
                <w:noProof/>
                <w:webHidden/>
              </w:rPr>
              <w:tab/>
            </w:r>
            <w:r w:rsidR="008E627A">
              <w:rPr>
                <w:noProof/>
                <w:webHidden/>
              </w:rPr>
              <w:fldChar w:fldCharType="begin"/>
            </w:r>
            <w:r w:rsidR="008E627A">
              <w:rPr>
                <w:noProof/>
                <w:webHidden/>
              </w:rPr>
              <w:instrText xml:space="preserve"> PAGEREF _Toc500322999 \h </w:instrText>
            </w:r>
            <w:r w:rsidR="008E627A">
              <w:rPr>
                <w:noProof/>
                <w:webHidden/>
              </w:rPr>
            </w:r>
            <w:r w:rsidR="008E627A">
              <w:rPr>
                <w:noProof/>
                <w:webHidden/>
              </w:rPr>
              <w:fldChar w:fldCharType="separate"/>
            </w:r>
            <w:r w:rsidR="008E627A">
              <w:rPr>
                <w:noProof/>
                <w:webHidden/>
              </w:rPr>
              <w:t>24</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3000" w:history="1">
            <w:r w:rsidR="008E627A" w:rsidRPr="00804501">
              <w:rPr>
                <w:rStyle w:val="Hipercze"/>
                <w:rFonts w:ascii="Arial" w:hAnsi="Arial" w:cs="Arial"/>
                <w:i/>
                <w:noProof/>
              </w:rPr>
              <w:t>3.8</w:t>
            </w:r>
            <w:r w:rsidR="008E627A">
              <w:rPr>
                <w:noProof/>
              </w:rPr>
              <w:tab/>
            </w:r>
            <w:r w:rsidR="008E627A" w:rsidRPr="00804501">
              <w:rPr>
                <w:rStyle w:val="Hipercze"/>
                <w:rFonts w:ascii="Arial" w:hAnsi="Arial" w:cs="Arial"/>
                <w:i/>
                <w:noProof/>
              </w:rPr>
              <w:t>Duży projekt – zasady identyfikacji</w:t>
            </w:r>
            <w:r w:rsidR="008E627A">
              <w:rPr>
                <w:noProof/>
                <w:webHidden/>
              </w:rPr>
              <w:tab/>
            </w:r>
            <w:r w:rsidR="008E627A">
              <w:rPr>
                <w:noProof/>
                <w:webHidden/>
              </w:rPr>
              <w:fldChar w:fldCharType="begin"/>
            </w:r>
            <w:r w:rsidR="008E627A">
              <w:rPr>
                <w:noProof/>
                <w:webHidden/>
              </w:rPr>
              <w:instrText xml:space="preserve"> PAGEREF _Toc500323000 \h </w:instrText>
            </w:r>
            <w:r w:rsidR="008E627A">
              <w:rPr>
                <w:noProof/>
                <w:webHidden/>
              </w:rPr>
            </w:r>
            <w:r w:rsidR="008E627A">
              <w:rPr>
                <w:noProof/>
                <w:webHidden/>
              </w:rPr>
              <w:fldChar w:fldCharType="separate"/>
            </w:r>
            <w:r w:rsidR="008E627A">
              <w:rPr>
                <w:noProof/>
                <w:webHidden/>
              </w:rPr>
              <w:t>24</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3001" w:history="1">
            <w:r w:rsidR="008E627A" w:rsidRPr="00804501">
              <w:rPr>
                <w:rStyle w:val="Hipercze"/>
                <w:rFonts w:ascii="Arial" w:hAnsi="Arial" w:cs="Arial"/>
                <w:i/>
                <w:noProof/>
              </w:rPr>
              <w:t>3.9</w:t>
            </w:r>
            <w:r w:rsidR="008E627A">
              <w:rPr>
                <w:noProof/>
              </w:rPr>
              <w:tab/>
            </w:r>
            <w:r w:rsidR="008E627A" w:rsidRPr="00804501">
              <w:rPr>
                <w:rStyle w:val="Hipercze"/>
                <w:rFonts w:ascii="Arial" w:hAnsi="Arial" w:cs="Arial"/>
                <w:i/>
                <w:noProof/>
              </w:rPr>
              <w:t>Podmiot dokonujący wydatków kwalifikowalnych</w:t>
            </w:r>
            <w:r w:rsidR="008E627A">
              <w:rPr>
                <w:noProof/>
                <w:webHidden/>
              </w:rPr>
              <w:tab/>
            </w:r>
            <w:r w:rsidR="008E627A">
              <w:rPr>
                <w:noProof/>
                <w:webHidden/>
              </w:rPr>
              <w:fldChar w:fldCharType="begin"/>
            </w:r>
            <w:r w:rsidR="008E627A">
              <w:rPr>
                <w:noProof/>
                <w:webHidden/>
              </w:rPr>
              <w:instrText xml:space="preserve"> PAGEREF _Toc500323001 \h </w:instrText>
            </w:r>
            <w:r w:rsidR="008E627A">
              <w:rPr>
                <w:noProof/>
                <w:webHidden/>
              </w:rPr>
            </w:r>
            <w:r w:rsidR="008E627A">
              <w:rPr>
                <w:noProof/>
                <w:webHidden/>
              </w:rPr>
              <w:fldChar w:fldCharType="separate"/>
            </w:r>
            <w:r w:rsidR="008E627A">
              <w:rPr>
                <w:noProof/>
                <w:webHidden/>
              </w:rPr>
              <w:t>25</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3002" w:history="1">
            <w:r w:rsidR="008E627A" w:rsidRPr="00804501">
              <w:rPr>
                <w:rStyle w:val="Hipercze"/>
                <w:rFonts w:ascii="Arial" w:hAnsi="Arial" w:cs="Arial"/>
                <w:i/>
                <w:noProof/>
              </w:rPr>
              <w:t>3.10</w:t>
            </w:r>
            <w:r w:rsidR="008E627A">
              <w:rPr>
                <w:noProof/>
              </w:rPr>
              <w:tab/>
            </w:r>
            <w:r w:rsidR="008E627A" w:rsidRPr="00804501">
              <w:rPr>
                <w:rStyle w:val="Hipercze"/>
                <w:rFonts w:ascii="Arial" w:hAnsi="Arial" w:cs="Arial"/>
                <w:i/>
                <w:noProof/>
              </w:rPr>
              <w:t>Podmiot na rzecz którego ponoszone są wydatki kwalifikowalne</w:t>
            </w:r>
            <w:r w:rsidR="008E627A">
              <w:rPr>
                <w:noProof/>
                <w:webHidden/>
              </w:rPr>
              <w:tab/>
            </w:r>
            <w:r w:rsidR="008E627A">
              <w:rPr>
                <w:noProof/>
                <w:webHidden/>
              </w:rPr>
              <w:fldChar w:fldCharType="begin"/>
            </w:r>
            <w:r w:rsidR="008E627A">
              <w:rPr>
                <w:noProof/>
                <w:webHidden/>
              </w:rPr>
              <w:instrText xml:space="preserve"> PAGEREF _Toc500323002 \h </w:instrText>
            </w:r>
            <w:r w:rsidR="008E627A">
              <w:rPr>
                <w:noProof/>
                <w:webHidden/>
              </w:rPr>
            </w:r>
            <w:r w:rsidR="008E627A">
              <w:rPr>
                <w:noProof/>
                <w:webHidden/>
              </w:rPr>
              <w:fldChar w:fldCharType="separate"/>
            </w:r>
            <w:r w:rsidR="008E627A">
              <w:rPr>
                <w:noProof/>
                <w:webHidden/>
              </w:rPr>
              <w:t>27</w:t>
            </w:r>
            <w:r w:rsidR="008E627A">
              <w:rPr>
                <w:noProof/>
                <w:webHidden/>
              </w:rPr>
              <w:fldChar w:fldCharType="end"/>
            </w:r>
          </w:hyperlink>
        </w:p>
        <w:p w:rsidR="008E627A" w:rsidRDefault="00CB0321">
          <w:pPr>
            <w:pStyle w:val="Spistreci1"/>
            <w:rPr>
              <w:rFonts w:asciiTheme="minorHAnsi" w:hAnsiTheme="minorHAnsi" w:cstheme="minorBidi"/>
              <w:b w:val="0"/>
            </w:rPr>
          </w:pPr>
          <w:hyperlink w:anchor="_Toc500323003" w:history="1">
            <w:r w:rsidR="008E627A" w:rsidRPr="00804501">
              <w:rPr>
                <w:rStyle w:val="Hipercze"/>
              </w:rPr>
              <w:t>4.</w:t>
            </w:r>
            <w:r w:rsidR="008E627A">
              <w:rPr>
                <w:rFonts w:asciiTheme="minorHAnsi" w:hAnsiTheme="minorHAnsi" w:cstheme="minorBidi"/>
                <w:b w:val="0"/>
              </w:rPr>
              <w:tab/>
            </w:r>
            <w:r w:rsidR="008E627A" w:rsidRPr="00804501">
              <w:rPr>
                <w:rStyle w:val="Hipercze"/>
              </w:rPr>
              <w:t xml:space="preserve">Rozdział - Oś priorytetowa II </w:t>
            </w:r>
            <w:r w:rsidR="008E627A" w:rsidRPr="00804501">
              <w:rPr>
                <w:rStyle w:val="Hipercze"/>
                <w:i/>
              </w:rPr>
              <w:t>E-administracja i otwarty rząd</w:t>
            </w:r>
            <w:r w:rsidR="008E627A" w:rsidRPr="00804501">
              <w:rPr>
                <w:rStyle w:val="Hipercze"/>
              </w:rPr>
              <w:t xml:space="preserve"> - szczegółowe zasady kwalifikowalności wydatków w ramach EFRR</w:t>
            </w:r>
            <w:r w:rsidR="008E627A">
              <w:rPr>
                <w:webHidden/>
              </w:rPr>
              <w:tab/>
            </w:r>
            <w:r w:rsidR="008E627A">
              <w:rPr>
                <w:webHidden/>
              </w:rPr>
              <w:fldChar w:fldCharType="begin"/>
            </w:r>
            <w:r w:rsidR="008E627A">
              <w:rPr>
                <w:webHidden/>
              </w:rPr>
              <w:instrText xml:space="preserve"> PAGEREF _Toc500323003 \h </w:instrText>
            </w:r>
            <w:r w:rsidR="008E627A">
              <w:rPr>
                <w:webHidden/>
              </w:rPr>
            </w:r>
            <w:r w:rsidR="008E627A">
              <w:rPr>
                <w:webHidden/>
              </w:rPr>
              <w:fldChar w:fldCharType="separate"/>
            </w:r>
            <w:r w:rsidR="008E627A">
              <w:rPr>
                <w:webHidden/>
              </w:rPr>
              <w:t>29</w:t>
            </w:r>
            <w:r w:rsidR="008E627A">
              <w:rPr>
                <w:webHidden/>
              </w:rPr>
              <w:fldChar w:fldCharType="end"/>
            </w:r>
          </w:hyperlink>
        </w:p>
        <w:p w:rsidR="008E627A" w:rsidRDefault="00CB0321">
          <w:pPr>
            <w:pStyle w:val="Spistreci2"/>
            <w:tabs>
              <w:tab w:val="left" w:pos="880"/>
              <w:tab w:val="right" w:leader="dot" w:pos="9062"/>
            </w:tabs>
            <w:rPr>
              <w:noProof/>
            </w:rPr>
          </w:pPr>
          <w:hyperlink w:anchor="_Toc500323004" w:history="1">
            <w:r w:rsidR="008E627A" w:rsidRPr="00804501">
              <w:rPr>
                <w:rStyle w:val="Hipercze"/>
                <w:rFonts w:ascii="Arial" w:hAnsi="Arial" w:cs="Arial"/>
                <w:i/>
                <w:noProof/>
              </w:rPr>
              <w:t>4.1</w:t>
            </w:r>
            <w:r w:rsidR="008E627A">
              <w:rPr>
                <w:noProof/>
              </w:rPr>
              <w:tab/>
            </w:r>
            <w:r w:rsidR="008E627A" w:rsidRPr="00804501">
              <w:rPr>
                <w:rStyle w:val="Hipercze"/>
                <w:rFonts w:ascii="Arial" w:hAnsi="Arial" w:cs="Arial"/>
                <w:i/>
                <w:noProof/>
              </w:rPr>
              <w:t>Wydatki kwalifikowalne</w:t>
            </w:r>
            <w:r w:rsidR="008E627A">
              <w:rPr>
                <w:noProof/>
                <w:webHidden/>
              </w:rPr>
              <w:tab/>
            </w:r>
            <w:r w:rsidR="008E627A">
              <w:rPr>
                <w:noProof/>
                <w:webHidden/>
              </w:rPr>
              <w:fldChar w:fldCharType="begin"/>
            </w:r>
            <w:r w:rsidR="008E627A">
              <w:rPr>
                <w:noProof/>
                <w:webHidden/>
              </w:rPr>
              <w:instrText xml:space="preserve"> PAGEREF _Toc500323004 \h </w:instrText>
            </w:r>
            <w:r w:rsidR="008E627A">
              <w:rPr>
                <w:noProof/>
                <w:webHidden/>
              </w:rPr>
            </w:r>
            <w:r w:rsidR="008E627A">
              <w:rPr>
                <w:noProof/>
                <w:webHidden/>
              </w:rPr>
              <w:fldChar w:fldCharType="separate"/>
            </w:r>
            <w:r w:rsidR="008E627A">
              <w:rPr>
                <w:noProof/>
                <w:webHidden/>
              </w:rPr>
              <w:t>31</w:t>
            </w:r>
            <w:r w:rsidR="008E627A">
              <w:rPr>
                <w:noProof/>
                <w:webHidden/>
              </w:rPr>
              <w:fldChar w:fldCharType="end"/>
            </w:r>
          </w:hyperlink>
        </w:p>
        <w:p w:rsidR="008E627A" w:rsidRDefault="00CB0321">
          <w:pPr>
            <w:pStyle w:val="Spistreci3"/>
            <w:tabs>
              <w:tab w:val="left" w:pos="1320"/>
              <w:tab w:val="right" w:leader="dot" w:pos="9062"/>
            </w:tabs>
            <w:rPr>
              <w:noProof/>
            </w:rPr>
          </w:pPr>
          <w:hyperlink w:anchor="_Toc500323005" w:history="1">
            <w:r w:rsidR="008E627A" w:rsidRPr="00804501">
              <w:rPr>
                <w:rStyle w:val="Hipercze"/>
                <w:rFonts w:ascii="Arial" w:hAnsi="Arial" w:cs="Arial"/>
                <w:i/>
                <w:noProof/>
              </w:rPr>
              <w:t>4.1.1</w:t>
            </w:r>
            <w:r w:rsidR="008E627A">
              <w:rPr>
                <w:noProof/>
              </w:rPr>
              <w:tab/>
            </w:r>
            <w:r w:rsidR="008E627A" w:rsidRPr="00804501">
              <w:rPr>
                <w:rStyle w:val="Hipercze"/>
                <w:rFonts w:ascii="Arial" w:hAnsi="Arial" w:cs="Arial"/>
                <w:i/>
                <w:noProof/>
              </w:rPr>
              <w:t>Wykaz wydatków kwalifikowalnych ponoszonych na rzecz projektów realizowanych w ramach II osi priorytetowej</w:t>
            </w:r>
            <w:r w:rsidR="008E627A">
              <w:rPr>
                <w:noProof/>
                <w:webHidden/>
              </w:rPr>
              <w:tab/>
            </w:r>
            <w:r w:rsidR="008E627A">
              <w:rPr>
                <w:noProof/>
                <w:webHidden/>
              </w:rPr>
              <w:fldChar w:fldCharType="begin"/>
            </w:r>
            <w:r w:rsidR="008E627A">
              <w:rPr>
                <w:noProof/>
                <w:webHidden/>
              </w:rPr>
              <w:instrText xml:space="preserve"> PAGEREF _Toc500323005 \h </w:instrText>
            </w:r>
            <w:r w:rsidR="008E627A">
              <w:rPr>
                <w:noProof/>
                <w:webHidden/>
              </w:rPr>
            </w:r>
            <w:r w:rsidR="008E627A">
              <w:rPr>
                <w:noProof/>
                <w:webHidden/>
              </w:rPr>
              <w:fldChar w:fldCharType="separate"/>
            </w:r>
            <w:r w:rsidR="008E627A">
              <w:rPr>
                <w:noProof/>
                <w:webHidden/>
              </w:rPr>
              <w:t>31</w:t>
            </w:r>
            <w:r w:rsidR="008E627A">
              <w:rPr>
                <w:noProof/>
                <w:webHidden/>
              </w:rPr>
              <w:fldChar w:fldCharType="end"/>
            </w:r>
          </w:hyperlink>
        </w:p>
        <w:p w:rsidR="008E627A" w:rsidRDefault="00CB0321">
          <w:pPr>
            <w:pStyle w:val="Spistreci3"/>
            <w:tabs>
              <w:tab w:val="left" w:pos="1320"/>
              <w:tab w:val="right" w:leader="dot" w:pos="9062"/>
            </w:tabs>
            <w:rPr>
              <w:noProof/>
            </w:rPr>
          </w:pPr>
          <w:hyperlink w:anchor="_Toc500323006" w:history="1">
            <w:r w:rsidR="008E627A" w:rsidRPr="00804501">
              <w:rPr>
                <w:rStyle w:val="Hipercze"/>
                <w:rFonts w:ascii="Arial" w:hAnsi="Arial" w:cs="Arial"/>
                <w:i/>
                <w:noProof/>
              </w:rPr>
              <w:t>4.1.2</w:t>
            </w:r>
            <w:r w:rsidR="008E627A">
              <w:rPr>
                <w:noProof/>
              </w:rPr>
              <w:tab/>
            </w:r>
            <w:r w:rsidR="008E627A" w:rsidRPr="00804501">
              <w:rPr>
                <w:rStyle w:val="Hipercze"/>
                <w:rFonts w:ascii="Arial" w:hAnsi="Arial" w:cs="Arial"/>
                <w:i/>
                <w:noProof/>
              </w:rPr>
              <w:t>Dodatkowe wydatki kwalifikowalne w ramach działania 2.2</w:t>
            </w:r>
            <w:r w:rsidR="008E627A">
              <w:rPr>
                <w:noProof/>
                <w:webHidden/>
              </w:rPr>
              <w:tab/>
            </w:r>
            <w:r w:rsidR="008E627A">
              <w:rPr>
                <w:noProof/>
                <w:webHidden/>
              </w:rPr>
              <w:fldChar w:fldCharType="begin"/>
            </w:r>
            <w:r w:rsidR="008E627A">
              <w:rPr>
                <w:noProof/>
                <w:webHidden/>
              </w:rPr>
              <w:instrText xml:space="preserve"> PAGEREF _Toc500323006 \h </w:instrText>
            </w:r>
            <w:r w:rsidR="008E627A">
              <w:rPr>
                <w:noProof/>
                <w:webHidden/>
              </w:rPr>
            </w:r>
            <w:r w:rsidR="008E627A">
              <w:rPr>
                <w:noProof/>
                <w:webHidden/>
              </w:rPr>
              <w:fldChar w:fldCharType="separate"/>
            </w:r>
            <w:r w:rsidR="008E627A">
              <w:rPr>
                <w:noProof/>
                <w:webHidden/>
              </w:rPr>
              <w:t>38</w:t>
            </w:r>
            <w:r w:rsidR="008E627A">
              <w:rPr>
                <w:noProof/>
                <w:webHidden/>
              </w:rPr>
              <w:fldChar w:fldCharType="end"/>
            </w:r>
          </w:hyperlink>
        </w:p>
        <w:p w:rsidR="008E627A" w:rsidRDefault="00CB0321">
          <w:pPr>
            <w:pStyle w:val="Spistreci3"/>
            <w:tabs>
              <w:tab w:val="left" w:pos="1320"/>
              <w:tab w:val="right" w:leader="dot" w:pos="9062"/>
            </w:tabs>
            <w:rPr>
              <w:noProof/>
            </w:rPr>
          </w:pPr>
          <w:hyperlink w:anchor="_Toc500323007" w:history="1">
            <w:r w:rsidR="008E627A" w:rsidRPr="00804501">
              <w:rPr>
                <w:rStyle w:val="Hipercze"/>
                <w:rFonts w:ascii="Arial" w:hAnsi="Arial" w:cs="Arial"/>
                <w:i/>
                <w:noProof/>
              </w:rPr>
              <w:t>4.1.3</w:t>
            </w:r>
            <w:r w:rsidR="008E627A">
              <w:rPr>
                <w:noProof/>
              </w:rPr>
              <w:tab/>
            </w:r>
            <w:r w:rsidR="008E627A" w:rsidRPr="00804501">
              <w:rPr>
                <w:rStyle w:val="Hipercze"/>
                <w:rFonts w:ascii="Arial" w:hAnsi="Arial" w:cs="Arial"/>
                <w:i/>
                <w:noProof/>
              </w:rPr>
              <w:t>Dodatkowe wydatki kwalifikowalne w ramach działania 2.3</w:t>
            </w:r>
            <w:r w:rsidR="008E627A">
              <w:rPr>
                <w:noProof/>
                <w:webHidden/>
              </w:rPr>
              <w:tab/>
            </w:r>
            <w:r w:rsidR="008E627A">
              <w:rPr>
                <w:noProof/>
                <w:webHidden/>
              </w:rPr>
              <w:fldChar w:fldCharType="begin"/>
            </w:r>
            <w:r w:rsidR="008E627A">
              <w:rPr>
                <w:noProof/>
                <w:webHidden/>
              </w:rPr>
              <w:instrText xml:space="preserve"> PAGEREF _Toc500323007 \h </w:instrText>
            </w:r>
            <w:r w:rsidR="008E627A">
              <w:rPr>
                <w:noProof/>
                <w:webHidden/>
              </w:rPr>
            </w:r>
            <w:r w:rsidR="008E627A">
              <w:rPr>
                <w:noProof/>
                <w:webHidden/>
              </w:rPr>
              <w:fldChar w:fldCharType="separate"/>
            </w:r>
            <w:r w:rsidR="008E627A">
              <w:rPr>
                <w:noProof/>
                <w:webHidden/>
              </w:rPr>
              <w:t>39</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3008" w:history="1">
            <w:r w:rsidR="008E627A" w:rsidRPr="00804501">
              <w:rPr>
                <w:rStyle w:val="Hipercze"/>
                <w:rFonts w:ascii="Arial" w:hAnsi="Arial" w:cs="Arial"/>
                <w:i/>
                <w:noProof/>
              </w:rPr>
              <w:t>4.2</w:t>
            </w:r>
            <w:r w:rsidR="008E627A">
              <w:rPr>
                <w:noProof/>
              </w:rPr>
              <w:tab/>
            </w:r>
            <w:r w:rsidR="008E627A" w:rsidRPr="00804501">
              <w:rPr>
                <w:rStyle w:val="Hipercze"/>
                <w:rFonts w:ascii="Arial" w:hAnsi="Arial" w:cs="Arial"/>
                <w:i/>
                <w:noProof/>
              </w:rPr>
              <w:t>Cross-financing</w:t>
            </w:r>
            <w:r w:rsidR="008E627A">
              <w:rPr>
                <w:noProof/>
                <w:webHidden/>
              </w:rPr>
              <w:tab/>
            </w:r>
            <w:r w:rsidR="008E627A">
              <w:rPr>
                <w:noProof/>
                <w:webHidden/>
              </w:rPr>
              <w:fldChar w:fldCharType="begin"/>
            </w:r>
            <w:r w:rsidR="008E627A">
              <w:rPr>
                <w:noProof/>
                <w:webHidden/>
              </w:rPr>
              <w:instrText xml:space="preserve"> PAGEREF _Toc500323008 \h </w:instrText>
            </w:r>
            <w:r w:rsidR="008E627A">
              <w:rPr>
                <w:noProof/>
                <w:webHidden/>
              </w:rPr>
            </w:r>
            <w:r w:rsidR="008E627A">
              <w:rPr>
                <w:noProof/>
                <w:webHidden/>
              </w:rPr>
              <w:fldChar w:fldCharType="separate"/>
            </w:r>
            <w:r w:rsidR="008E627A">
              <w:rPr>
                <w:noProof/>
                <w:webHidden/>
              </w:rPr>
              <w:t>40</w:t>
            </w:r>
            <w:r w:rsidR="008E627A">
              <w:rPr>
                <w:noProof/>
                <w:webHidden/>
              </w:rPr>
              <w:fldChar w:fldCharType="end"/>
            </w:r>
          </w:hyperlink>
        </w:p>
        <w:p w:rsidR="008E627A" w:rsidRDefault="00CB0321">
          <w:pPr>
            <w:pStyle w:val="Spistreci2"/>
            <w:tabs>
              <w:tab w:val="left" w:pos="880"/>
              <w:tab w:val="right" w:leader="dot" w:pos="9062"/>
            </w:tabs>
            <w:rPr>
              <w:noProof/>
            </w:rPr>
          </w:pPr>
          <w:hyperlink w:anchor="_Toc500323009" w:history="1">
            <w:r w:rsidR="008E627A" w:rsidRPr="00804501">
              <w:rPr>
                <w:rStyle w:val="Hipercze"/>
                <w:rFonts w:ascii="Arial" w:hAnsi="Arial" w:cs="Arial"/>
                <w:i/>
                <w:noProof/>
              </w:rPr>
              <w:t>4.3</w:t>
            </w:r>
            <w:r w:rsidR="008E627A">
              <w:rPr>
                <w:noProof/>
              </w:rPr>
              <w:tab/>
            </w:r>
            <w:r w:rsidR="008E627A" w:rsidRPr="00804501">
              <w:rPr>
                <w:rStyle w:val="Hipercze"/>
                <w:rFonts w:ascii="Arial" w:hAnsi="Arial" w:cs="Arial"/>
                <w:i/>
                <w:noProof/>
              </w:rPr>
              <w:t>Wykaz wydatków niekwalifikowalnych w ramach II osi priorytetowej</w:t>
            </w:r>
            <w:r w:rsidR="008E627A">
              <w:rPr>
                <w:noProof/>
                <w:webHidden/>
              </w:rPr>
              <w:tab/>
            </w:r>
            <w:r w:rsidR="008E627A">
              <w:rPr>
                <w:noProof/>
                <w:webHidden/>
              </w:rPr>
              <w:fldChar w:fldCharType="begin"/>
            </w:r>
            <w:r w:rsidR="008E627A">
              <w:rPr>
                <w:noProof/>
                <w:webHidden/>
              </w:rPr>
              <w:instrText xml:space="preserve"> PAGEREF _Toc500323009 \h </w:instrText>
            </w:r>
            <w:r w:rsidR="008E627A">
              <w:rPr>
                <w:noProof/>
                <w:webHidden/>
              </w:rPr>
            </w:r>
            <w:r w:rsidR="008E627A">
              <w:rPr>
                <w:noProof/>
                <w:webHidden/>
              </w:rPr>
              <w:fldChar w:fldCharType="separate"/>
            </w:r>
            <w:r w:rsidR="008E627A">
              <w:rPr>
                <w:noProof/>
                <w:webHidden/>
              </w:rPr>
              <w:t>41</w:t>
            </w:r>
            <w:r w:rsidR="008E627A">
              <w:rPr>
                <w:noProof/>
                <w:webHidden/>
              </w:rPr>
              <w:fldChar w:fldCharType="end"/>
            </w:r>
          </w:hyperlink>
        </w:p>
        <w:p w:rsidR="008E627A" w:rsidRDefault="00CB0321">
          <w:pPr>
            <w:pStyle w:val="Spistreci1"/>
            <w:rPr>
              <w:rFonts w:asciiTheme="minorHAnsi" w:hAnsiTheme="minorHAnsi" w:cstheme="minorBidi"/>
              <w:b w:val="0"/>
            </w:rPr>
          </w:pPr>
          <w:hyperlink w:anchor="_Toc500323010" w:history="1">
            <w:r w:rsidR="008E627A" w:rsidRPr="00804501">
              <w:rPr>
                <w:rStyle w:val="Hipercze"/>
                <w:rFonts w:eastAsia="Times New Roman" w:cs="Times New Roman"/>
                <w:bCs/>
              </w:rPr>
              <w:t>Załącznik nr 1 – Przykładowy wykaz nieprawidłowości w obszarze zamówień publicznych udzielanych na podstawie przepisów Pzp</w:t>
            </w:r>
            <w:r w:rsidR="008E627A">
              <w:rPr>
                <w:webHidden/>
              </w:rPr>
              <w:tab/>
            </w:r>
            <w:r w:rsidR="008E627A">
              <w:rPr>
                <w:webHidden/>
              </w:rPr>
              <w:fldChar w:fldCharType="begin"/>
            </w:r>
            <w:r w:rsidR="008E627A">
              <w:rPr>
                <w:webHidden/>
              </w:rPr>
              <w:instrText xml:space="preserve"> PAGEREF _Toc500323010 \h </w:instrText>
            </w:r>
            <w:r w:rsidR="008E627A">
              <w:rPr>
                <w:webHidden/>
              </w:rPr>
            </w:r>
            <w:r w:rsidR="008E627A">
              <w:rPr>
                <w:webHidden/>
              </w:rPr>
              <w:fldChar w:fldCharType="separate"/>
            </w:r>
            <w:r w:rsidR="008E627A">
              <w:rPr>
                <w:webHidden/>
              </w:rPr>
              <w:t>43</w:t>
            </w:r>
            <w:r w:rsidR="008E627A">
              <w:rPr>
                <w:webHidden/>
              </w:rPr>
              <w:fldChar w:fldCharType="end"/>
            </w:r>
          </w:hyperlink>
        </w:p>
        <w:p w:rsidR="008E627A" w:rsidRDefault="00CB0321">
          <w:pPr>
            <w:pStyle w:val="Spistreci1"/>
            <w:rPr>
              <w:rFonts w:asciiTheme="minorHAnsi" w:hAnsiTheme="minorHAnsi" w:cstheme="minorBidi"/>
              <w:b w:val="0"/>
            </w:rPr>
          </w:pPr>
          <w:hyperlink w:anchor="_Toc500323011" w:history="1">
            <w:r w:rsidR="008E627A" w:rsidRPr="00804501">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8E627A">
              <w:rPr>
                <w:webHidden/>
              </w:rPr>
              <w:tab/>
            </w:r>
            <w:r w:rsidR="008E627A">
              <w:rPr>
                <w:webHidden/>
              </w:rPr>
              <w:fldChar w:fldCharType="begin"/>
            </w:r>
            <w:r w:rsidR="008E627A">
              <w:rPr>
                <w:webHidden/>
              </w:rPr>
              <w:instrText xml:space="preserve"> PAGEREF _Toc500323011 \h </w:instrText>
            </w:r>
            <w:r w:rsidR="008E627A">
              <w:rPr>
                <w:webHidden/>
              </w:rPr>
            </w:r>
            <w:r w:rsidR="008E627A">
              <w:rPr>
                <w:webHidden/>
              </w:rPr>
              <w:fldChar w:fldCharType="separate"/>
            </w:r>
            <w:r w:rsidR="008E627A">
              <w:rPr>
                <w:webHidden/>
              </w:rPr>
              <w:t>45</w:t>
            </w:r>
            <w:r w:rsidR="008E627A">
              <w:rPr>
                <w:webHidden/>
              </w:rPr>
              <w:fldChar w:fldCharType="end"/>
            </w:r>
          </w:hyperlink>
        </w:p>
        <w:p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500322989"/>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85F07">
        <w:rPr>
          <w:rFonts w:ascii="Arial" w:eastAsia="Times New Roman" w:hAnsi="Arial" w:cs="Arial"/>
          <w:i/>
          <w:lang w:eastAsia="pl-PL"/>
        </w:rPr>
        <w:t>general</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block</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exemption</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 ustawę z dnia 29 stycznia 2004 r. – Prawo zamówień publicznych (</w:t>
      </w:r>
      <w:proofErr w:type="spellStart"/>
      <w:r w:rsidR="00707594">
        <w:rPr>
          <w:rFonts w:ascii="Arial" w:eastAsia="Times New Roman" w:hAnsi="Arial" w:cs="Arial"/>
          <w:lang w:eastAsia="pl-PL"/>
        </w:rPr>
        <w:t>t.j</w:t>
      </w:r>
      <w:proofErr w:type="spellEnd"/>
      <w:r w:rsidR="00707594">
        <w:rPr>
          <w:rFonts w:ascii="Arial" w:eastAsia="Times New Roman" w:hAnsi="Arial" w:cs="Arial"/>
          <w:lang w:eastAsia="pl-PL"/>
        </w:rPr>
        <w:t xml:space="preserve">.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E06E3A">
        <w:rPr>
          <w:rFonts w:ascii="Arial" w:eastAsia="Times New Roman" w:hAnsi="Arial" w:cs="Arial"/>
          <w:lang w:eastAsia="pl-PL"/>
        </w:rPr>
        <w:t>7</w:t>
      </w:r>
      <w:r>
        <w:rPr>
          <w:rFonts w:ascii="Arial" w:eastAsia="Times New Roman" w:hAnsi="Arial" w:cs="Arial"/>
          <w:lang w:eastAsia="pl-PL"/>
        </w:rPr>
        <w:t xml:space="preserve"> r. poz. </w:t>
      </w:r>
      <w:r w:rsidR="00E06E3A">
        <w:rPr>
          <w:rFonts w:ascii="Arial" w:eastAsia="Times New Roman" w:hAnsi="Arial" w:cs="Arial"/>
          <w:lang w:eastAsia="pl-PL"/>
        </w:rPr>
        <w:t>1579</w:t>
      </w:r>
      <w:r>
        <w:rPr>
          <w:rFonts w:ascii="Arial" w:eastAsia="Times New Roman" w:hAnsi="Arial" w:cs="Arial"/>
          <w:lang w:eastAsia="pl-PL"/>
        </w:rPr>
        <w:t>),</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500322990"/>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lastRenderedPageBreak/>
        <w:t>Rozdział - Słowniczek pojęć</w:t>
      </w:r>
      <w:bookmarkEnd w:id="24"/>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proofErr w:type="spellStart"/>
      <w:r w:rsidRPr="007E469E">
        <w:rPr>
          <w:rFonts w:ascii="Arial" w:eastAsia="Times New Roman" w:hAnsi="Arial" w:cs="Arial"/>
          <w:i/>
          <w:iCs/>
          <w:lang w:eastAsia="pl-PL"/>
        </w:rPr>
        <w:t>cloud</w:t>
      </w:r>
      <w:proofErr w:type="spellEnd"/>
      <w:r w:rsidRPr="007E469E">
        <w:rPr>
          <w:rFonts w:ascii="Arial" w:eastAsia="Times New Roman" w:hAnsi="Arial" w:cs="Arial"/>
          <w:i/>
          <w:iCs/>
          <w:lang w:eastAsia="pl-PL"/>
        </w:rPr>
        <w:t xml:space="preserve"> </w:t>
      </w:r>
      <w:proofErr w:type="spellStart"/>
      <w:r w:rsidRPr="007E469E">
        <w:rPr>
          <w:rFonts w:ascii="Arial" w:eastAsia="Times New Roman" w:hAnsi="Arial" w:cs="Arial"/>
          <w:i/>
          <w:iCs/>
          <w:lang w:eastAsia="pl-PL"/>
        </w:rPr>
        <w:t>computing</w:t>
      </w:r>
      <w:proofErr w:type="spellEnd"/>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w:t>
      </w:r>
      <w:proofErr w:type="spellStart"/>
      <w:r w:rsidRPr="005F5959">
        <w:rPr>
          <w:rFonts w:ascii="Arial" w:eastAsia="Calibri" w:hAnsi="Arial" w:cs="Arial"/>
          <w:i/>
        </w:rPr>
        <w:t>financing</w:t>
      </w:r>
      <w:proofErr w:type="spellEnd"/>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lastRenderedPageBreak/>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D175AC">
        <w:rPr>
          <w:rFonts w:ascii="Arial" w:hAnsi="Arial"/>
        </w:rPr>
        <w:t>7</w:t>
      </w:r>
      <w:r w:rsidRPr="005476DC">
        <w:rPr>
          <w:rFonts w:ascii="Arial" w:hAnsi="Arial"/>
        </w:rPr>
        <w:t xml:space="preserve"> r. poz. </w:t>
      </w:r>
      <w:r w:rsidR="00D175AC">
        <w:rPr>
          <w:rFonts w:ascii="Arial" w:hAnsi="Arial"/>
        </w:rPr>
        <w:t>459</w:t>
      </w:r>
      <w:r w:rsidR="000478B7">
        <w:rPr>
          <w:rFonts w:ascii="Arial" w:hAnsi="Arial"/>
        </w:rPr>
        <w:t xml:space="preserve"> z </w:t>
      </w:r>
      <w:proofErr w:type="spellStart"/>
      <w:r w:rsidR="000478B7">
        <w:rPr>
          <w:rFonts w:ascii="Arial" w:hAnsi="Arial"/>
        </w:rPr>
        <w:t>późn</w:t>
      </w:r>
      <w:proofErr w:type="spellEnd"/>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 xml:space="preserve">z </w:t>
      </w:r>
      <w:proofErr w:type="spellStart"/>
      <w:r w:rsidR="00B04CE8">
        <w:rPr>
          <w:rFonts w:ascii="Arial" w:hAnsi="Arial"/>
        </w:rPr>
        <w:t>późn</w:t>
      </w:r>
      <w:proofErr w:type="spellEnd"/>
      <w:r w:rsidR="00B04CE8">
        <w:rPr>
          <w:rFonts w:ascii="Arial" w:hAnsi="Arial"/>
        </w:rPr>
        <w:t>. zm.</w:t>
      </w:r>
      <w:r w:rsidR="00090E32" w:rsidRPr="007E469E">
        <w:rPr>
          <w:rFonts w:ascii="Arial" w:hAnsi="Arial"/>
        </w:rPr>
        <w:t>)</w:t>
      </w:r>
      <w:r w:rsidRPr="007E469E">
        <w:rPr>
          <w:rFonts w:ascii="Arial" w:hAnsi="Arial"/>
        </w:rPr>
        <w:t>;</w:t>
      </w:r>
    </w:p>
    <w:p w:rsidR="00FB4547" w:rsidRPr="007E469E" w:rsidRDefault="00FB4547" w:rsidP="008A69F7">
      <w:pPr>
        <w:numPr>
          <w:ilvl w:val="0"/>
          <w:numId w:val="13"/>
        </w:numPr>
        <w:spacing w:before="240" w:after="240" w:line="360" w:lineRule="auto"/>
        <w:contextualSpacing/>
        <w:jc w:val="both"/>
        <w:rPr>
          <w:rFonts w:ascii="Arial" w:hAnsi="Arial"/>
        </w:rPr>
      </w:pPr>
      <w:r>
        <w:rPr>
          <w:rFonts w:ascii="Arial" w:hAnsi="Arial"/>
        </w:rPr>
        <w:t>osoba samozatrudniona – osobę fizyczną prowadzącą działalność gospodarcza, która jest beneficjentem projektu i jednocześnie stanowi personel tego projektu;</w:t>
      </w:r>
    </w:p>
    <w:p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rsidR="00A6331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 osoby samozatrudnione w rozumieniu pkt 18</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201</w:t>
      </w:r>
      <w:r w:rsidR="00E06E3A">
        <w:rPr>
          <w:rFonts w:ascii="Arial" w:hAnsi="Arial"/>
        </w:rPr>
        <w:t>7</w:t>
      </w:r>
      <w:r w:rsidR="000478B7">
        <w:rPr>
          <w:rFonts w:ascii="Arial" w:hAnsi="Arial"/>
        </w:rPr>
        <w:t xml:space="preserve"> </w:t>
      </w:r>
      <w:r w:rsidR="008B5852">
        <w:rPr>
          <w:rFonts w:ascii="Arial" w:hAnsi="Arial"/>
        </w:rPr>
        <w:t xml:space="preserve">r. poz. </w:t>
      </w:r>
      <w:r w:rsidR="00E06E3A">
        <w:rPr>
          <w:rFonts w:ascii="Arial" w:hAnsi="Arial"/>
        </w:rPr>
        <w:t>1778</w:t>
      </w:r>
      <w:r w:rsidR="00854B6B">
        <w:rPr>
          <w:rFonts w:ascii="Arial" w:hAnsi="Arial"/>
        </w:rPr>
        <w:t xml:space="preserve">, z </w:t>
      </w:r>
      <w:proofErr w:type="spellStart"/>
      <w:r w:rsidR="00854B6B">
        <w:rPr>
          <w:rFonts w:ascii="Arial" w:hAnsi="Arial"/>
        </w:rPr>
        <w:t>późn</w:t>
      </w:r>
      <w:proofErr w:type="spellEnd"/>
      <w:r w:rsidR="00854B6B">
        <w:rPr>
          <w:rFonts w:ascii="Arial" w:hAnsi="Arial"/>
        </w:rPr>
        <w:t>.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r w:rsidR="00FB4547">
        <w:rPr>
          <w:rFonts w:ascii="Arial" w:hAnsi="Arial"/>
        </w:rPr>
        <w:t>;</w:t>
      </w:r>
    </w:p>
    <w:p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organizacyjnej i finansowej rozumianej jako brak samodzielności dysponowania środkami publicznymi (dysponent II i III stopnia); </w:t>
      </w:r>
    </w:p>
    <w:p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 xml:space="preserve">de </w:t>
      </w:r>
      <w:proofErr w:type="spellStart"/>
      <w:r w:rsidRPr="00800E96">
        <w:rPr>
          <w:rFonts w:ascii="Arial" w:hAnsi="Arial"/>
          <w:i/>
        </w:rPr>
        <w:t>minimis</w:t>
      </w:r>
      <w:proofErr w:type="spellEnd"/>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 xml:space="preserve">de </w:t>
      </w:r>
      <w:proofErr w:type="spellStart"/>
      <w:r w:rsidR="00FC219D" w:rsidRPr="00800E96">
        <w:rPr>
          <w:rFonts w:ascii="Arial" w:hAnsi="Arial" w:cs="Arial"/>
          <w:i/>
        </w:rPr>
        <w:t>minimis</w:t>
      </w:r>
      <w:proofErr w:type="spellEnd"/>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w:t>
      </w:r>
      <w:r w:rsidR="00FB4547" w:rsidRPr="00FB4547">
        <w:rPr>
          <w:rFonts w:ascii="Arial" w:hAnsi="Arial" w:cs="Arial"/>
        </w:rPr>
        <w:lastRenderedPageBreak/>
        <w:t xml:space="preserve">Europejskiej do pomocy </w:t>
      </w:r>
      <w:r w:rsidR="00FB4547" w:rsidRPr="00D61F73">
        <w:rPr>
          <w:rFonts w:ascii="Arial" w:hAnsi="Arial" w:cs="Arial"/>
          <w:i/>
        </w:rPr>
        <w:t xml:space="preserve">de </w:t>
      </w:r>
      <w:proofErr w:type="spellStart"/>
      <w:r w:rsidR="00FB4547" w:rsidRPr="00D61F73">
        <w:rPr>
          <w:rFonts w:ascii="Arial" w:hAnsi="Arial" w:cs="Arial"/>
          <w:i/>
        </w:rPr>
        <w:t>minimis</w:t>
      </w:r>
      <w:proofErr w:type="spellEnd"/>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 xml:space="preserve">również pomocy de </w:t>
      </w:r>
      <w:proofErr w:type="spellStart"/>
      <w:r w:rsidR="000C51A5">
        <w:rPr>
          <w:rFonts w:ascii="Arial" w:hAnsi="Arial"/>
        </w:rPr>
        <w:t>minimis</w:t>
      </w:r>
      <w:proofErr w:type="spellEnd"/>
      <w:r w:rsidR="000C51A5">
        <w:rPr>
          <w:rFonts w:ascii="Arial" w:hAnsi="Arial"/>
        </w:rPr>
        <w:t>;</w:t>
      </w:r>
      <w:r w:rsidR="00FB4547">
        <w:rPr>
          <w:rFonts w:ascii="Arial" w:hAnsi="Arial"/>
        </w:rPr>
        <w:t xml:space="preserve"> </w:t>
      </w:r>
    </w:p>
    <w:p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 xml:space="preserve">de </w:t>
      </w:r>
      <w:proofErr w:type="spellStart"/>
      <w:r w:rsidR="00F155A0" w:rsidRPr="00CB72E6">
        <w:rPr>
          <w:rFonts w:ascii="Arial" w:hAnsi="Arial"/>
          <w:i/>
        </w:rPr>
        <w:t>minimis</w:t>
      </w:r>
      <w:proofErr w:type="spellEnd"/>
      <w:r w:rsidR="00F155A0" w:rsidRPr="003E791C">
        <w:rPr>
          <w:rFonts w:ascii="Arial" w:hAnsi="Arial"/>
        </w:rPr>
        <w:t>, będącej przedmiotem jego regulacji;</w:t>
      </w:r>
    </w:p>
    <w:p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 xml:space="preserve">Prawo budowlane – ustawa z dnia 7 lipca 1994 r. Prawo budowlane (Tekst jedn.: Dz.U. z 2016 r., poz. 290 z </w:t>
      </w:r>
      <w:proofErr w:type="spellStart"/>
      <w:r w:rsidRPr="00800E96">
        <w:rPr>
          <w:rFonts w:ascii="Arial" w:hAnsi="Arial"/>
        </w:rPr>
        <w:t>późn</w:t>
      </w:r>
      <w:proofErr w:type="spellEnd"/>
      <w:r w:rsidRPr="00800E96">
        <w:rPr>
          <w:rFonts w:ascii="Arial" w:hAnsi="Arial"/>
        </w:rPr>
        <w:t>. zm.)</w:t>
      </w:r>
      <w:r>
        <w:rPr>
          <w:rFonts w:ascii="Arial" w:hAnsi="Arial"/>
        </w:rPr>
        <w:t>;</w:t>
      </w:r>
    </w:p>
    <w:p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7E469E">
        <w:rPr>
          <w:rFonts w:ascii="Arial" w:hAnsi="Arial"/>
        </w:rPr>
        <w:lastRenderedPageBreak/>
        <w:t>i Europejskiego Funduszu Morskiego i Rybackiego oraz uchylające rozporządzenie Rady (WE) nr 1083/2006 (Dz. Urz. U</w:t>
      </w:r>
      <w:r w:rsidR="004425CF" w:rsidRPr="007E469E">
        <w:rPr>
          <w:rFonts w:ascii="Arial" w:hAnsi="Arial"/>
        </w:rPr>
        <w:t>E L 347 z 20.12.2013, str. 320);</w:t>
      </w:r>
    </w:p>
    <w:p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t>
      </w:r>
      <w:proofErr w:type="spellStart"/>
      <w:r w:rsidR="002F22B0" w:rsidRPr="007E0360">
        <w:rPr>
          <w:rFonts w:ascii="Arial" w:eastAsia="Calibri" w:hAnsi="Arial" w:cs="Arial"/>
        </w:rPr>
        <w:t>w</w:t>
      </w:r>
      <w:r w:rsidR="002F22B0">
        <w:rPr>
          <w:rFonts w:ascii="Arial" w:eastAsia="Calibri" w:hAnsi="Arial" w:cs="Arial"/>
        </w:rPr>
        <w:t>y</w:t>
      </w:r>
      <w:r w:rsidR="002F22B0" w:rsidRPr="007E0360">
        <w:rPr>
          <w:rFonts w:ascii="Arial" w:eastAsia="Calibri" w:hAnsi="Arial" w:cs="Arial"/>
        </w:rPr>
        <w:t>łączeniach</w:t>
      </w:r>
      <w:proofErr w:type="spellEnd"/>
      <w:r w:rsidR="002F22B0" w:rsidRPr="007E0360">
        <w:rPr>
          <w:rFonts w:ascii="Arial" w:eastAsia="Calibri" w:hAnsi="Arial" w:cs="Arial"/>
        </w:rPr>
        <w:t xml:space="preserve"> blokowych/grupowych</w:t>
      </w:r>
      <w:r w:rsidR="000F289A" w:rsidRPr="007E469E">
        <w:rPr>
          <w:rFonts w:ascii="Arial" w:hAnsi="Arial" w:cs="Arial"/>
        </w:rPr>
        <w:t>;</w:t>
      </w:r>
    </w:p>
    <w:p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 xml:space="preserve">ozporządzenie Komisji (UE) nr 1407/ 2013 z dnia 18 grudnia 2013 r. w sprawie stosowania art. 107 i 108 Traktatu o funkcjonowaniu Unii Europejskiej do pomocy de </w:t>
      </w:r>
      <w:proofErr w:type="spellStart"/>
      <w:r w:rsidR="00CC6E84" w:rsidRPr="007E469E">
        <w:rPr>
          <w:rFonts w:ascii="Arial" w:hAnsi="Arial" w:cs="Arial"/>
        </w:rPr>
        <w:t>minimis</w:t>
      </w:r>
      <w:proofErr w:type="spellEnd"/>
      <w:r w:rsidR="00CC6E84" w:rsidRPr="007E469E">
        <w:rPr>
          <w:rFonts w:ascii="Arial" w:hAnsi="Arial" w:cs="Arial"/>
        </w:rPr>
        <w:t xml:space="preserve">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 xml:space="preserve">rozporządzenie nr 966/2012 – rozporządzenie Parlamentu Europejskiego i Rady (UE,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xml:space="preserve">) nr 966/2012 z dnia 25 października 2012 r. w sprawie zasad finansowych mających zastosowanie do budżetu ogólnego Unii oraz uchylające rozporządzenie Rady (WE,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nr 1605/2002;</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 xml:space="preserve">2016 </w:t>
      </w:r>
      <w:r w:rsidR="00B1308B">
        <w:rPr>
          <w:rFonts w:ascii="Arial" w:hAnsi="Arial"/>
        </w:rPr>
        <w:t>r.</w:t>
      </w:r>
      <w:r w:rsidR="008E35A2">
        <w:rPr>
          <w:rFonts w:ascii="Arial" w:hAnsi="Arial"/>
        </w:rPr>
        <w:t>,</w:t>
      </w:r>
      <w:r w:rsidR="008E35A2" w:rsidRPr="00EF5BA8">
        <w:rPr>
          <w:rFonts w:ascii="Arial" w:hAnsi="Arial"/>
        </w:rPr>
        <w:t xml:space="preserve"> poz. </w:t>
      </w:r>
      <w:r w:rsidR="000478B7">
        <w:rPr>
          <w:rFonts w:ascii="Arial" w:hAnsi="Arial"/>
        </w:rPr>
        <w:t>1047</w:t>
      </w:r>
      <w:r w:rsidR="008E35A2">
        <w:rPr>
          <w:rFonts w:ascii="Arial" w:hAnsi="Arial"/>
        </w:rPr>
        <w:t xml:space="preserve">, z </w:t>
      </w:r>
      <w:proofErr w:type="spellStart"/>
      <w:r w:rsidR="008E35A2">
        <w:rPr>
          <w:rFonts w:ascii="Arial" w:hAnsi="Arial"/>
        </w:rPr>
        <w:t>późn</w:t>
      </w:r>
      <w:proofErr w:type="spellEnd"/>
      <w:r w:rsidR="008E35A2">
        <w:rPr>
          <w:rFonts w:ascii="Arial" w:hAnsi="Arial"/>
        </w:rPr>
        <w:t>.</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xml:space="preserve">, z </w:t>
      </w:r>
      <w:proofErr w:type="spellStart"/>
      <w:r w:rsidRPr="003C75A8">
        <w:rPr>
          <w:rFonts w:ascii="Arial" w:hAnsi="Arial" w:cs="Arial"/>
        </w:rPr>
        <w:t>późn</w:t>
      </w:r>
      <w:proofErr w:type="spellEnd"/>
      <w:r w:rsidRPr="003C75A8">
        <w:rPr>
          <w:rFonts w:ascii="Arial" w:hAnsi="Arial" w:cs="Arial"/>
        </w:rPr>
        <w:t>. zm.),</w:t>
      </w:r>
    </w:p>
    <w:p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lastRenderedPageBreak/>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ustawa </w:t>
      </w:r>
      <w:proofErr w:type="spellStart"/>
      <w:r w:rsidRPr="007E469E">
        <w:rPr>
          <w:rFonts w:ascii="Arial" w:hAnsi="Arial" w:cs="Arial"/>
        </w:rPr>
        <w:t>Pzp</w:t>
      </w:r>
      <w:proofErr w:type="spellEnd"/>
      <w:r w:rsidRPr="007E469E">
        <w:rPr>
          <w:rFonts w:ascii="Arial" w:hAnsi="Arial" w:cs="Arial"/>
        </w:rPr>
        <w:t xml:space="preserve"> - ustawę z dnia 29 stycznia 2004 r. Prawo zamówień publicznych (</w:t>
      </w:r>
      <w:proofErr w:type="spellStart"/>
      <w:r w:rsidR="00634F23">
        <w:rPr>
          <w:rFonts w:ascii="Arial" w:hAnsi="Arial" w:cs="Arial"/>
        </w:rPr>
        <w:t>t.j</w:t>
      </w:r>
      <w:proofErr w:type="spellEnd"/>
      <w:r w:rsidR="00634F23">
        <w:rPr>
          <w:rFonts w:ascii="Arial" w:hAnsi="Arial" w:cs="Arial"/>
        </w:rPr>
        <w:t xml:space="preserve">.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00B15467">
        <w:rPr>
          <w:rFonts w:ascii="Arial" w:hAnsi="Arial" w:cs="Arial"/>
        </w:rPr>
        <w:t xml:space="preserve">, z </w:t>
      </w:r>
      <w:proofErr w:type="spellStart"/>
      <w:r w:rsidR="00B15467">
        <w:rPr>
          <w:rFonts w:ascii="Arial" w:hAnsi="Arial" w:cs="Arial"/>
        </w:rPr>
        <w:t>późn</w:t>
      </w:r>
      <w:proofErr w:type="spellEnd"/>
      <w:r w:rsidR="00B15467">
        <w:rPr>
          <w:rFonts w:ascii="Arial" w:hAnsi="Arial" w:cs="Arial"/>
        </w:rPr>
        <w:t>. zm.</w:t>
      </w:r>
      <w:r w:rsidRPr="007E469E">
        <w:rPr>
          <w:rFonts w:ascii="Arial" w:hAnsi="Arial" w:cs="Arial"/>
        </w:rPr>
        <w:t>);</w:t>
      </w:r>
    </w:p>
    <w:p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lastRenderedPageBreak/>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A25D71">
        <w:rPr>
          <w:rStyle w:val="Odwoanieprzypisudolnego"/>
          <w:rFonts w:ascii="Arial" w:hAnsi="Arial" w:cs="Arial"/>
        </w:rPr>
        <w:footnoteReference w:id="7"/>
      </w:r>
      <w:r w:rsidR="008E50AF" w:rsidRPr="00F21869">
        <w:rPr>
          <w:rFonts w:ascii="Arial" w:hAnsi="Arial" w:cs="Arial"/>
        </w:rPr>
        <w:t xml:space="preserve">, 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będącego efektem działań podjętych przez zamawiającego w projekcie realizowanym w ramach POPC;</w:t>
      </w:r>
    </w:p>
    <w:p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t>
      </w:r>
      <w:proofErr w:type="spellStart"/>
      <w:r w:rsidRPr="00F21869">
        <w:rPr>
          <w:rFonts w:ascii="Arial" w:hAnsi="Arial" w:cs="Arial"/>
        </w:rPr>
        <w:t>ws</w:t>
      </w:r>
      <w:proofErr w:type="spellEnd"/>
      <w:r w:rsidRPr="00F21869">
        <w:rPr>
          <w:rFonts w:ascii="Arial" w:hAnsi="Arial" w:cs="Arial"/>
        </w:rPr>
        <w:t xml:space="preserve">.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10"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w:t>
      </w:r>
      <w:proofErr w:type="spellStart"/>
      <w:r w:rsidR="00446B30">
        <w:rPr>
          <w:rFonts w:ascii="Arial" w:hAnsi="Arial" w:cs="Arial"/>
        </w:rPr>
        <w:t>Pzp</w:t>
      </w:r>
      <w:proofErr w:type="spellEnd"/>
      <w:r w:rsidR="00446B30">
        <w:rPr>
          <w:rFonts w:ascii="Arial" w:hAnsi="Arial" w:cs="Arial"/>
        </w:rPr>
        <w:t xml:space="preserve">,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rsidR="00692FB8" w:rsidRDefault="00692FB8">
      <w:pPr>
        <w:rPr>
          <w:rFonts w:ascii="Arial" w:hAnsi="Arial" w:cs="Arial"/>
          <w:i/>
        </w:rPr>
      </w:pPr>
      <w:r>
        <w:rPr>
          <w:rFonts w:ascii="Arial" w:hAnsi="Arial" w:cs="Arial"/>
          <w:i/>
        </w:rPr>
        <w:br w:type="page"/>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478993703"/>
      <w:bookmarkStart w:id="26" w:name="_Toc478993704"/>
      <w:bookmarkStart w:id="27" w:name="_Toc384969091"/>
      <w:bookmarkStart w:id="28" w:name="_Toc500322991"/>
      <w:bookmarkEnd w:id="25"/>
      <w:bookmarkEnd w:id="26"/>
      <w:r w:rsidRPr="007E469E">
        <w:rPr>
          <w:rFonts w:ascii="Arial" w:hAnsi="Arial" w:cs="Arial"/>
          <w:color w:val="auto"/>
          <w:sz w:val="24"/>
          <w:szCs w:val="24"/>
        </w:rPr>
        <w:lastRenderedPageBreak/>
        <w:t xml:space="preserve">Rozdział - Cel, zakres oraz obowiązywanie </w:t>
      </w:r>
      <w:bookmarkEnd w:id="27"/>
      <w:r w:rsidR="00D454D4">
        <w:rPr>
          <w:rFonts w:ascii="Arial" w:hAnsi="Arial" w:cs="Arial"/>
          <w:i/>
          <w:color w:val="auto"/>
          <w:sz w:val="24"/>
          <w:szCs w:val="24"/>
        </w:rPr>
        <w:t>Katalogu</w:t>
      </w:r>
      <w:bookmarkEnd w:id="28"/>
    </w:p>
    <w:p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rsidR="00F510F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 xml:space="preserve">de </w:t>
      </w:r>
      <w:proofErr w:type="spellStart"/>
      <w:r w:rsidR="00800E96" w:rsidRPr="00A25D71">
        <w:rPr>
          <w:rFonts w:ascii="Arial" w:hAnsi="Arial" w:cs="Arial"/>
          <w:i/>
          <w:color w:val="000000"/>
        </w:rPr>
        <w:t>minimis</w:t>
      </w:r>
      <w:proofErr w:type="spellEnd"/>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9" w:name="39"/>
      <w:bookmarkStart w:id="30" w:name="_Toc396130032"/>
      <w:bookmarkStart w:id="31" w:name="_Toc396130107"/>
      <w:bookmarkEnd w:id="29"/>
      <w:bookmarkEnd w:id="30"/>
      <w:bookmarkEnd w:id="31"/>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2" w:name="_Toc500322992"/>
      <w:r w:rsidRPr="007E469E">
        <w:rPr>
          <w:rFonts w:ascii="Arial" w:hAnsi="Arial" w:cs="Arial"/>
          <w:color w:val="auto"/>
          <w:sz w:val="24"/>
          <w:szCs w:val="24"/>
        </w:rPr>
        <w:lastRenderedPageBreak/>
        <w:t>Rozdział - Wspólne warunki i procedury w zakresie kwalifikowalności wydatków</w:t>
      </w:r>
      <w:bookmarkEnd w:id="32"/>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500322993"/>
      <w:r w:rsidRPr="007E469E">
        <w:rPr>
          <w:rFonts w:ascii="Arial" w:hAnsi="Arial" w:cs="Arial"/>
          <w:i/>
          <w:color w:val="auto"/>
          <w:sz w:val="24"/>
          <w:szCs w:val="24"/>
        </w:rPr>
        <w:t>Ocena kwalifikowalności wydatku.</w:t>
      </w:r>
      <w:bookmarkEnd w:id="33"/>
    </w:p>
    <w:p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 xml:space="preserve">de </w:t>
      </w:r>
      <w:proofErr w:type="spellStart"/>
      <w:r w:rsidR="003E791C" w:rsidRPr="00FA6470">
        <w:rPr>
          <w:rFonts w:ascii="Arial" w:eastAsia="Times New Roman" w:hAnsi="Arial" w:cs="Times New Roman"/>
          <w:i/>
          <w:szCs w:val="24"/>
          <w:lang w:eastAsia="pl-PL"/>
        </w:rPr>
        <w:t>minimis</w:t>
      </w:r>
      <w:proofErr w:type="spellEnd"/>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4" w:name="_Toc500322994"/>
      <w:r w:rsidRPr="00B81671">
        <w:rPr>
          <w:rFonts w:ascii="Arial" w:hAnsi="Arial" w:cs="Arial"/>
          <w:i/>
          <w:color w:val="auto"/>
          <w:sz w:val="24"/>
          <w:szCs w:val="24"/>
        </w:rPr>
        <w:t>Zasada faktycznego poniesienia wydatku</w:t>
      </w:r>
      <w:bookmarkEnd w:id="34"/>
    </w:p>
    <w:p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bankowego </w:t>
      </w:r>
      <w:r w:rsidR="00132869" w:rsidRPr="00B81671">
        <w:rPr>
          <w:rFonts w:ascii="Arial" w:hAnsi="Arial" w:cs="Arial"/>
        </w:rPr>
        <w:lastRenderedPageBreak/>
        <w:t xml:space="preserve">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E06E3A">
        <w:rPr>
          <w:rFonts w:ascii="Arial" w:hAnsi="Arial" w:cs="Arial"/>
        </w:rPr>
        <w:t>7</w:t>
      </w:r>
      <w:r w:rsidR="00B176BD" w:rsidRPr="00B81671">
        <w:rPr>
          <w:rFonts w:ascii="Arial" w:hAnsi="Arial" w:cs="Arial"/>
        </w:rPr>
        <w:t xml:space="preserve"> r. poz. </w:t>
      </w:r>
      <w:r w:rsidR="00E06E3A">
        <w:rPr>
          <w:rFonts w:ascii="Arial" w:hAnsi="Arial" w:cs="Arial"/>
        </w:rPr>
        <w:t>1876</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 xml:space="preserve">de </w:t>
      </w:r>
      <w:proofErr w:type="spellStart"/>
      <w:r w:rsidRPr="00285F07">
        <w:rPr>
          <w:rFonts w:ascii="Arial" w:hAnsi="Arial" w:cs="Arial"/>
          <w:i/>
        </w:rPr>
        <w:t>minimis</w:t>
      </w:r>
      <w:proofErr w:type="spellEnd"/>
      <w:r w:rsidRPr="00285F07">
        <w:rPr>
          <w:rFonts w:ascii="Arial" w:hAnsi="Arial" w:cs="Arial"/>
        </w:rPr>
        <w:t xml:space="preserve">, </w:t>
      </w:r>
    </w:p>
    <w:p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rsidR="007A523D" w:rsidRPr="00B81671" w:rsidRDefault="001163F6" w:rsidP="009E7AB2">
      <w:pPr>
        <w:spacing w:before="120" w:after="120" w:line="360" w:lineRule="auto"/>
        <w:ind w:left="357" w:hanging="215"/>
        <w:jc w:val="both"/>
      </w:pPr>
      <w:r w:rsidRPr="00B81671">
        <w:rPr>
          <w:rFonts w:ascii="Arial" w:hAnsi="Arial" w:cs="Arial"/>
        </w:rPr>
        <w:lastRenderedPageBreak/>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w:t>
      </w:r>
      <w:r w:rsidR="00C35303" w:rsidRPr="00B81671">
        <w:rPr>
          <w:rFonts w:ascii="Arial" w:eastAsia="Times New Roman" w:hAnsi="Arial" w:cs="Arial"/>
          <w:lang w:eastAsia="pl-PL"/>
        </w:rPr>
        <w:lastRenderedPageBreak/>
        <w:t xml:space="preserve">kwoty netto, składki PZU, składki i spłaty pożyczek mieszkaniowych, składki na ubezpieczenia społeczne, składki na ubezpieczenia zdrowotne, składaki na Fundusz Pracy, podatek dochodowy od osób fizycznych, </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3F1F22">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3F1F22">
        <w:rPr>
          <w:rFonts w:ascii="Arial" w:eastAsia="Times New Roman" w:hAnsi="Arial" w:cs="Arial"/>
          <w:lang w:eastAsia="pl-PL"/>
        </w:rPr>
        <w:t>2147</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biletami lotniczymi wystawionymi w formie papierowej lub elektronicznej, wraz z fakturami VAT i dowodami zapłaty,</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 xml:space="preserve">dokument „Kasa przyjmie” (KP) lub „Kasa wypłaci” (KW) – zawierający odniesienie do faktury lub dokumentu księgowego o równoważnej wartości dowodowej, którego </w:t>
      </w:r>
      <w:r w:rsidRPr="00B81671">
        <w:rPr>
          <w:rFonts w:ascii="Arial" w:hAnsi="Arial" w:cs="Arial"/>
        </w:rPr>
        <w:lastRenderedPageBreak/>
        <w:t>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 xml:space="preserve">wymiar godzinowy, </w:t>
      </w:r>
    </w:p>
    <w:p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8"/>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w:t>
      </w:r>
      <w:r w:rsidR="0030208A" w:rsidRPr="00B81671">
        <w:rPr>
          <w:rFonts w:ascii="Arial" w:hAnsi="Arial" w:cs="Arial"/>
        </w:rPr>
        <w:lastRenderedPageBreak/>
        <w:t>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5" w:name="_Toc500322995"/>
      <w:bookmarkStart w:id="36" w:name="_Toc399917175"/>
      <w:r w:rsidRPr="00B81671">
        <w:rPr>
          <w:rFonts w:ascii="Arial" w:hAnsi="Arial" w:cs="Arial"/>
          <w:i/>
          <w:color w:val="auto"/>
          <w:sz w:val="24"/>
          <w:szCs w:val="24"/>
        </w:rPr>
        <w:t>Warunki oraz okres kwalifikowania wydatków w projektach podlegających zasadom pomocy publicznej</w:t>
      </w:r>
      <w:bookmarkEnd w:id="35"/>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9"/>
      </w:r>
      <w:r w:rsidRPr="00B81671">
        <w:rPr>
          <w:rFonts w:ascii="Arial" w:hAnsi="Arial" w:cs="Arial"/>
        </w:rPr>
        <w:t xml:space="preserve"> – obowiązują ramy czasowe określone w tym akcie.</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 xml:space="preserve">Pomoc de </w:t>
      </w:r>
      <w:proofErr w:type="spellStart"/>
      <w:r w:rsidRPr="00B81671">
        <w:rPr>
          <w:rFonts w:ascii="Arial" w:hAnsi="Arial" w:cs="Arial"/>
        </w:rPr>
        <w:t>minimis</w:t>
      </w:r>
      <w:proofErr w:type="spellEnd"/>
      <w:r w:rsidRPr="00B81671">
        <w:rPr>
          <w:rFonts w:ascii="Arial" w:hAnsi="Arial" w:cs="Arial"/>
        </w:rPr>
        <w:t xml:space="preserve">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t>
      </w:r>
      <w:proofErr w:type="spellStart"/>
      <w:r w:rsidRPr="00B81671">
        <w:rPr>
          <w:rFonts w:ascii="Arial" w:hAnsi="Arial" w:cs="Arial"/>
        </w:rPr>
        <w:t>ws</w:t>
      </w:r>
      <w:proofErr w:type="spellEnd"/>
      <w:r w:rsidRPr="00B81671">
        <w:rPr>
          <w:rFonts w:ascii="Arial" w:hAnsi="Arial" w:cs="Arial"/>
        </w:rPr>
        <w:t xml:space="preserve">. pomocy de </w:t>
      </w:r>
      <w:proofErr w:type="spellStart"/>
      <w:r w:rsidRPr="00B81671">
        <w:rPr>
          <w:rFonts w:ascii="Arial" w:hAnsi="Arial" w:cs="Arial"/>
        </w:rPr>
        <w:t>minimis</w:t>
      </w:r>
      <w:proofErr w:type="spellEnd"/>
      <w:r w:rsidRPr="00B81671">
        <w:rPr>
          <w:rFonts w:ascii="Arial" w:hAnsi="Arial" w:cs="Arial"/>
        </w:rPr>
        <w:t>.</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0C59D9">
        <w:rPr>
          <w:rFonts w:ascii="Arial" w:hAnsi="Arial" w:cs="Arial"/>
        </w:rPr>
        <w:t>.</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w:t>
      </w:r>
      <w:r w:rsidRPr="00B81671">
        <w:rPr>
          <w:rFonts w:ascii="Arial" w:hAnsi="Arial" w:cs="Arial"/>
        </w:rPr>
        <w:lastRenderedPageBreak/>
        <w:t>przygotowawczych, takich jak uzyskanie stosownych zezwoleń, czy przeprowadzenie studiów wykonalności, co do zasady, nie uważa się za rozpoczęcie prac.</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w:t>
      </w:r>
      <w:proofErr w:type="spellStart"/>
      <w:r w:rsidRPr="00B81671">
        <w:rPr>
          <w:rFonts w:ascii="Arial" w:hAnsi="Arial" w:cs="Arial"/>
        </w:rPr>
        <w:t>minimis</w:t>
      </w:r>
      <w:proofErr w:type="spellEnd"/>
      <w:r w:rsidRPr="00B81671">
        <w:rPr>
          <w:rFonts w:ascii="Arial" w:hAnsi="Arial" w:cs="Arial"/>
        </w:rPr>
        <w:t xml:space="preserve">)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w:t>
      </w:r>
      <w:r w:rsidRPr="00B81671">
        <w:rPr>
          <w:rFonts w:ascii="Arial" w:hAnsi="Arial" w:cs="Arial"/>
        </w:rPr>
        <w:lastRenderedPageBreak/>
        <w:t xml:space="preserve">2014 – zastosowanie mają regulacje Załącznika I do tego Rozporządzenia. W przypadku pomocy de </w:t>
      </w:r>
      <w:proofErr w:type="spellStart"/>
      <w:r w:rsidRPr="00B81671">
        <w:rPr>
          <w:rFonts w:ascii="Arial" w:hAnsi="Arial" w:cs="Arial"/>
        </w:rPr>
        <w:t>minimis</w:t>
      </w:r>
      <w:proofErr w:type="spellEnd"/>
      <w:r w:rsidRPr="00B81671">
        <w:rPr>
          <w:rFonts w:ascii="Arial" w:hAnsi="Arial" w:cs="Arial"/>
        </w:rPr>
        <w:t xml:space="preserve">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rsidR="00E639F6" w:rsidRPr="00E639F6" w:rsidRDefault="00E639F6" w:rsidP="00E639F6">
      <w:pPr>
        <w:pStyle w:val="Akapitzlist"/>
        <w:spacing w:before="120" w:after="120" w:line="360" w:lineRule="auto"/>
        <w:ind w:left="360"/>
        <w:jc w:val="both"/>
        <w:rPr>
          <w:rFonts w:ascii="Arial" w:hAnsi="Arial" w:cs="Arial"/>
        </w:rPr>
      </w:pPr>
    </w:p>
    <w:p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7" w:name="_Toc407115848"/>
      <w:bookmarkStart w:id="38" w:name="_Toc407116378"/>
      <w:bookmarkStart w:id="39" w:name="_Toc491432427"/>
      <w:bookmarkStart w:id="40" w:name="_Toc491432428"/>
      <w:bookmarkStart w:id="41" w:name="_Toc491432429"/>
      <w:bookmarkStart w:id="42" w:name="_Toc491432430"/>
      <w:bookmarkStart w:id="43" w:name="_Toc428535187"/>
      <w:bookmarkStart w:id="44" w:name="_Toc431295988"/>
      <w:bookmarkStart w:id="45" w:name="_Toc500322996"/>
      <w:bookmarkStart w:id="46" w:name="_Toc406509583"/>
      <w:bookmarkEnd w:id="37"/>
      <w:bookmarkEnd w:id="38"/>
      <w:bookmarkEnd w:id="39"/>
      <w:bookmarkEnd w:id="40"/>
      <w:bookmarkEnd w:id="41"/>
      <w:bookmarkEnd w:id="42"/>
      <w:r>
        <w:rPr>
          <w:rFonts w:ascii="Arial" w:hAnsi="Arial" w:cs="Arial"/>
          <w:i/>
          <w:color w:val="000000" w:themeColor="text1"/>
          <w:sz w:val="24"/>
          <w:szCs w:val="24"/>
        </w:rPr>
        <w:lastRenderedPageBreak/>
        <w:t>Zamówienia udzielane w projektach</w:t>
      </w:r>
      <w:bookmarkEnd w:id="43"/>
      <w:bookmarkEnd w:id="44"/>
      <w:bookmarkEnd w:id="45"/>
    </w:p>
    <w:p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w:t>
      </w:r>
      <w:proofErr w:type="spellStart"/>
      <w:r>
        <w:rPr>
          <w:rFonts w:ascii="Arial" w:eastAsia="MS Mincho" w:hAnsi="Arial" w:cs="Arial"/>
          <w:lang w:eastAsia="ja-JP"/>
        </w:rPr>
        <w:t>Pzp</w:t>
      </w:r>
      <w:proofErr w:type="spellEnd"/>
      <w:r>
        <w:rPr>
          <w:rFonts w:ascii="Arial" w:eastAsia="MS Mincho" w:hAnsi="Arial" w:cs="Arial"/>
          <w:lang w:eastAsia="ja-JP"/>
        </w:rPr>
        <w:t xml:space="preserve">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29043882"/>
      <w:bookmarkStart w:id="48" w:name="_Toc500322997"/>
      <w:bookmarkEnd w:id="36"/>
      <w:bookmarkEnd w:id="46"/>
      <w:bookmarkEnd w:id="47"/>
      <w:r w:rsidRPr="00C60541">
        <w:rPr>
          <w:rFonts w:ascii="Arial" w:hAnsi="Arial" w:cs="Arial"/>
          <w:i/>
          <w:color w:val="auto"/>
          <w:sz w:val="24"/>
          <w:szCs w:val="24"/>
        </w:rPr>
        <w:t>Leasing</w:t>
      </w:r>
      <w:bookmarkEnd w:id="48"/>
    </w:p>
    <w:p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rsidR="006F58D2" w:rsidRPr="00B81671" w:rsidRDefault="006F58D2" w:rsidP="00C0534E">
      <w:pPr>
        <w:ind w:left="426"/>
        <w:jc w:val="both"/>
        <w:rPr>
          <w:rFonts w:ascii="Arial" w:hAnsi="Arial" w:cs="Arial"/>
        </w:rPr>
      </w:pPr>
      <w:r w:rsidRPr="00B81671">
        <w:rPr>
          <w:rFonts w:ascii="Arial" w:hAnsi="Arial" w:cs="Arial"/>
        </w:rPr>
        <w:t>b) marżę finansującego,</w:t>
      </w:r>
    </w:p>
    <w:p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rsidR="006F58D2" w:rsidRDefault="006F58D2" w:rsidP="00C0534E">
      <w:pPr>
        <w:ind w:left="426"/>
        <w:jc w:val="both"/>
        <w:rPr>
          <w:rFonts w:ascii="Arial" w:hAnsi="Arial" w:cs="Arial"/>
        </w:rPr>
      </w:pPr>
      <w:r w:rsidRPr="00B81671">
        <w:rPr>
          <w:rFonts w:ascii="Arial" w:hAnsi="Arial" w:cs="Arial"/>
        </w:rPr>
        <w:t>e) opłaty ubezpieczeniowe.</w:t>
      </w:r>
    </w:p>
    <w:p w:rsidR="00964FDE" w:rsidRDefault="00964FDE" w:rsidP="00C0534E">
      <w:pPr>
        <w:ind w:left="426"/>
        <w:jc w:val="both"/>
        <w:rPr>
          <w:rFonts w:ascii="Arial" w:hAnsi="Arial" w:cs="Arial"/>
        </w:rPr>
      </w:pPr>
    </w:p>
    <w:p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500322998"/>
      <w:r w:rsidRPr="00554E0C">
        <w:rPr>
          <w:rFonts w:ascii="Arial" w:hAnsi="Arial" w:cs="Arial"/>
          <w:i/>
          <w:color w:val="auto"/>
          <w:sz w:val="24"/>
          <w:szCs w:val="24"/>
        </w:rPr>
        <w:lastRenderedPageBreak/>
        <w:t>Projekty generujące dochód po zakończeniu realizacji projektów</w:t>
      </w:r>
      <w:bookmarkEnd w:id="49"/>
    </w:p>
    <w:p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500322999"/>
      <w:bookmarkEnd w:id="50"/>
      <w:bookmarkEnd w:id="51"/>
      <w:r w:rsidRPr="007E469E">
        <w:rPr>
          <w:rFonts w:ascii="Arial" w:hAnsi="Arial" w:cs="Arial"/>
          <w:i/>
          <w:color w:val="auto"/>
          <w:sz w:val="24"/>
          <w:szCs w:val="24"/>
        </w:rPr>
        <w:t>Kwalifikowalność podatku VAT i innych podatków, opłat i obciążeń</w:t>
      </w:r>
      <w:bookmarkEnd w:id="52"/>
    </w:p>
    <w:p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rsidR="00903FFD" w:rsidRPr="0090047B" w:rsidRDefault="00903FFD" w:rsidP="00A01186">
      <w:pPr>
        <w:spacing w:after="0" w:line="360" w:lineRule="auto"/>
        <w:jc w:val="both"/>
        <w:rPr>
          <w:rFonts w:ascii="Arial" w:hAnsi="Arial" w:cs="Arial"/>
        </w:rPr>
      </w:pPr>
    </w:p>
    <w:p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3" w:name="_Toc417549284"/>
      <w:bookmarkStart w:id="54" w:name="_Toc417549353"/>
      <w:bookmarkStart w:id="55" w:name="_Toc417549422"/>
      <w:bookmarkStart w:id="56" w:name="_Toc418584390"/>
      <w:bookmarkStart w:id="57" w:name="_Toc418588606"/>
      <w:bookmarkStart w:id="58" w:name="_Toc407115859"/>
      <w:bookmarkStart w:id="59" w:name="_Toc407116389"/>
      <w:bookmarkStart w:id="60" w:name="_Toc468090827"/>
      <w:bookmarkStart w:id="61" w:name="_Toc468090864"/>
      <w:bookmarkStart w:id="62" w:name="_Toc468092733"/>
      <w:bookmarkStart w:id="63" w:name="_Toc468092770"/>
      <w:bookmarkStart w:id="64" w:name="_Toc468090828"/>
      <w:bookmarkStart w:id="65" w:name="_Toc468090865"/>
      <w:bookmarkStart w:id="66" w:name="_Toc468092734"/>
      <w:bookmarkStart w:id="67" w:name="_Toc468092771"/>
      <w:bookmarkStart w:id="68" w:name="_Toc468090829"/>
      <w:bookmarkStart w:id="69" w:name="_Toc468090866"/>
      <w:bookmarkStart w:id="70" w:name="_Toc468092735"/>
      <w:bookmarkStart w:id="71" w:name="_Toc468092772"/>
      <w:bookmarkStart w:id="72" w:name="_Toc468090830"/>
      <w:bookmarkStart w:id="73" w:name="_Toc468090867"/>
      <w:bookmarkStart w:id="74" w:name="_Toc468092736"/>
      <w:bookmarkStart w:id="75" w:name="_Toc468092773"/>
      <w:bookmarkStart w:id="76" w:name="_Toc50032300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81671">
        <w:rPr>
          <w:rFonts w:ascii="Arial" w:hAnsi="Arial" w:cs="Arial"/>
          <w:i/>
          <w:color w:val="auto"/>
          <w:sz w:val="24"/>
          <w:szCs w:val="24"/>
        </w:rPr>
        <w:t>Duży projekt – zasady identyfikacji</w:t>
      </w:r>
      <w:bookmarkEnd w:id="76"/>
      <w:r w:rsidRPr="00B81671">
        <w:rPr>
          <w:rFonts w:ascii="Arial" w:hAnsi="Arial" w:cs="Arial"/>
          <w:i/>
          <w:color w:val="auto"/>
          <w:sz w:val="24"/>
          <w:szCs w:val="24"/>
        </w:rPr>
        <w:t xml:space="preserve"> </w:t>
      </w:r>
    </w:p>
    <w:p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5"/>
      </w:r>
      <w:r w:rsidRPr="00B81671">
        <w:rPr>
          <w:rFonts w:cs="Arial"/>
          <w:szCs w:val="22"/>
        </w:rPr>
        <w:t>.</w:t>
      </w:r>
      <w:r w:rsidR="0020096F">
        <w:rPr>
          <w:rFonts w:cs="Arial"/>
          <w:szCs w:val="22"/>
        </w:rPr>
        <w:t xml:space="preserve"> </w:t>
      </w:r>
    </w:p>
    <w:p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t>
      </w:r>
      <w:r w:rsidRPr="00B81671">
        <w:rPr>
          <w:rFonts w:cs="Arial"/>
          <w:szCs w:val="22"/>
        </w:rPr>
        <w:lastRenderedPageBreak/>
        <w:t>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6"/>
      </w:r>
      <w:r w:rsidRPr="00B81671">
        <w:rPr>
          <w:rFonts w:cs="Arial"/>
          <w:szCs w:val="22"/>
        </w:rPr>
        <w:t>.</w:t>
      </w:r>
    </w:p>
    <w:p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rsidR="00903FFD" w:rsidRPr="007E469E" w:rsidRDefault="00903FFD" w:rsidP="0069794E">
      <w:pPr>
        <w:pStyle w:val="Akapit"/>
        <w:keepNext w:val="0"/>
        <w:numPr>
          <w:ilvl w:val="0"/>
          <w:numId w:val="0"/>
        </w:numPr>
        <w:spacing w:before="120" w:after="120"/>
        <w:outlineLvl w:val="5"/>
        <w:rPr>
          <w:rFonts w:cs="Arial"/>
          <w:szCs w:val="22"/>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500323001"/>
      <w:r w:rsidRPr="00B81671">
        <w:rPr>
          <w:rFonts w:ascii="Arial" w:hAnsi="Arial" w:cs="Arial"/>
          <w:i/>
          <w:color w:val="auto"/>
          <w:sz w:val="24"/>
          <w:szCs w:val="24"/>
        </w:rPr>
        <w:t>Podmiot dokonujący wydatków kwalifikowalnych</w:t>
      </w:r>
      <w:bookmarkEnd w:id="77"/>
    </w:p>
    <w:p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 xml:space="preserve">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postanowienia dotyczące wzajemnych praw i obowiązków stron gwarantujące </w:t>
      </w:r>
      <w:r w:rsidRPr="00A6331E">
        <w:rPr>
          <w:rFonts w:ascii="Arial" w:eastAsia="Times New Roman" w:hAnsi="Arial" w:cs="Arial"/>
          <w:lang w:eastAsia="pl-PL"/>
        </w:rPr>
        <w:lastRenderedPageBreak/>
        <w:t>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8" w:name="_Toc500323002"/>
      <w:r w:rsidRPr="00B81671">
        <w:rPr>
          <w:rFonts w:ascii="Arial" w:hAnsi="Arial" w:cs="Arial"/>
          <w:i/>
          <w:color w:val="auto"/>
          <w:sz w:val="24"/>
          <w:szCs w:val="24"/>
        </w:rPr>
        <w:t>Podmiot na rzecz którego ponoszone są wydatki kwalifikowalne</w:t>
      </w:r>
      <w:bookmarkEnd w:id="78"/>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rsidR="00FF2954" w:rsidRPr="007E469E" w:rsidRDefault="00FF2954" w:rsidP="00FF2954">
      <w:pPr>
        <w:spacing w:before="120" w:after="120" w:line="360" w:lineRule="auto"/>
        <w:ind w:left="360"/>
        <w:jc w:val="both"/>
        <w:rPr>
          <w:rFonts w:ascii="Arial" w:eastAsia="Times New Roman" w:hAnsi="Arial" w:cs="Arial"/>
          <w:lang w:eastAsia="pl-PL"/>
        </w:rPr>
      </w:pPr>
    </w:p>
    <w:p w:rsidR="005A373A" w:rsidRDefault="005A373A">
      <w:pPr>
        <w:rPr>
          <w:rFonts w:ascii="Arial" w:eastAsia="Times New Roman" w:hAnsi="Arial" w:cs="Arial"/>
          <w:lang w:eastAsia="pl-PL"/>
        </w:rPr>
      </w:pPr>
      <w:r>
        <w:rPr>
          <w:rFonts w:ascii="Arial" w:eastAsia="Times New Roman" w:hAnsi="Arial" w:cs="Arial"/>
          <w:lang w:eastAsia="pl-PL"/>
        </w:rPr>
        <w:br w:type="page"/>
      </w:r>
    </w:p>
    <w:p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9" w:name="_Toc429043896"/>
      <w:bookmarkStart w:id="80" w:name="_Toc500323003"/>
      <w:bookmarkEnd w:id="79"/>
      <w:r w:rsidRPr="007E469E">
        <w:rPr>
          <w:rFonts w:ascii="Arial" w:hAnsi="Arial" w:cs="Arial"/>
          <w:color w:val="auto"/>
          <w:sz w:val="24"/>
          <w:szCs w:val="24"/>
        </w:rPr>
        <w:lastRenderedPageBreak/>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80"/>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wysokości </w:t>
      </w:r>
      <w:r w:rsidR="00DD1152">
        <w:rPr>
          <w:rFonts w:ascii="Arial" w:eastAsia="MS Mincho" w:hAnsi="Arial" w:cs="Arial"/>
          <w:bCs/>
          <w:lang w:eastAsia="ja-JP"/>
        </w:rPr>
        <w:t xml:space="preserve">do </w:t>
      </w:r>
      <w:r w:rsidR="005A09CB" w:rsidRPr="005A09CB">
        <w:rPr>
          <w:rFonts w:ascii="Arial" w:eastAsia="MS Mincho" w:hAnsi="Arial" w:cs="Arial"/>
          <w:bCs/>
          <w:lang w:eastAsia="ja-JP"/>
        </w:rPr>
        <w:t xml:space="preserve">15% bezpośrednich kwalifikowanych kosztów wykazanych w kategorii </w:t>
      </w:r>
      <w:r w:rsidR="005A09CB" w:rsidRPr="005A09CB">
        <w:rPr>
          <w:rFonts w:ascii="Arial" w:eastAsia="MS Mincho" w:hAnsi="Arial" w:cs="Arial"/>
          <w:bCs/>
          <w:i/>
          <w:lang w:eastAsia="ja-JP"/>
        </w:rPr>
        <w:t>Wynagrodzenia pracowników wykonujących merytoryczne zadania bezpośrednio związane z głównymi celami i produktami projektu</w:t>
      </w:r>
      <w:r w:rsidR="005A09CB" w:rsidRPr="005A09CB">
        <w:rPr>
          <w:rFonts w:ascii="Arial" w:eastAsia="MS Mincho" w:hAnsi="Arial" w:cs="Arial"/>
          <w:bCs/>
          <w:lang w:eastAsia="ja-JP"/>
        </w:rPr>
        <w:t xml:space="preserve"> na zasadach określonych w rozdziale 6.6 Wytycznych oraz w niniejszym </w:t>
      </w:r>
      <w:r w:rsidR="005A09CB" w:rsidRPr="005A09CB">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w:t>
      </w:r>
      <w:proofErr w:type="spellStart"/>
      <w:r w:rsidRPr="002E6750">
        <w:rPr>
          <w:rFonts w:ascii="Arial" w:eastAsia="MS Mincho" w:hAnsi="Arial" w:cs="Arial"/>
          <w:bCs/>
          <w:lang w:eastAsia="ja-JP"/>
        </w:rPr>
        <w:t>Pzp</w:t>
      </w:r>
      <w:proofErr w:type="spellEnd"/>
      <w:r w:rsidRPr="002E6750">
        <w:rPr>
          <w:rFonts w:ascii="Arial" w:eastAsia="MS Mincho" w:hAnsi="Arial" w:cs="Arial"/>
          <w:bCs/>
          <w:lang w:eastAsia="ja-JP"/>
        </w:rPr>
        <w:t xml:space="preserve">,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lastRenderedPageBreak/>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rsidR="00ED1E1F" w:rsidRP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8"/>
        <w:gridCol w:w="4606"/>
      </w:tblGrid>
      <w:tr w:rsidR="00903FFD" w:rsidRPr="007E469E"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Kategoria</w:t>
            </w:r>
          </w:p>
          <w:p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rsidTr="00792F8A">
        <w:tc>
          <w:tcPr>
            <w:tcW w:w="4498" w:type="dxa"/>
            <w:vMerge w:val="restart"/>
            <w:tcBorders>
              <w:top w:val="single" w:sz="4" w:space="0" w:color="auto"/>
              <w:left w:val="single" w:sz="4" w:space="0" w:color="auto"/>
              <w:right w:val="single" w:sz="4" w:space="0" w:color="auto"/>
            </w:tcBorders>
            <w:vAlign w:val="center"/>
          </w:tcPr>
          <w:p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rsidTr="00090C88">
        <w:tc>
          <w:tcPr>
            <w:tcW w:w="4498" w:type="dxa"/>
            <w:vMerge/>
            <w:tcBorders>
              <w:left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rsidTr="00792F8A">
        <w:tc>
          <w:tcPr>
            <w:tcW w:w="4498" w:type="dxa"/>
            <w:vMerge/>
            <w:tcBorders>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rsidTr="00792F8A">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rsidTr="00792F8A">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rsidTr="00F46CF9">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rsidTr="00792F8A">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rsidTr="00792F8A">
        <w:tc>
          <w:tcPr>
            <w:tcW w:w="4498" w:type="dxa"/>
            <w:tcBorders>
              <w:left w:val="single" w:sz="4" w:space="0" w:color="auto"/>
              <w:bottom w:val="single" w:sz="4" w:space="0" w:color="auto"/>
              <w:right w:val="single" w:sz="4" w:space="0" w:color="auto"/>
            </w:tcBorders>
            <w:vAlign w:val="center"/>
          </w:tcPr>
          <w:p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Default="00EB34E0" w:rsidP="008E66D4">
            <w:pPr>
              <w:spacing w:before="120" w:after="120" w:line="240" w:lineRule="exact"/>
              <w:jc w:val="both"/>
              <w:rPr>
                <w:rFonts w:ascii="Arial" w:hAnsi="Arial" w:cs="Arial"/>
              </w:rPr>
            </w:pPr>
          </w:p>
        </w:tc>
      </w:tr>
      <w:tr w:rsidR="00352001" w:rsidRPr="007E469E" w:rsidTr="00973929">
        <w:trPr>
          <w:trHeight w:val="825"/>
        </w:trPr>
        <w:tc>
          <w:tcPr>
            <w:tcW w:w="4498" w:type="dxa"/>
            <w:tcBorders>
              <w:top w:val="single" w:sz="4" w:space="0" w:color="auto"/>
              <w:left w:val="single" w:sz="4" w:space="0" w:color="auto"/>
              <w:right w:val="single" w:sz="4" w:space="0" w:color="auto"/>
            </w:tcBorders>
            <w:vAlign w:val="center"/>
          </w:tcPr>
          <w:p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rsidR="00352001" w:rsidRPr="007E469E" w:rsidRDefault="00352001" w:rsidP="00973929">
            <w:pPr>
              <w:spacing w:before="120" w:after="120" w:line="240" w:lineRule="exact"/>
              <w:jc w:val="both"/>
              <w:rPr>
                <w:rFonts w:ascii="Arial" w:hAnsi="Arial" w:cs="Arial"/>
              </w:rPr>
            </w:pPr>
          </w:p>
        </w:tc>
      </w:tr>
      <w:tr w:rsidR="00EB34E0" w:rsidRPr="007E469E" w:rsidTr="00F46CF9">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rsidTr="00F46CF9">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lastRenderedPageBreak/>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bl>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1" w:name="_Toc500323004"/>
      <w:r w:rsidRPr="007E469E">
        <w:rPr>
          <w:rFonts w:ascii="Arial" w:hAnsi="Arial" w:cs="Arial"/>
          <w:i/>
          <w:color w:val="auto"/>
          <w:sz w:val="24"/>
          <w:szCs w:val="24"/>
        </w:rPr>
        <w:t>Wydatki kwalifikowalne</w:t>
      </w:r>
      <w:bookmarkEnd w:id="81"/>
    </w:p>
    <w:p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500323005"/>
      <w:r w:rsidRPr="008D3EC8">
        <w:rPr>
          <w:rFonts w:ascii="Arial" w:hAnsi="Arial" w:cs="Arial"/>
          <w:b w:val="0"/>
          <w:i/>
          <w:color w:val="auto"/>
          <w:sz w:val="24"/>
          <w:szCs w:val="24"/>
        </w:rPr>
        <w:t>Wykaz wydatków kwalifikowalnych ponoszonych na rzecz projektów realizowanych w ramach II osi priorytetowej</w:t>
      </w:r>
      <w:bookmarkEnd w:id="82"/>
      <w:r w:rsidRPr="008D3EC8">
        <w:rPr>
          <w:rFonts w:ascii="Arial" w:hAnsi="Arial" w:cs="Arial"/>
          <w:b w:val="0"/>
          <w:i/>
          <w:color w:val="auto"/>
          <w:sz w:val="24"/>
          <w:szCs w:val="24"/>
        </w:rPr>
        <w:t xml:space="preserve"> </w:t>
      </w:r>
    </w:p>
    <w:p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lastRenderedPageBreak/>
        <w:t>Sprzęt informatyczny</w:t>
      </w:r>
      <w:r w:rsidR="00197515">
        <w:rPr>
          <w:rStyle w:val="Odwoanieprzypisudolnego"/>
          <w:rFonts w:ascii="Arial" w:eastAsia="Times New Roman" w:hAnsi="Arial" w:cs="Arial"/>
          <w:lang w:eastAsia="pl-PL"/>
        </w:rPr>
        <w:footnoteReference w:id="17"/>
      </w:r>
      <w:r w:rsidRPr="007E469E">
        <w:rPr>
          <w:rFonts w:ascii="Arial" w:eastAsia="Times New Roman" w:hAnsi="Arial" w:cs="Arial"/>
          <w:lang w:eastAsia="pl-PL"/>
        </w:rPr>
        <w:t xml:space="preserve">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na urządzenia sieciowe i osprzęt sieciowy pozwalający na przyłączenie do szerokopasmowego </w:t>
      </w:r>
      <w:proofErr w:type="spellStart"/>
      <w:r>
        <w:rPr>
          <w:color w:val="auto"/>
          <w:sz w:val="22"/>
          <w:szCs w:val="22"/>
        </w:rPr>
        <w:t>inte</w:t>
      </w:r>
      <w:r w:rsidR="002C6384">
        <w:rPr>
          <w:color w:val="auto"/>
          <w:sz w:val="22"/>
          <w:szCs w:val="22"/>
        </w:rPr>
        <w:t>r</w:t>
      </w:r>
      <w:r>
        <w:rPr>
          <w:color w:val="auto"/>
          <w:sz w:val="22"/>
          <w:szCs w:val="22"/>
        </w:rPr>
        <w:t>netu</w:t>
      </w:r>
      <w:proofErr w:type="spellEnd"/>
      <w:r>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w:t>
      </w:r>
      <w:proofErr w:type="spellStart"/>
      <w:r w:rsidRPr="00FC425B">
        <w:rPr>
          <w:color w:val="auto"/>
          <w:sz w:val="22"/>
          <w:szCs w:val="22"/>
        </w:rPr>
        <w:t>maintenance</w:t>
      </w:r>
      <w:proofErr w:type="spellEnd"/>
      <w:r w:rsidRPr="00FC425B">
        <w:rPr>
          <w:color w:val="auto"/>
          <w:sz w:val="22"/>
          <w:szCs w:val="22"/>
        </w:rPr>
        <w:t>) sprzętu do digitalizacji</w:t>
      </w:r>
      <w:r w:rsidR="008B6AB6">
        <w:rPr>
          <w:color w:val="auto"/>
          <w:sz w:val="22"/>
          <w:szCs w:val="22"/>
        </w:rPr>
        <w:t>,</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wydatki na dzierżawę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w:t>
      </w:r>
      <w:proofErr w:type="spellStart"/>
      <w:r w:rsidRPr="002D4A8A">
        <w:rPr>
          <w:rFonts w:ascii="Arial" w:hAnsi="Arial" w:cs="Arial"/>
        </w:rPr>
        <w:t>maintenance</w:t>
      </w:r>
      <w:proofErr w:type="spellEnd"/>
      <w:r w:rsidRPr="002D4A8A">
        <w:rPr>
          <w:rFonts w:ascii="Arial" w:hAnsi="Arial" w:cs="Arial"/>
        </w:rPr>
        <w:t>) oprogramowania,</w:t>
      </w:r>
    </w:p>
    <w:p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w:t>
      </w:r>
      <w:proofErr w:type="spellStart"/>
      <w:r w:rsidRPr="006854B8">
        <w:rPr>
          <w:color w:val="auto"/>
          <w:sz w:val="22"/>
          <w:szCs w:val="22"/>
        </w:rPr>
        <w:t>maintenance</w:t>
      </w:r>
      <w:proofErr w:type="spellEnd"/>
      <w:r w:rsidRPr="006854B8">
        <w:rPr>
          <w:color w:val="auto"/>
          <w:sz w:val="22"/>
          <w:szCs w:val="22"/>
        </w:rPr>
        <w:t>) sprzętu informatycznego (konserwacja),</w:t>
      </w:r>
    </w:p>
    <w:p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lastRenderedPageBreak/>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w:t>
      </w:r>
      <w:proofErr w:type="spellStart"/>
      <w:r w:rsidRPr="004E5E1A">
        <w:rPr>
          <w:color w:val="auto"/>
          <w:sz w:val="22"/>
          <w:szCs w:val="22"/>
        </w:rPr>
        <w:t>pzp</w:t>
      </w:r>
      <w:proofErr w:type="spellEnd"/>
      <w:r w:rsidRPr="004E5E1A">
        <w:rPr>
          <w:color w:val="auto"/>
          <w:sz w:val="22"/>
          <w:szCs w:val="22"/>
        </w:rPr>
        <w:t xml:space="preserve">, usługi kopiowania dokumentów na potrzeby kontroli czy usługi doradcze z zakresu zarządzania projektem </w:t>
      </w:r>
      <w:r>
        <w:rPr>
          <w:color w:val="auto"/>
          <w:sz w:val="22"/>
          <w:szCs w:val="22"/>
        </w:rPr>
        <w:t>itp.</w:t>
      </w:r>
    </w:p>
    <w:p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lastRenderedPageBreak/>
        <w:t xml:space="preserve">Roboty budowlane </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lastRenderedPageBreak/>
        <w:t>poniesione na podstawowe materiały informacyjne i promocyjne</w:t>
      </w:r>
      <w:r w:rsidR="008B6AB6">
        <w:rPr>
          <w:rStyle w:val="Odwoanieprzypisudolnego"/>
          <w:color w:val="auto"/>
          <w:sz w:val="22"/>
          <w:szCs w:val="22"/>
        </w:rPr>
        <w:footnoteReference w:id="18"/>
      </w:r>
      <w:r>
        <w:rPr>
          <w:color w:val="auto"/>
          <w:sz w:val="22"/>
          <w:szCs w:val="22"/>
        </w:rPr>
        <w:t xml:space="preserve">. </w:t>
      </w:r>
    </w:p>
    <w:p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r w:rsidR="000C6D89">
        <w:rPr>
          <w:sz w:val="22"/>
          <w:szCs w:val="22"/>
        </w:rPr>
        <w:t>,</w:t>
      </w:r>
    </w:p>
    <w:p w:rsidR="00EF19AE" w:rsidRDefault="00AB17BC" w:rsidP="00AC3F48">
      <w:pPr>
        <w:pStyle w:val="Default"/>
        <w:spacing w:line="360" w:lineRule="auto"/>
        <w:ind w:left="709"/>
        <w:jc w:val="both"/>
        <w:rPr>
          <w:color w:val="auto"/>
          <w:sz w:val="22"/>
          <w:szCs w:val="22"/>
        </w:rPr>
      </w:pPr>
      <w:r w:rsidRPr="003B4005">
        <w:rPr>
          <w:color w:val="auto"/>
          <w:sz w:val="22"/>
          <w:szCs w:val="22"/>
        </w:rPr>
        <w:lastRenderedPageBreak/>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r w:rsidR="005142B5" w:rsidRPr="005142B5">
        <w:rPr>
          <w:color w:val="auto"/>
          <w:sz w:val="22"/>
          <w:szCs w:val="22"/>
        </w:rPr>
        <w:t>W przypadku zmiany wysokości kosztów kwalifikowanych w projekcie należy ponownie przeliczyć limit określony dla kosztów pośrednich.</w:t>
      </w:r>
    </w:p>
    <w:p w:rsidR="00AB17BC" w:rsidRDefault="00EF19AE" w:rsidP="00AC3F48">
      <w:pPr>
        <w:pStyle w:val="Default"/>
        <w:spacing w:line="360" w:lineRule="auto"/>
        <w:ind w:left="709"/>
        <w:jc w:val="both"/>
        <w:rPr>
          <w:color w:val="auto"/>
          <w:sz w:val="22"/>
          <w:szCs w:val="22"/>
        </w:rPr>
      </w:pPr>
      <w:r>
        <w:rPr>
          <w:color w:val="auto"/>
          <w:sz w:val="22"/>
          <w:szCs w:val="22"/>
        </w:rPr>
        <w:t xml:space="preserve">Dla projektów wybranych do dofinansowania w ramach naboru dla działania 2.1 </w:t>
      </w:r>
      <w:r w:rsidRPr="00EF19AE">
        <w:rPr>
          <w:color w:val="auto"/>
          <w:sz w:val="22"/>
          <w:szCs w:val="22"/>
        </w:rPr>
        <w:t>nr POPC.02.01.00-IP.01-00-001/15</w:t>
      </w:r>
      <w:r w:rsidR="00186EAB">
        <w:rPr>
          <w:color w:val="auto"/>
          <w:sz w:val="22"/>
          <w:szCs w:val="22"/>
        </w:rPr>
        <w:t>,</w:t>
      </w:r>
      <w:r w:rsidR="004C2887">
        <w:rPr>
          <w:color w:val="auto"/>
          <w:sz w:val="22"/>
          <w:szCs w:val="22"/>
        </w:rPr>
        <w:t xml:space="preserve"> </w:t>
      </w:r>
      <w:r>
        <w:rPr>
          <w:color w:val="auto"/>
          <w:sz w:val="22"/>
          <w:szCs w:val="22"/>
        </w:rPr>
        <w:t xml:space="preserve">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rsidR="00E14E6F" w:rsidRDefault="00E14E6F" w:rsidP="00AC3F48">
      <w:pPr>
        <w:pStyle w:val="Default"/>
        <w:spacing w:line="360" w:lineRule="auto"/>
        <w:ind w:left="709"/>
        <w:jc w:val="both"/>
        <w:rPr>
          <w:color w:val="auto"/>
          <w:sz w:val="22"/>
          <w:szCs w:val="22"/>
        </w:rPr>
      </w:pPr>
      <w:r>
        <w:rPr>
          <w:color w:val="auto"/>
          <w:sz w:val="22"/>
          <w:szCs w:val="22"/>
        </w:rPr>
        <w:t xml:space="preserve">Koszty pośrednie w projektach pozakonkursowych </w:t>
      </w:r>
      <w:r w:rsidRPr="00E14E6F">
        <w:rPr>
          <w:color w:val="auto"/>
          <w:sz w:val="22"/>
          <w:szCs w:val="22"/>
        </w:rPr>
        <w:t>są kwalifikowalne w wysokości nie przekraczającej 1</w:t>
      </w:r>
      <w:r>
        <w:rPr>
          <w:color w:val="auto"/>
          <w:sz w:val="22"/>
          <w:szCs w:val="22"/>
        </w:rPr>
        <w:t>5</w:t>
      </w:r>
      <w:r w:rsidRPr="00E14E6F">
        <w:rPr>
          <w:color w:val="auto"/>
          <w:sz w:val="22"/>
          <w:szCs w:val="22"/>
        </w:rPr>
        <w:t>% całkowitych wydatków kwalifikowalnych projektu.</w:t>
      </w:r>
    </w:p>
    <w:p w:rsidR="00E14E6F" w:rsidRDefault="00E14E6F" w:rsidP="00AC3F48">
      <w:pPr>
        <w:pStyle w:val="Default"/>
        <w:spacing w:line="360" w:lineRule="auto"/>
        <w:ind w:left="709"/>
        <w:jc w:val="both"/>
        <w:rPr>
          <w:color w:val="auto"/>
          <w:sz w:val="22"/>
          <w:szCs w:val="22"/>
        </w:rPr>
      </w:pP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Sytuacja, w której beneficjent jako wkład własny wnosi do projektu wkład niepieniężny, który w ciągu 7 poprzednich lat (dla nieruchomości 10 lat) był współfinansowany ze środków unijnych lub dotacji z krajowych środków publicznych, stanowi podwójne finansowanie i jest niedozwolona.</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w:t>
      </w:r>
      <w:proofErr w:type="spellStart"/>
      <w:r w:rsidR="005C46A3" w:rsidRPr="005C46A3">
        <w:rPr>
          <w:color w:val="auto"/>
          <w:sz w:val="22"/>
          <w:szCs w:val="22"/>
        </w:rPr>
        <w:t>niekwalifikowalnością</w:t>
      </w:r>
      <w:proofErr w:type="spellEnd"/>
      <w:r w:rsidR="005C46A3" w:rsidRPr="005C46A3">
        <w:rPr>
          <w:color w:val="auto"/>
          <w:sz w:val="22"/>
          <w:szCs w:val="22"/>
        </w:rPr>
        <w:t xml:space="preserve"> </w:t>
      </w:r>
      <w:r w:rsidR="005C46A3" w:rsidRPr="005C46A3">
        <w:rPr>
          <w:color w:val="auto"/>
          <w:sz w:val="22"/>
          <w:szCs w:val="22"/>
        </w:rPr>
        <w:lastRenderedPageBreak/>
        <w:t xml:space="preserve">przeznaczonych na nią wydatków. </w:t>
      </w:r>
      <w:r w:rsidRPr="007E469E">
        <w:rPr>
          <w:color w:val="auto"/>
          <w:sz w:val="22"/>
          <w:szCs w:val="22"/>
        </w:rPr>
        <w:t>Rezerwa ta może być wykorzystana na działania wynikające z powyższej analizy ryzyka, a w szczególności na:</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3" w:name="_Toc429043907"/>
      <w:bookmarkStart w:id="84" w:name="_Toc500323006"/>
      <w:bookmarkEnd w:id="83"/>
      <w:r w:rsidRPr="008D3EC8">
        <w:rPr>
          <w:rFonts w:ascii="Arial" w:hAnsi="Arial" w:cs="Arial"/>
          <w:b w:val="0"/>
          <w:i/>
          <w:color w:val="auto"/>
          <w:sz w:val="24"/>
          <w:szCs w:val="24"/>
        </w:rPr>
        <w:t>Dodatkowe wydatki kwalifikowalne w ramach działania 2.2</w:t>
      </w:r>
      <w:bookmarkEnd w:id="84"/>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lastRenderedPageBreak/>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5" w:name="_Toc500323007"/>
      <w:r w:rsidRPr="008D3EC8">
        <w:rPr>
          <w:rFonts w:ascii="Arial" w:hAnsi="Arial" w:cs="Arial"/>
          <w:b w:val="0"/>
          <w:i/>
          <w:color w:val="auto"/>
          <w:sz w:val="24"/>
          <w:szCs w:val="24"/>
        </w:rPr>
        <w:t>Dodatkowe wydatki kwalifikowalne w ramach działania 2.3</w:t>
      </w:r>
      <w:bookmarkEnd w:id="85"/>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proofErr w:type="spellStart"/>
      <w:r w:rsidR="00E035C0">
        <w:rPr>
          <w:rFonts w:ascii="Arial" w:eastAsia="Calibri" w:hAnsi="Arial" w:cs="Arial"/>
        </w:rPr>
        <w:t>odwzorowań</w:t>
      </w:r>
      <w:proofErr w:type="spellEnd"/>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t>
      </w:r>
      <w:r w:rsidRPr="009D445F">
        <w:rPr>
          <w:rFonts w:ascii="Arial" w:eastAsia="Calibri" w:hAnsi="Arial" w:cs="Arial"/>
        </w:rPr>
        <w:lastRenderedPageBreak/>
        <w:t>w tym: stabilizacja podłoża, dostosowanie kolorystyki, oświetlenia, warunki klimatyczne; ko</w:t>
      </w:r>
      <w:r w:rsidR="003B1241" w:rsidRPr="009D445F">
        <w:rPr>
          <w:rFonts w:ascii="Arial" w:eastAsia="Calibri" w:hAnsi="Arial" w:cs="Arial"/>
        </w:rPr>
        <w:t>ntrola dostępu, przyłącza itp.)</w:t>
      </w:r>
    </w:p>
    <w:p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rsidR="005F0269" w:rsidRPr="007E469E" w:rsidRDefault="005F0269" w:rsidP="00707EC4">
      <w:pPr>
        <w:pStyle w:val="Default"/>
        <w:spacing w:before="120" w:after="120" w:line="360" w:lineRule="auto"/>
        <w:ind w:left="720"/>
        <w:jc w:val="both"/>
        <w:rPr>
          <w:color w:val="auto"/>
          <w:sz w:val="22"/>
          <w:szCs w:val="22"/>
        </w:rPr>
      </w:pPr>
    </w:p>
    <w:p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6" w:name="_Toc500323008"/>
      <w:r w:rsidRPr="007E469E">
        <w:rPr>
          <w:rFonts w:ascii="Arial" w:hAnsi="Arial" w:cs="Arial"/>
          <w:i/>
          <w:color w:val="auto"/>
          <w:sz w:val="24"/>
          <w:szCs w:val="24"/>
        </w:rPr>
        <w:t>C</w:t>
      </w:r>
      <w:r w:rsidR="00903FFD" w:rsidRPr="007E469E">
        <w:rPr>
          <w:rFonts w:ascii="Arial" w:hAnsi="Arial" w:cs="Arial"/>
          <w:i/>
          <w:color w:val="auto"/>
          <w:sz w:val="24"/>
          <w:szCs w:val="24"/>
        </w:rPr>
        <w:t>ross-</w:t>
      </w:r>
      <w:proofErr w:type="spellStart"/>
      <w:r w:rsidR="00903FFD" w:rsidRPr="007E469E">
        <w:rPr>
          <w:rFonts w:ascii="Arial" w:hAnsi="Arial" w:cs="Arial"/>
          <w:i/>
          <w:color w:val="auto"/>
          <w:sz w:val="24"/>
          <w:szCs w:val="24"/>
        </w:rPr>
        <w:t>financing</w:t>
      </w:r>
      <w:bookmarkEnd w:id="86"/>
      <w:proofErr w:type="spellEnd"/>
    </w:p>
    <w:p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Zasady i warunki finansowania wydatków w ramach cross-</w:t>
      </w:r>
      <w:proofErr w:type="spellStart"/>
      <w:r w:rsidRPr="00285F07">
        <w:rPr>
          <w:rFonts w:ascii="Arial" w:eastAsia="MS Mincho" w:hAnsi="Arial" w:cs="Arial"/>
          <w:lang w:eastAsia="ja-JP"/>
        </w:rPr>
        <w:t>financingu</w:t>
      </w:r>
      <w:proofErr w:type="spellEnd"/>
      <w:r w:rsidRPr="00285F07">
        <w:rPr>
          <w:rFonts w:ascii="Arial" w:eastAsia="MS Mincho" w:hAnsi="Arial" w:cs="Arial"/>
          <w:lang w:eastAsia="ja-JP"/>
        </w:rPr>
        <w:t xml:space="preserve">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może dotyczyć wyłącznie takich kategorii wydatków, których poniesienie wynika z potrzeby realizacji danej operacji w rozumieniu art. 2 pkt 9 rozporządzenia ogólnego i stanowi logiczne uzupełnienie zadań inwestycyjnych.</w:t>
      </w:r>
    </w:p>
    <w:p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Limit wydatków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na poziomie projektu został określony w SZOOP POPC, zgodnie z którym wartość wydatków planowanych we wniosku o dofinansowanie projektu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co do zasady nie może stanowić więcej niż 10% wszystkich wydatków kwalifikowalnych projektu. W indywidualnych, szczególnie uzasadnionych przypadkach, IP POPC może wyrazić zgodę na zwiększenie limitu dotyczącego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w ramach wydatków kwalifikowalnych na poziomie projektu, pod warunkiem, że taka możliwość została przewidziana w SZOOP POPC.</w:t>
      </w:r>
    </w:p>
    <w:p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W przypadku przekroczenia ustalonego dla danego projektu przez IP POPC limitu wydatków ponoszonych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wydatki przekraczające limit uznaje się za niekwalifikowalne na etapie końcowego rozliczenia projektu.</w:t>
      </w:r>
    </w:p>
    <w:p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lastRenderedPageBreak/>
        <w:t>wynajem sali wraz z niezbędnym do przeprowadzenia szkolenia sprzętem multimedialnym,</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rsidR="00E06C27" w:rsidRPr="007E469E" w:rsidRDefault="00E06C27" w:rsidP="00285F07">
      <w:pPr>
        <w:pStyle w:val="Akapitzlist"/>
        <w:spacing w:after="0" w:line="360" w:lineRule="auto"/>
        <w:jc w:val="both"/>
        <w:rPr>
          <w:rFonts w:ascii="Arial" w:hAnsi="Arial" w:cs="Arial"/>
        </w:rPr>
      </w:pPr>
    </w:p>
    <w:p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7" w:name="_Toc500323009"/>
      <w:r w:rsidRPr="007E469E">
        <w:rPr>
          <w:rFonts w:ascii="Arial" w:hAnsi="Arial" w:cs="Arial"/>
          <w:i/>
          <w:color w:val="auto"/>
          <w:sz w:val="24"/>
          <w:szCs w:val="24"/>
        </w:rPr>
        <w:t>Wykaz wydatków niekwalifikowalnych w ramach II osi priorytetowej</w:t>
      </w:r>
      <w:bookmarkEnd w:id="87"/>
      <w:r w:rsidRPr="007E469E">
        <w:rPr>
          <w:rFonts w:ascii="Arial" w:hAnsi="Arial" w:cs="Arial"/>
          <w:i/>
          <w:color w:val="auto"/>
          <w:sz w:val="24"/>
          <w:szCs w:val="24"/>
        </w:rPr>
        <w:t xml:space="preserve"> </w:t>
      </w:r>
    </w:p>
    <w:p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BB27C9">
        <w:rPr>
          <w:rFonts w:ascii="Arial" w:eastAsia="MS Mincho" w:hAnsi="Arial" w:cs="Arial"/>
          <w:lang w:eastAsia="ja-JP"/>
        </w:rPr>
        <w:t xml:space="preserve"> i 2.4</w:t>
      </w:r>
      <w:r w:rsidR="00E241C6">
        <w:rPr>
          <w:rFonts w:ascii="Arial" w:eastAsia="MS Mincho" w:hAnsi="Arial" w:cs="Arial"/>
          <w:lang w:eastAsia="ja-JP"/>
        </w:rPr>
        <w:t xml:space="preserve">. </w:t>
      </w:r>
    </w:p>
    <w:p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lastRenderedPageBreak/>
        <w:t xml:space="preserve">wydatki na rzecz wykupu praw autorskich do </w:t>
      </w:r>
      <w:proofErr w:type="spellStart"/>
      <w:r w:rsidRPr="00285F07">
        <w:rPr>
          <w:rFonts w:ascii="Arial" w:eastAsia="Calibri" w:hAnsi="Arial" w:cs="Arial"/>
        </w:rPr>
        <w:t>digitalizowanych</w:t>
      </w:r>
      <w:proofErr w:type="spellEnd"/>
      <w:r w:rsidRPr="00285F07">
        <w:rPr>
          <w:rFonts w:ascii="Arial" w:eastAsia="Calibri" w:hAnsi="Arial" w:cs="Arial"/>
        </w:rPr>
        <w:t>/udostępnianych zasobów.</w:t>
      </w:r>
    </w:p>
    <w:p w:rsidR="006854B8" w:rsidRPr="006854B8" w:rsidRDefault="00BB27C9" w:rsidP="00285F07">
      <w:pPr>
        <w:pStyle w:val="Akapitzlist"/>
        <w:numPr>
          <w:ilvl w:val="0"/>
          <w:numId w:val="25"/>
        </w:numPr>
        <w:spacing w:before="120" w:after="120" w:line="360" w:lineRule="auto"/>
        <w:jc w:val="both"/>
        <w:rPr>
          <w:rFonts w:ascii="Arial" w:eastAsia="MS Mincho" w:hAnsi="Arial" w:cs="Arial"/>
          <w:lang w:eastAsia="ja-JP"/>
        </w:rPr>
      </w:pPr>
      <w:r>
        <w:rPr>
          <w:rFonts w:ascii="Arial" w:eastAsia="MS Mincho" w:hAnsi="Arial" w:cs="Arial"/>
          <w:lang w:eastAsia="ja-JP"/>
        </w:rPr>
        <w:t>W przypadku działania 2.4</w:t>
      </w:r>
      <w:r w:rsidR="006854B8" w:rsidRPr="006854B8">
        <w:rPr>
          <w:rFonts w:ascii="Arial" w:eastAsia="MS Mincho" w:hAnsi="Arial" w:cs="Arial"/>
          <w:lang w:eastAsia="ja-JP"/>
        </w:rPr>
        <w:t>:</w:t>
      </w:r>
    </w:p>
    <w:p w:rsidR="006854B8"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zakupu nieruchomości/gruntu,</w:t>
      </w:r>
    </w:p>
    <w:p w:rsidR="00AE7230"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robót budowlanych</w:t>
      </w:r>
      <w:r w:rsidR="00AE7230" w:rsidRPr="00285F07">
        <w:rPr>
          <w:rFonts w:ascii="Arial" w:eastAsia="Calibri" w:hAnsi="Arial" w:cs="Arial"/>
        </w:rPr>
        <w:t>,</w:t>
      </w:r>
    </w:p>
    <w:p w:rsidR="00944E2A" w:rsidRPr="00285F07" w:rsidRDefault="00707EC4"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w ramach podkategorii sprzęt do digitalizacji. </w:t>
      </w:r>
      <w:r w:rsidR="006854B8" w:rsidRPr="00285F07">
        <w:rPr>
          <w:rFonts w:ascii="Arial" w:eastAsia="Calibri" w:hAnsi="Arial" w:cs="Arial"/>
        </w:rPr>
        <w:t xml:space="preserve"> </w:t>
      </w:r>
    </w:p>
    <w:p w:rsidR="00944E2A" w:rsidRDefault="00944E2A">
      <w:pPr>
        <w:rPr>
          <w:rFonts w:ascii="Arial" w:hAnsi="Arial" w:cs="Arial"/>
        </w:rPr>
      </w:pPr>
      <w:r>
        <w:rPr>
          <w:rFonts w:ascii="Arial" w:hAnsi="Arial" w:cs="Arial"/>
        </w:rPr>
        <w:br w:type="page"/>
      </w:r>
    </w:p>
    <w:p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88" w:name="_Toc500323010"/>
      <w:r w:rsidRPr="00B81671">
        <w:rPr>
          <w:rFonts w:ascii="Arial" w:eastAsia="Times New Roman" w:hAnsi="Arial" w:cs="Times New Roman"/>
          <w:b/>
          <w:bCs/>
          <w:sz w:val="24"/>
          <w:szCs w:val="20"/>
          <w:lang w:eastAsia="pl-PL"/>
        </w:rPr>
        <w:lastRenderedPageBreak/>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w:t>
      </w:r>
      <w:proofErr w:type="spellStart"/>
      <w:r w:rsidR="00CA606B">
        <w:rPr>
          <w:rFonts w:ascii="Arial" w:eastAsia="Times New Roman" w:hAnsi="Arial" w:cs="Times New Roman"/>
          <w:b/>
          <w:bCs/>
          <w:sz w:val="24"/>
          <w:szCs w:val="20"/>
          <w:lang w:eastAsia="pl-PL"/>
        </w:rPr>
        <w:t>Pzp</w:t>
      </w:r>
      <w:bookmarkEnd w:id="88"/>
      <w:proofErr w:type="spellEnd"/>
    </w:p>
    <w:p w:rsidR="005530C1" w:rsidRPr="00B81671" w:rsidRDefault="005530C1" w:rsidP="005530C1">
      <w:pPr>
        <w:spacing w:after="0" w:line="360" w:lineRule="auto"/>
        <w:ind w:left="426"/>
        <w:jc w:val="both"/>
        <w:rPr>
          <w:rFonts w:ascii="Arial" w:eastAsia="Times New Roman" w:hAnsi="Arial" w:cs="Arial"/>
          <w:lang w:eastAsia="pl-PL"/>
        </w:rPr>
      </w:pP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Uwzględnianie przez zamawiającego jedynie doświadczenia zdobytego po uzyskaniu przez wykonawcę stosownych polskich uprawnień budowlanych lub posiadania doświadczenia zdobytego w Polsce.</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 xml:space="preserve">lub jakimkolwiek innym podmiotem/jakąkolwiek inną osobą sposobu poprawienia omyłek, które pojawiły się w ofercie, a o których mowa w przepisie art.  87 ust. 2 ustawy </w:t>
      </w:r>
      <w:proofErr w:type="spellStart"/>
      <w:r w:rsidRPr="00B81671">
        <w:rPr>
          <w:rFonts w:ascii="Arial" w:eastAsia="Calibri" w:hAnsi="Arial" w:cs="Times New Roman"/>
          <w:szCs w:val="20"/>
        </w:rPr>
        <w:t>Pzp</w:t>
      </w:r>
      <w:proofErr w:type="spellEnd"/>
      <w:r w:rsidRPr="00B81671">
        <w:rPr>
          <w:rFonts w:ascii="Arial" w:eastAsia="Calibri" w:hAnsi="Arial" w:cs="Times New Roman"/>
          <w:szCs w:val="20"/>
        </w:rPr>
        <w:t>.</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AA41C9" w:rsidRPr="00B81671" w:rsidRDefault="00AA41C9" w:rsidP="001B27A2">
      <w:pPr>
        <w:spacing w:after="0" w:line="360" w:lineRule="auto"/>
        <w:jc w:val="both"/>
        <w:rPr>
          <w:rFonts w:ascii="Arial" w:eastAsia="Calibri" w:hAnsi="Arial" w:cs="Times New Roman"/>
          <w:szCs w:val="20"/>
        </w:rPr>
      </w:pPr>
    </w:p>
    <w:p w:rsidR="00AA41C9" w:rsidRPr="00B81671" w:rsidRDefault="00AA41C9" w:rsidP="001B27A2">
      <w:pPr>
        <w:spacing w:after="0" w:line="360" w:lineRule="auto"/>
        <w:jc w:val="both"/>
      </w:pPr>
    </w:p>
    <w:p w:rsidR="007E0407" w:rsidRPr="00B81671" w:rsidRDefault="007E0407">
      <w:r w:rsidRPr="00B81671">
        <w:br w:type="page"/>
      </w:r>
    </w:p>
    <w:p w:rsidR="007E0407" w:rsidRPr="00B81671" w:rsidRDefault="007E0407" w:rsidP="007E0407">
      <w:pPr>
        <w:spacing w:after="0" w:line="360" w:lineRule="auto"/>
        <w:ind w:left="426"/>
        <w:jc w:val="both"/>
        <w:sectPr w:rsidR="007E0407" w:rsidRPr="00B81671" w:rsidSect="00FF40FA">
          <w:footerReference w:type="default" r:id="rId11"/>
          <w:pgSz w:w="11906" w:h="16838"/>
          <w:pgMar w:top="1417" w:right="1417" w:bottom="1417" w:left="1417" w:header="708" w:footer="708" w:gutter="0"/>
          <w:cols w:space="708"/>
          <w:titlePg/>
          <w:docGrid w:linePitch="360"/>
        </w:sectPr>
      </w:pPr>
    </w:p>
    <w:p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89" w:name="_Toc500323011"/>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89"/>
    </w:p>
    <w:p w:rsidR="0065055F" w:rsidRPr="00B81671" w:rsidRDefault="0065055F" w:rsidP="0065055F">
      <w:pPr>
        <w:spacing w:before="120" w:after="120" w:line="360" w:lineRule="auto"/>
        <w:jc w:val="both"/>
        <w:rPr>
          <w:rFonts w:ascii="Arial" w:eastAsia="MS Mincho" w:hAnsi="Arial" w:cs="Arial"/>
          <w:lang w:eastAsia="ja-JP"/>
        </w:rPr>
      </w:pPr>
    </w:p>
    <w:p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rsidTr="00773FC4">
        <w:tc>
          <w:tcPr>
            <w:tcW w:w="2835" w:type="dxa"/>
            <w:vMerge w:val="restart"/>
            <w:vAlign w:val="center"/>
          </w:tcPr>
          <w:p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rsidTr="00773FC4">
        <w:tc>
          <w:tcPr>
            <w:tcW w:w="2835" w:type="dxa"/>
            <w:vMerge/>
            <w:vAlign w:val="center"/>
          </w:tcPr>
          <w:p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rsidR="0065055F" w:rsidRPr="00B81671" w:rsidRDefault="0065055F" w:rsidP="00773FC4">
            <w:pPr>
              <w:jc w:val="center"/>
              <w:rPr>
                <w:rFonts w:ascii="Arial" w:hAnsi="Arial" w:cs="Arial"/>
                <w:b/>
              </w:rPr>
            </w:pPr>
            <w:r w:rsidRPr="00B81671">
              <w:rPr>
                <w:rFonts w:ascii="Arial" w:hAnsi="Arial" w:cs="Arial"/>
                <w:b/>
              </w:rPr>
              <w:t xml:space="preserve">Zamawiający zobligowani do stosowania </w:t>
            </w:r>
            <w:proofErr w:type="spellStart"/>
            <w:r w:rsidRPr="00B81671">
              <w:rPr>
                <w:rFonts w:ascii="Arial" w:hAnsi="Arial" w:cs="Arial"/>
                <w:b/>
              </w:rPr>
              <w:t>Pzp</w:t>
            </w:r>
            <w:proofErr w:type="spellEnd"/>
            <w:r w:rsidRPr="00B81671">
              <w:rPr>
                <w:rFonts w:ascii="Arial" w:hAnsi="Arial" w:cs="Arial"/>
                <w:b/>
              </w:rPr>
              <w:t xml:space="preserve"> (zgodnie z art. 3 </w:t>
            </w:r>
            <w:proofErr w:type="spellStart"/>
            <w:r w:rsidRPr="00B81671">
              <w:rPr>
                <w:rFonts w:ascii="Arial" w:hAnsi="Arial" w:cs="Arial"/>
                <w:b/>
              </w:rPr>
              <w:t>Pzp</w:t>
            </w:r>
            <w:proofErr w:type="spellEnd"/>
            <w:r w:rsidRPr="00B81671">
              <w:rPr>
                <w:rFonts w:ascii="Arial" w:hAnsi="Arial" w:cs="Arial"/>
                <w:b/>
              </w:rPr>
              <w:t>)</w:t>
            </w:r>
          </w:p>
        </w:tc>
        <w:tc>
          <w:tcPr>
            <w:tcW w:w="3827" w:type="dxa"/>
            <w:vAlign w:val="center"/>
          </w:tcPr>
          <w:p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rsidR="0065055F" w:rsidRPr="00B81671" w:rsidRDefault="0065055F" w:rsidP="00FE6D5B">
            <w:pPr>
              <w:jc w:val="center"/>
              <w:rPr>
                <w:rFonts w:ascii="Arial" w:hAnsi="Arial" w:cs="Arial"/>
                <w:b/>
              </w:rPr>
            </w:pPr>
            <w:r w:rsidRPr="00B81671">
              <w:rPr>
                <w:rFonts w:ascii="Arial" w:hAnsi="Arial" w:cs="Arial"/>
                <w:b/>
              </w:rPr>
              <w:t xml:space="preserve">Zamawiający niezobowiązani do stosowania </w:t>
            </w:r>
            <w:proofErr w:type="spellStart"/>
            <w:r w:rsidRPr="00B81671">
              <w:rPr>
                <w:rFonts w:ascii="Arial" w:hAnsi="Arial" w:cs="Arial"/>
                <w:b/>
              </w:rPr>
              <w:t>Pzp</w:t>
            </w:r>
            <w:proofErr w:type="spellEnd"/>
            <w:r w:rsidRPr="00B81671">
              <w:rPr>
                <w:rFonts w:ascii="Arial" w:hAnsi="Arial" w:cs="Arial"/>
                <w:b/>
              </w:rPr>
              <w:t xml:space="preserve">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rsidTr="00773FC4">
        <w:trPr>
          <w:trHeight w:val="383"/>
        </w:trPr>
        <w:tc>
          <w:tcPr>
            <w:tcW w:w="2835"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rsidTr="00773FC4">
        <w:trPr>
          <w:trHeight w:val="1536"/>
        </w:trPr>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w:t>
            </w:r>
            <w:proofErr w:type="spellStart"/>
            <w:r w:rsidRPr="00B81671">
              <w:rPr>
                <w:rFonts w:ascii="Arial" w:hAnsi="Arial" w:cs="Arial"/>
                <w:b/>
                <w:sz w:val="20"/>
                <w:szCs w:val="20"/>
              </w:rPr>
              <w:t>Pzp</w:t>
            </w:r>
            <w:proofErr w:type="spellEnd"/>
            <w:r w:rsidRPr="00B81671">
              <w:rPr>
                <w:rFonts w:ascii="Arial" w:hAnsi="Arial" w:cs="Arial"/>
                <w:b/>
                <w:sz w:val="20"/>
                <w:szCs w:val="20"/>
              </w:rPr>
              <w:t xml:space="preserve"> tj. 30 ty</w:t>
            </w:r>
            <w:r w:rsidR="00DC366C">
              <w:rPr>
                <w:rFonts w:ascii="Arial" w:hAnsi="Arial" w:cs="Arial"/>
                <w:b/>
                <w:sz w:val="20"/>
                <w:szCs w:val="20"/>
              </w:rPr>
              <w:t>s.</w:t>
            </w:r>
            <w:r w:rsidRPr="00B81671">
              <w:rPr>
                <w:rFonts w:ascii="Arial" w:hAnsi="Arial" w:cs="Arial"/>
                <w:b/>
                <w:sz w:val="20"/>
                <w:szCs w:val="20"/>
              </w:rPr>
              <w:t xml:space="preserve"> euro netto</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rsidR="0065055F" w:rsidRPr="00B81671" w:rsidRDefault="0065055F" w:rsidP="00773FC4">
            <w:pPr>
              <w:rPr>
                <w:rFonts w:ascii="Arial" w:hAnsi="Arial" w:cs="Arial"/>
                <w:b/>
                <w:sz w:val="20"/>
                <w:szCs w:val="20"/>
              </w:rPr>
            </w:pPr>
          </w:p>
          <w:p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rsidR="0065055F" w:rsidRPr="00B81671" w:rsidRDefault="0065055F" w:rsidP="00773FC4">
            <w:pPr>
              <w:rPr>
                <w:rFonts w:ascii="Arial" w:hAnsi="Arial" w:cs="Arial"/>
                <w:b/>
                <w:sz w:val="20"/>
                <w:szCs w:val="20"/>
              </w:rPr>
            </w:pPr>
          </w:p>
          <w:p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773FC4">
            <w:pPr>
              <w:spacing w:before="120" w:after="120" w:line="360" w:lineRule="auto"/>
              <w:rPr>
                <w:rFonts w:ascii="Arial" w:eastAsia="MS Mincho" w:hAnsi="Arial" w:cs="Arial"/>
                <w:i/>
                <w:lang w:eastAsia="ja-JP"/>
              </w:rPr>
            </w:pPr>
            <w:proofErr w:type="spellStart"/>
            <w:r w:rsidRPr="00B81671">
              <w:rPr>
                <w:rFonts w:ascii="Arial" w:hAnsi="Arial" w:cs="Arial"/>
                <w:b/>
                <w:sz w:val="20"/>
                <w:szCs w:val="20"/>
              </w:rPr>
              <w:t>Pzp</w:t>
            </w:r>
            <w:proofErr w:type="spellEnd"/>
          </w:p>
        </w:tc>
        <w:tc>
          <w:tcPr>
            <w:tcW w:w="3827" w:type="dxa"/>
          </w:tcPr>
          <w:p w:rsidR="0065055F" w:rsidRPr="00B81671" w:rsidRDefault="0065055F" w:rsidP="00773FC4">
            <w:pPr>
              <w:rPr>
                <w:rFonts w:ascii="Arial" w:hAnsi="Arial" w:cs="Arial"/>
                <w:b/>
                <w:sz w:val="20"/>
                <w:szCs w:val="20"/>
              </w:rPr>
            </w:pPr>
          </w:p>
          <w:p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rsidR="0065055F" w:rsidRPr="00B81671" w:rsidRDefault="0065055F" w:rsidP="00773FC4">
            <w:pPr>
              <w:rPr>
                <w:rFonts w:ascii="Arial" w:hAnsi="Arial" w:cs="Arial"/>
                <w:b/>
                <w:sz w:val="20"/>
                <w:szCs w:val="20"/>
              </w:rPr>
            </w:pPr>
          </w:p>
          <w:p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rsidR="007E0407" w:rsidRPr="007E469E" w:rsidRDefault="007E0407" w:rsidP="007E0407">
      <w:pPr>
        <w:spacing w:after="0" w:line="240" w:lineRule="auto"/>
      </w:pPr>
    </w:p>
    <w:p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2E" w:rsidRDefault="00E2182E" w:rsidP="00045401">
      <w:pPr>
        <w:spacing w:after="0" w:line="240" w:lineRule="auto"/>
      </w:pPr>
      <w:r>
        <w:separator/>
      </w:r>
    </w:p>
  </w:endnote>
  <w:endnote w:type="continuationSeparator" w:id="0">
    <w:p w:rsidR="00E2182E" w:rsidRDefault="00E2182E"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9629"/>
      <w:docPartObj>
        <w:docPartGallery w:val="Page Numbers (Bottom of Page)"/>
        <w:docPartUnique/>
      </w:docPartObj>
    </w:sdtPr>
    <w:sdtEndPr/>
    <w:sdtContent>
      <w:p w:rsidR="00E06E3A" w:rsidRDefault="00E06E3A">
        <w:pPr>
          <w:pStyle w:val="Stopka"/>
          <w:jc w:val="right"/>
        </w:pPr>
        <w:r>
          <w:fldChar w:fldCharType="begin"/>
        </w:r>
        <w:r>
          <w:instrText>PAGE   \* MERGEFORMAT</w:instrText>
        </w:r>
        <w:r>
          <w:fldChar w:fldCharType="separate"/>
        </w:r>
        <w:r w:rsidR="005D1673">
          <w:rPr>
            <w:noProof/>
          </w:rPr>
          <w:t>2</w:t>
        </w:r>
        <w:r>
          <w:fldChar w:fldCharType="end"/>
        </w:r>
      </w:p>
    </w:sdtContent>
  </w:sdt>
  <w:p w:rsidR="00E06E3A" w:rsidRDefault="00E06E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2E" w:rsidRDefault="00E2182E" w:rsidP="00045401">
      <w:pPr>
        <w:spacing w:after="0" w:line="240" w:lineRule="auto"/>
      </w:pPr>
      <w:r>
        <w:separator/>
      </w:r>
    </w:p>
  </w:footnote>
  <w:footnote w:type="continuationSeparator" w:id="0">
    <w:p w:rsidR="00E2182E" w:rsidRDefault="00E2182E" w:rsidP="00045401">
      <w:pPr>
        <w:spacing w:after="0" w:line="240" w:lineRule="auto"/>
      </w:pPr>
      <w:r>
        <w:continuationSeparator/>
      </w:r>
    </w:p>
  </w:footnote>
  <w:footnote w:id="1">
    <w:p w:rsidR="00E06E3A" w:rsidRPr="00395C47" w:rsidRDefault="00E06E3A"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rsidR="00E06E3A" w:rsidRPr="000E3E65" w:rsidRDefault="00E06E3A"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rsidR="00E06E3A" w:rsidRPr="00C55C98" w:rsidRDefault="00E06E3A"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rsidR="00E06E3A" w:rsidRPr="00C55C98" w:rsidRDefault="00E06E3A"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rsidR="00E06E3A" w:rsidRPr="00C55C98" w:rsidRDefault="00E06E3A"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rsidR="00E06E3A" w:rsidRPr="00250FF7" w:rsidRDefault="00E06E3A"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rsidR="00E06E3A" w:rsidRPr="00D61F73" w:rsidRDefault="00E06E3A">
      <w:pPr>
        <w:pStyle w:val="Tekstprzypisudolnego"/>
        <w:rPr>
          <w:rFonts w:ascii="Arial" w:hAnsi="Arial" w:cs="Arial"/>
          <w:sz w:val="16"/>
          <w:szCs w:val="16"/>
        </w:rPr>
      </w:pPr>
      <w:r>
        <w:rPr>
          <w:rStyle w:val="Odwoanieprzypisudolnego"/>
        </w:rPr>
        <w:footnoteRef/>
      </w:r>
      <w:r>
        <w:t xml:space="preserve"> </w:t>
      </w:r>
      <w:r w:rsidRPr="00D61F73">
        <w:rPr>
          <w:rFonts w:ascii="Arial" w:hAnsi="Arial" w:cs="Arial"/>
          <w:sz w:val="16"/>
          <w:szCs w:val="16"/>
        </w:rPr>
        <w:t xml:space="preserve">Nie dotyczy osób będących personelem projektu w rozumieniu </w:t>
      </w:r>
      <w:r>
        <w:rPr>
          <w:rFonts w:ascii="Arial" w:hAnsi="Arial" w:cs="Arial"/>
          <w:sz w:val="16"/>
          <w:szCs w:val="16"/>
          <w:lang w:val="pl-PL"/>
        </w:rPr>
        <w:t>pkt 20.</w:t>
      </w:r>
    </w:p>
  </w:footnote>
  <w:footnote w:id="8">
    <w:p w:rsidR="00E06E3A" w:rsidRPr="006E7156" w:rsidRDefault="00E06E3A"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9">
    <w:p w:rsidR="00E06E3A" w:rsidRPr="006E7156" w:rsidRDefault="00E06E3A"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10">
    <w:p w:rsidR="00E06E3A" w:rsidRPr="003217B9" w:rsidRDefault="00E06E3A"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w:t>
      </w:r>
      <w:proofErr w:type="spellStart"/>
      <w:r>
        <w:rPr>
          <w:rFonts w:ascii="Arial" w:hAnsi="Arial" w:cs="Arial"/>
          <w:sz w:val="16"/>
          <w:szCs w:val="16"/>
          <w:lang w:val="pl-PL"/>
        </w:rPr>
        <w:t>long</w:t>
      </w:r>
      <w:proofErr w:type="spellEnd"/>
      <w:r>
        <w:rPr>
          <w:rFonts w:ascii="Arial" w:hAnsi="Arial" w:cs="Arial"/>
          <w:sz w:val="16"/>
          <w:szCs w:val="16"/>
          <w:lang w:val="pl-PL"/>
        </w:rPr>
        <w:t xml:space="preserve">-term </w:t>
      </w:r>
      <w:proofErr w:type="spellStart"/>
      <w:r>
        <w:rPr>
          <w:rFonts w:ascii="Arial" w:hAnsi="Arial" w:cs="Arial"/>
          <w:sz w:val="16"/>
          <w:szCs w:val="16"/>
          <w:lang w:val="pl-PL"/>
        </w:rPr>
        <w:t>evolution</w:t>
      </w:r>
      <w:proofErr w:type="spellEnd"/>
      <w:r>
        <w:rPr>
          <w:rFonts w:ascii="Arial" w:hAnsi="Arial" w:cs="Arial"/>
          <w:sz w:val="16"/>
          <w:szCs w:val="16"/>
          <w:lang w:val="pl-PL"/>
        </w:rPr>
        <w:t xml:space="preserve">) lub </w:t>
      </w:r>
      <w:proofErr w:type="spellStart"/>
      <w:r>
        <w:rPr>
          <w:rFonts w:ascii="Arial" w:hAnsi="Arial" w:cs="Arial"/>
          <w:sz w:val="16"/>
          <w:szCs w:val="16"/>
          <w:lang w:val="pl-PL"/>
        </w:rPr>
        <w:t>LTEAdvanced</w:t>
      </w:r>
      <w:proofErr w:type="spellEnd"/>
      <w:r>
        <w:rPr>
          <w:rFonts w:ascii="Arial" w:hAnsi="Arial" w:cs="Arial"/>
          <w:sz w:val="16"/>
          <w:szCs w:val="16"/>
          <w:lang w:val="pl-PL"/>
        </w:rPr>
        <w:t xml:space="preserve">,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11">
    <w:p w:rsidR="00E06E3A" w:rsidRPr="00AA2E60" w:rsidRDefault="00E06E3A"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rsidR="00E06E3A" w:rsidRPr="00F80636" w:rsidRDefault="00E06E3A"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w:t>
      </w:r>
      <w:proofErr w:type="spellStart"/>
      <w:r w:rsidRPr="00AA2E60">
        <w:rPr>
          <w:rFonts w:ascii="Arial" w:hAnsi="Arial" w:cs="Arial"/>
          <w:sz w:val="16"/>
          <w:szCs w:val="16"/>
        </w:rPr>
        <w:t>późn</w:t>
      </w:r>
      <w:proofErr w:type="spellEnd"/>
      <w:r w:rsidRPr="00AA2E60">
        <w:rPr>
          <w:rFonts w:ascii="Arial" w:hAnsi="Arial" w:cs="Arial"/>
          <w:sz w:val="16"/>
          <w:szCs w:val="16"/>
        </w:rPr>
        <w:t>. zm.</w:t>
      </w:r>
    </w:p>
  </w:footnote>
  <w:footnote w:id="13">
    <w:p w:rsidR="00E06E3A" w:rsidRPr="006803C1" w:rsidRDefault="00E06E3A"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w:t>
      </w:r>
      <w:proofErr w:type="spellStart"/>
      <w:r w:rsidRPr="006803C1">
        <w:rPr>
          <w:rFonts w:ascii="Arial" w:hAnsi="Arial" w:cs="Arial"/>
          <w:sz w:val="16"/>
          <w:szCs w:val="16"/>
          <w:lang w:val="pl-PL"/>
        </w:rPr>
        <w:t>MGr</w:t>
      </w:r>
      <w:proofErr w:type="spellEnd"/>
      <w:r>
        <w:rPr>
          <w:rFonts w:ascii="Arial" w:hAnsi="Arial" w:cs="Arial"/>
          <w:sz w:val="16"/>
          <w:szCs w:val="16"/>
          <w:lang w:val="pl-PL"/>
        </w:rPr>
        <w:t>.</w:t>
      </w:r>
      <w:r w:rsidRPr="006803C1">
        <w:rPr>
          <w:rFonts w:ascii="Arial" w:hAnsi="Arial" w:cs="Arial"/>
          <w:sz w:val="16"/>
          <w:szCs w:val="16"/>
          <w:lang w:val="pl-PL"/>
        </w:rPr>
        <w:t xml:space="preserve"> </w:t>
      </w:r>
    </w:p>
  </w:footnote>
  <w:footnote w:id="14">
    <w:p w:rsidR="00E06E3A" w:rsidRPr="00AA2E60" w:rsidRDefault="00E06E3A"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rsidR="00E06E3A" w:rsidRPr="006E7156" w:rsidRDefault="00E06E3A">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6">
    <w:p w:rsidR="00E06E3A" w:rsidRPr="00136638" w:rsidRDefault="00E06E3A"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7">
    <w:p w:rsidR="00E06E3A" w:rsidRPr="006E7156" w:rsidRDefault="00E06E3A">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8">
    <w:p w:rsidR="00E06E3A" w:rsidRPr="006E7156" w:rsidRDefault="00E06E3A"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29">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7">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57">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4">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6">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2">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1">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2">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7">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1">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5">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7">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4">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7">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28">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3">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6">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48">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8"/>
  </w:num>
  <w:num w:numId="2">
    <w:abstractNumId w:val="79"/>
  </w:num>
  <w:num w:numId="3">
    <w:abstractNumId w:val="131"/>
  </w:num>
  <w:num w:numId="4">
    <w:abstractNumId w:val="127"/>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0"/>
  </w:num>
  <w:num w:numId="7">
    <w:abstractNumId w:val="139"/>
  </w:num>
  <w:num w:numId="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3"/>
  </w:num>
  <w:num w:numId="12">
    <w:abstractNumId w:val="9"/>
  </w:num>
  <w:num w:numId="13">
    <w:abstractNumId w:val="123"/>
  </w:num>
  <w:num w:numId="14">
    <w:abstractNumId w:val="101"/>
  </w:num>
  <w:num w:numId="15">
    <w:abstractNumId w:val="54"/>
  </w:num>
  <w:num w:numId="16">
    <w:abstractNumId w:val="121"/>
  </w:num>
  <w:num w:numId="17">
    <w:abstractNumId w:val="112"/>
  </w:num>
  <w:num w:numId="18">
    <w:abstractNumId w:val="95"/>
  </w:num>
  <w:num w:numId="19">
    <w:abstractNumId w:val="92"/>
  </w:num>
  <w:num w:numId="20">
    <w:abstractNumId w:val="146"/>
  </w:num>
  <w:num w:numId="21">
    <w:abstractNumId w:val="4"/>
  </w:num>
  <w:num w:numId="22">
    <w:abstractNumId w:val="43"/>
  </w:num>
  <w:num w:numId="23">
    <w:abstractNumId w:val="105"/>
  </w:num>
  <w:num w:numId="24">
    <w:abstractNumId w:val="51"/>
  </w:num>
  <w:num w:numId="25">
    <w:abstractNumId w:val="124"/>
  </w:num>
  <w:num w:numId="26">
    <w:abstractNumId w:val="138"/>
  </w:num>
  <w:num w:numId="27">
    <w:abstractNumId w:val="47"/>
  </w:num>
  <w:num w:numId="28">
    <w:abstractNumId w:val="86"/>
  </w:num>
  <w:num w:numId="29">
    <w:abstractNumId w:val="52"/>
  </w:num>
  <w:num w:numId="30">
    <w:abstractNumId w:val="30"/>
  </w:num>
  <w:num w:numId="31">
    <w:abstractNumId w:val="8"/>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118"/>
  </w:num>
  <w:num w:numId="35">
    <w:abstractNumId w:val="71"/>
  </w:num>
  <w:num w:numId="36">
    <w:abstractNumId w:val="78"/>
  </w:num>
  <w:num w:numId="37">
    <w:abstractNumId w:val="99"/>
  </w:num>
  <w:num w:numId="38">
    <w:abstractNumId w:val="93"/>
  </w:num>
  <w:num w:numId="39">
    <w:abstractNumId w:val="62"/>
  </w:num>
  <w:num w:numId="40">
    <w:abstractNumId w:val="109"/>
  </w:num>
  <w:num w:numId="41">
    <w:abstractNumId w:val="27"/>
  </w:num>
  <w:num w:numId="42">
    <w:abstractNumId w:val="76"/>
  </w:num>
  <w:num w:numId="43">
    <w:abstractNumId w:val="48"/>
  </w:num>
  <w:num w:numId="44">
    <w:abstractNumId w:val="115"/>
  </w:num>
  <w:num w:numId="45">
    <w:abstractNumId w:val="135"/>
  </w:num>
  <w:num w:numId="46">
    <w:abstractNumId w:val="130"/>
  </w:num>
  <w:num w:numId="47">
    <w:abstractNumId w:val="77"/>
  </w:num>
  <w:num w:numId="48">
    <w:abstractNumId w:val="24"/>
  </w:num>
  <w:num w:numId="49">
    <w:abstractNumId w:val="5"/>
  </w:num>
  <w:num w:numId="50">
    <w:abstractNumId w:val="107"/>
  </w:num>
  <w:num w:numId="51">
    <w:abstractNumId w:val="38"/>
  </w:num>
  <w:num w:numId="52">
    <w:abstractNumId w:val="136"/>
  </w:num>
  <w:num w:numId="53">
    <w:abstractNumId w:val="25"/>
  </w:num>
  <w:num w:numId="54">
    <w:abstractNumId w:val="64"/>
  </w:num>
  <w:num w:numId="55">
    <w:abstractNumId w:val="18"/>
  </w:num>
  <w:num w:numId="56">
    <w:abstractNumId w:val="53"/>
  </w:num>
  <w:num w:numId="57">
    <w:abstractNumId w:val="88"/>
  </w:num>
  <w:num w:numId="58">
    <w:abstractNumId w:val="144"/>
  </w:num>
  <w:num w:numId="59">
    <w:abstractNumId w:val="60"/>
  </w:num>
  <w:num w:numId="60">
    <w:abstractNumId w:val="6"/>
  </w:num>
  <w:num w:numId="61">
    <w:abstractNumId w:val="148"/>
  </w:num>
  <w:num w:numId="62">
    <w:abstractNumId w:val="32"/>
  </w:num>
  <w:num w:numId="63">
    <w:abstractNumId w:val="96"/>
  </w:num>
  <w:num w:numId="64">
    <w:abstractNumId w:val="90"/>
  </w:num>
  <w:num w:numId="65">
    <w:abstractNumId w:val="36"/>
  </w:num>
  <w:num w:numId="66">
    <w:abstractNumId w:val="141"/>
  </w:num>
  <w:num w:numId="67">
    <w:abstractNumId w:val="125"/>
  </w:num>
  <w:num w:numId="68">
    <w:abstractNumId w:val="3"/>
  </w:num>
  <w:num w:numId="69">
    <w:abstractNumId w:val="132"/>
  </w:num>
  <w:num w:numId="70">
    <w:abstractNumId w:val="40"/>
  </w:num>
  <w:num w:numId="71">
    <w:abstractNumId w:val="85"/>
  </w:num>
  <w:num w:numId="72">
    <w:abstractNumId w:val="83"/>
  </w:num>
  <w:num w:numId="73">
    <w:abstractNumId w:val="134"/>
  </w:num>
  <w:num w:numId="74">
    <w:abstractNumId w:val="29"/>
  </w:num>
  <w:num w:numId="75">
    <w:abstractNumId w:val="23"/>
  </w:num>
  <w:num w:numId="76">
    <w:abstractNumId w:val="31"/>
  </w:num>
  <w:num w:numId="77">
    <w:abstractNumId w:val="87"/>
  </w:num>
  <w:num w:numId="78">
    <w:abstractNumId w:val="114"/>
  </w:num>
  <w:num w:numId="79">
    <w:abstractNumId w:val="58"/>
  </w:num>
  <w:num w:numId="80">
    <w:abstractNumId w:val="13"/>
  </w:num>
  <w:num w:numId="81">
    <w:abstractNumId w:val="55"/>
  </w:num>
  <w:num w:numId="82">
    <w:abstractNumId w:val="94"/>
  </w:num>
  <w:num w:numId="83">
    <w:abstractNumId w:val="66"/>
  </w:num>
  <w:num w:numId="84">
    <w:abstractNumId w:val="19"/>
  </w:num>
  <w:num w:numId="85">
    <w:abstractNumId w:val="41"/>
  </w:num>
  <w:num w:numId="86">
    <w:abstractNumId w:val="100"/>
  </w:num>
  <w:num w:numId="87">
    <w:abstractNumId w:val="17"/>
  </w:num>
  <w:num w:numId="88">
    <w:abstractNumId w:val="106"/>
  </w:num>
  <w:num w:numId="89">
    <w:abstractNumId w:val="120"/>
  </w:num>
  <w:num w:numId="90">
    <w:abstractNumId w:val="97"/>
  </w:num>
  <w:num w:numId="91">
    <w:abstractNumId w:val="142"/>
  </w:num>
  <w:num w:numId="92">
    <w:abstractNumId w:val="111"/>
  </w:num>
  <w:num w:numId="93">
    <w:abstractNumId w:val="67"/>
  </w:num>
  <w:num w:numId="94">
    <w:abstractNumId w:val="22"/>
  </w:num>
  <w:num w:numId="95">
    <w:abstractNumId w:val="70"/>
  </w:num>
  <w:num w:numId="96">
    <w:abstractNumId w:val="102"/>
  </w:num>
  <w:num w:numId="97">
    <w:abstractNumId w:val="89"/>
  </w:num>
  <w:num w:numId="98">
    <w:abstractNumId w:val="0"/>
  </w:num>
  <w:num w:numId="99">
    <w:abstractNumId w:val="35"/>
  </w:num>
  <w:num w:numId="100">
    <w:abstractNumId w:val="69"/>
  </w:num>
  <w:num w:numId="101">
    <w:abstractNumId w:val="68"/>
  </w:num>
  <w:num w:numId="102">
    <w:abstractNumId w:val="131"/>
  </w:num>
  <w:num w:numId="103">
    <w:abstractNumId w:val="131"/>
  </w:num>
  <w:num w:numId="104">
    <w:abstractNumId w:val="131"/>
  </w:num>
  <w:num w:numId="105">
    <w:abstractNumId w:val="11"/>
  </w:num>
  <w:num w:numId="106">
    <w:abstractNumId w:val="131"/>
  </w:num>
  <w:num w:numId="107">
    <w:abstractNumId w:val="57"/>
  </w:num>
  <w:num w:numId="108">
    <w:abstractNumId w:val="46"/>
  </w:num>
  <w:num w:numId="109">
    <w:abstractNumId w:val="59"/>
  </w:num>
  <w:num w:numId="110">
    <w:abstractNumId w:val="33"/>
  </w:num>
  <w:num w:numId="111">
    <w:abstractNumId w:val="1"/>
  </w:num>
  <w:num w:numId="112">
    <w:abstractNumId w:val="10"/>
  </w:num>
  <w:num w:numId="113">
    <w:abstractNumId w:val="128"/>
  </w:num>
  <w:num w:numId="114">
    <w:abstractNumId w:val="119"/>
  </w:num>
  <w:num w:numId="115">
    <w:abstractNumId w:val="74"/>
  </w:num>
  <w:num w:numId="116">
    <w:abstractNumId w:val="56"/>
  </w:num>
  <w:num w:numId="117">
    <w:abstractNumId w:val="7"/>
  </w:num>
  <w:num w:numId="118">
    <w:abstractNumId w:val="72"/>
  </w:num>
  <w:num w:numId="119">
    <w:abstractNumId w:val="37"/>
  </w:num>
  <w:num w:numId="120">
    <w:abstractNumId w:val="147"/>
  </w:num>
  <w:num w:numId="121">
    <w:abstractNumId w:val="82"/>
  </w:num>
  <w:num w:numId="122">
    <w:abstractNumId w:val="14"/>
  </w:num>
  <w:num w:numId="123">
    <w:abstractNumId w:val="16"/>
  </w:num>
  <w:num w:numId="124">
    <w:abstractNumId w:val="117"/>
  </w:num>
  <w:num w:numId="125">
    <w:abstractNumId w:val="137"/>
  </w:num>
  <w:num w:numId="126">
    <w:abstractNumId w:val="65"/>
  </w:num>
  <w:num w:numId="127">
    <w:abstractNumId w:val="91"/>
  </w:num>
  <w:num w:numId="128">
    <w:abstractNumId w:val="103"/>
  </w:num>
  <w:num w:numId="129">
    <w:abstractNumId w:val="44"/>
  </w:num>
  <w:num w:numId="130">
    <w:abstractNumId w:val="49"/>
  </w:num>
  <w:num w:numId="131">
    <w:abstractNumId w:val="61"/>
  </w:num>
  <w:num w:numId="132">
    <w:abstractNumId w:val="145"/>
  </w:num>
  <w:num w:numId="133">
    <w:abstractNumId w:val="84"/>
  </w:num>
  <w:num w:numId="134">
    <w:abstractNumId w:val="131"/>
  </w:num>
  <w:num w:numId="135">
    <w:abstractNumId w:val="131"/>
  </w:num>
  <w:num w:numId="136">
    <w:abstractNumId w:val="116"/>
  </w:num>
  <w:num w:numId="137">
    <w:abstractNumId w:val="39"/>
  </w:num>
  <w:num w:numId="138">
    <w:abstractNumId w:val="45"/>
  </w:num>
  <w:num w:numId="139">
    <w:abstractNumId w:val="2"/>
  </w:num>
  <w:num w:numId="140">
    <w:abstractNumId w:val="98"/>
  </w:num>
  <w:num w:numId="141">
    <w:abstractNumId w:val="42"/>
  </w:num>
  <w:num w:numId="142">
    <w:abstractNumId w:val="26"/>
  </w:num>
  <w:num w:numId="143">
    <w:abstractNumId w:val="12"/>
  </w:num>
  <w:num w:numId="144">
    <w:abstractNumId w:val="20"/>
  </w:num>
  <w:num w:numId="145">
    <w:abstractNumId w:val="143"/>
  </w:num>
  <w:num w:numId="146">
    <w:abstractNumId w:val="140"/>
  </w:num>
  <w:num w:numId="147">
    <w:abstractNumId w:val="126"/>
  </w:num>
  <w:num w:numId="148">
    <w:abstractNumId w:val="129"/>
  </w:num>
  <w:num w:numId="149">
    <w:abstractNumId w:val="28"/>
  </w:num>
  <w:num w:numId="150">
    <w:abstractNumId w:val="50"/>
  </w:num>
  <w:num w:numId="151">
    <w:abstractNumId w:val="81"/>
  </w:num>
  <w:num w:numId="152">
    <w:abstractNumId w:val="104"/>
  </w:num>
  <w:num w:numId="153">
    <w:abstractNumId w:val="75"/>
  </w:num>
  <w:num w:numId="154">
    <w:abstractNumId w:val="34"/>
  </w:num>
  <w:num w:numId="155">
    <w:abstractNumId w:val="1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6A0"/>
    <w:rsid w:val="004417C3"/>
    <w:rsid w:val="004425CF"/>
    <w:rsid w:val="00442757"/>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673"/>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F8"/>
    <w:rsid w:val="00C87A22"/>
    <w:rsid w:val="00C87FE3"/>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028A"/>
    <w:rsid w:val="00F71A5D"/>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okik.gov.pl/download.php?plik=1442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E780-FAB2-44E7-B1B8-A1EBC331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12586</Words>
  <Characters>75519</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Rudalska</cp:lastModifiedBy>
  <cp:revision>2</cp:revision>
  <cp:lastPrinted>2016-04-11T10:18:00Z</cp:lastPrinted>
  <dcterms:created xsi:type="dcterms:W3CDTF">2018-02-08T10:48:00Z</dcterms:created>
  <dcterms:modified xsi:type="dcterms:W3CDTF">2018-02-08T10:48:00Z</dcterms:modified>
</cp:coreProperties>
</file>