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8F" w:rsidRPr="00CA557D" w:rsidRDefault="00CA557D" w:rsidP="00CA557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Warszawa, 29 </w:t>
      </w:r>
      <w:r w:rsidR="00831465" w:rsidRPr="00CA557D">
        <w:rPr>
          <w:rFonts w:asciiTheme="minorHAnsi" w:hAnsiTheme="minorHAnsi" w:cstheme="minorHAnsi"/>
          <w:sz w:val="24"/>
          <w:szCs w:val="24"/>
        </w:rPr>
        <w:t>marca</w:t>
      </w:r>
      <w:r w:rsidR="00A40900" w:rsidRPr="00CA557D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CA557D">
        <w:rPr>
          <w:rFonts w:asciiTheme="minorHAnsi" w:hAnsiTheme="minorHAnsi" w:cstheme="minorHAnsi"/>
          <w:sz w:val="24"/>
          <w:szCs w:val="24"/>
        </w:rPr>
        <w:t>202</w:t>
      </w:r>
      <w:r w:rsidR="00A40900" w:rsidRPr="00CA557D">
        <w:rPr>
          <w:rFonts w:asciiTheme="minorHAnsi" w:hAnsiTheme="minorHAnsi" w:cstheme="minorHAnsi"/>
          <w:sz w:val="24"/>
          <w:szCs w:val="24"/>
        </w:rPr>
        <w:t>3</w:t>
      </w:r>
      <w:r w:rsidR="001D479F" w:rsidRPr="00CA557D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446E3" w:rsidRPr="00CA557D" w:rsidRDefault="00831465" w:rsidP="00CA557D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A557D">
        <w:rPr>
          <w:rFonts w:asciiTheme="minorHAnsi" w:hAnsiTheme="minorHAnsi" w:cstheme="minorHAnsi"/>
          <w:sz w:val="24"/>
          <w:szCs w:val="24"/>
        </w:rPr>
        <w:t>DOOŚ-WDŚZOO.420.50.2022.PS.4</w:t>
      </w:r>
    </w:p>
    <w:p w:rsidR="002446E3" w:rsidRPr="00CA557D" w:rsidRDefault="002446E3" w:rsidP="00CA557D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2446E3" w:rsidRPr="00CA557D" w:rsidRDefault="002446E3" w:rsidP="00CA557D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A557D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BF2702" w:rsidRPr="00CA557D" w:rsidRDefault="00BF2702" w:rsidP="00CA557D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A557D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CA557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CA557D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CA557D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2000</w:t>
      </w:r>
      <w:r w:rsidR="00A40900" w:rsidRPr="00CA557D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CA557D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Pr="00CA557D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CA557D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CA557D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A40900" w:rsidRPr="00CA557D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CA557D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</w:t>
      </w:r>
      <w:r w:rsidR="00A40900" w:rsidRPr="00CA557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CA557D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CA557D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1029, ze zm.), dalej </w:t>
      </w:r>
      <w:proofErr w:type="spellStart"/>
      <w:r w:rsidRPr="00CA557D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CA557D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Pr="00CA557D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odwoławcze </w:t>
      </w:r>
      <w:r w:rsidRPr="00CA557D">
        <w:rPr>
          <w:rFonts w:asciiTheme="minorHAnsi" w:hAnsiTheme="minorHAnsi" w:cstheme="minorHAnsi"/>
          <w:sz w:val="24"/>
          <w:szCs w:val="24"/>
        </w:rPr>
        <w:t>od decyzji Regionalnego Dyrektora Ochrony Środowiska w</w:t>
      </w:r>
      <w:r w:rsidR="00A40900" w:rsidRPr="00CA557D">
        <w:rPr>
          <w:rFonts w:asciiTheme="minorHAnsi" w:hAnsiTheme="minorHAnsi" w:cstheme="minorHAnsi"/>
          <w:sz w:val="24"/>
          <w:szCs w:val="24"/>
        </w:rPr>
        <w:t xml:space="preserve"> </w:t>
      </w:r>
      <w:r w:rsidR="00831465" w:rsidRPr="00CA557D">
        <w:rPr>
          <w:rFonts w:asciiTheme="minorHAnsi" w:hAnsiTheme="minorHAnsi" w:cstheme="minorHAnsi"/>
          <w:color w:val="000000"/>
          <w:sz w:val="24"/>
          <w:szCs w:val="24"/>
        </w:rPr>
        <w:t xml:space="preserve">Gdańsku z 31 października 2022 r., znak: RDOŚ-Gd-WOO.420.10.2022.AT.16, określającej środowiskowe uwarunkowania </w:t>
      </w:r>
      <w:r w:rsidR="00EF1A6A" w:rsidRPr="00CA557D">
        <w:rPr>
          <w:rFonts w:asciiTheme="minorHAnsi" w:hAnsiTheme="minorHAnsi" w:cstheme="minorHAnsi"/>
          <w:color w:val="000000"/>
          <w:sz w:val="24"/>
          <w:szCs w:val="24"/>
        </w:rPr>
        <w:t xml:space="preserve">realizacji </w:t>
      </w:r>
      <w:r w:rsidR="00831465" w:rsidRPr="00CA557D">
        <w:rPr>
          <w:rFonts w:asciiTheme="minorHAnsi" w:hAnsiTheme="minorHAnsi" w:cstheme="minorHAnsi"/>
          <w:color w:val="000000"/>
          <w:sz w:val="24"/>
          <w:szCs w:val="24"/>
        </w:rPr>
        <w:t xml:space="preserve">przedsięwzięcia pod nazwą: „Brama Pomorza - „Suchy Port” w Zajączkowie Tczewskim jako centrum konsolidacyjno-dystrybucyjne wraz z infrastrukturą </w:t>
      </w:r>
      <w:proofErr w:type="spellStart"/>
      <w:r w:rsidR="00831465" w:rsidRPr="00CA557D">
        <w:rPr>
          <w:rFonts w:asciiTheme="minorHAnsi" w:hAnsiTheme="minorHAnsi" w:cstheme="minorHAnsi"/>
          <w:color w:val="000000"/>
          <w:sz w:val="24"/>
          <w:szCs w:val="24"/>
        </w:rPr>
        <w:t>zapleczową</w:t>
      </w:r>
      <w:proofErr w:type="spellEnd"/>
      <w:r w:rsidR="00831465" w:rsidRPr="00CA557D">
        <w:rPr>
          <w:rFonts w:asciiTheme="minorHAnsi" w:hAnsiTheme="minorHAnsi" w:cstheme="minorHAnsi"/>
          <w:color w:val="000000"/>
          <w:sz w:val="24"/>
          <w:szCs w:val="24"/>
        </w:rPr>
        <w:t xml:space="preserve"> dla portów Gdańska, Gdyni i Elbląga”</w:t>
      </w:r>
      <w:r w:rsidRPr="00CA557D">
        <w:rPr>
          <w:rFonts w:asciiTheme="minorHAnsi" w:hAnsiTheme="minorHAnsi" w:cstheme="minorHAnsi"/>
          <w:color w:val="000000"/>
          <w:sz w:val="24"/>
          <w:szCs w:val="24"/>
        </w:rPr>
        <w:t xml:space="preserve"> nie mogło być zakończone w wyznaczonym terminie. Przyczyną zwłoki jest </w:t>
      </w:r>
      <w:r w:rsidR="00831465" w:rsidRPr="00CA557D">
        <w:rPr>
          <w:rFonts w:asciiTheme="minorHAnsi" w:hAnsiTheme="minorHAnsi" w:cstheme="minorHAnsi"/>
          <w:color w:val="000000"/>
          <w:sz w:val="24"/>
          <w:szCs w:val="24"/>
        </w:rPr>
        <w:t>skomplikowany charakter sprawy</w:t>
      </w:r>
      <w:r w:rsidRPr="00CA557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BF2702" w:rsidRPr="00CA557D" w:rsidRDefault="00BF2702" w:rsidP="00CA557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A557D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831465" w:rsidRPr="00CA557D">
        <w:rPr>
          <w:rFonts w:asciiTheme="minorHAnsi" w:hAnsiTheme="minorHAnsi" w:cstheme="minorHAnsi"/>
          <w:color w:val="000000"/>
          <w:sz w:val="24"/>
          <w:szCs w:val="24"/>
        </w:rPr>
        <w:t>31 maja</w:t>
      </w:r>
      <w:r w:rsidRPr="00CA557D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7710E5" w:rsidRPr="00CA557D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CA557D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§ 1 </w:t>
      </w:r>
      <w:r w:rsidRPr="00CA557D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CA557D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:rsidR="00BF2702" w:rsidRPr="00CA557D" w:rsidRDefault="00BF2702" w:rsidP="00CA557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BF2702" w:rsidRPr="00CA557D" w:rsidRDefault="00BF2702" w:rsidP="00CA557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A557D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CA557D">
        <w:rPr>
          <w:rFonts w:asciiTheme="minorHAnsi" w:hAnsiTheme="minorHAnsi" w:cstheme="minorHAnsi"/>
          <w:sz w:val="24"/>
          <w:szCs w:val="24"/>
        </w:rPr>
        <w:t>21.04.2023</w:t>
      </w:r>
      <w:r w:rsidRPr="00CA557D">
        <w:rPr>
          <w:rFonts w:asciiTheme="minorHAnsi" w:hAnsiTheme="minorHAnsi" w:cstheme="minorHAnsi"/>
          <w:sz w:val="24"/>
          <w:szCs w:val="24"/>
        </w:rPr>
        <w:t xml:space="preserve"> do </w:t>
      </w:r>
      <w:r w:rsidR="00CA557D">
        <w:rPr>
          <w:rFonts w:asciiTheme="minorHAnsi" w:hAnsiTheme="minorHAnsi" w:cstheme="minorHAnsi"/>
          <w:sz w:val="24"/>
          <w:szCs w:val="24"/>
        </w:rPr>
        <w:t>08.05.2023</w:t>
      </w:r>
    </w:p>
    <w:p w:rsidR="00BF2702" w:rsidRPr="00CA557D" w:rsidRDefault="00BF2702" w:rsidP="00CA557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A557D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BF2702" w:rsidRPr="00CA557D" w:rsidRDefault="00BF2702" w:rsidP="00CA557D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BF2702" w:rsidRPr="00CA557D" w:rsidRDefault="00BF2702" w:rsidP="00CA557D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BF2702" w:rsidRPr="00CA557D" w:rsidRDefault="00BF2702" w:rsidP="00CA557D">
      <w:pPr>
        <w:pStyle w:val="Bezodstpw1"/>
        <w:spacing w:line="312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A40900" w:rsidRPr="00CA557D" w:rsidRDefault="00A40900" w:rsidP="00CA557D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A40900" w:rsidRPr="00CA557D" w:rsidRDefault="00A40900" w:rsidP="00CA557D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BF2702" w:rsidRPr="00CA557D" w:rsidRDefault="00BF2702" w:rsidP="00CA557D">
      <w:pPr>
        <w:pStyle w:val="Bezodstpw1"/>
        <w:spacing w:after="60"/>
        <w:rPr>
          <w:rFonts w:asciiTheme="minorHAnsi" w:hAnsiTheme="minorHAnsi" w:cstheme="minorHAnsi"/>
        </w:rPr>
      </w:pPr>
      <w:r w:rsidRPr="00CA557D">
        <w:rPr>
          <w:rFonts w:asciiTheme="minorHAnsi" w:hAnsiTheme="minorHAnsi" w:cstheme="minorHAnsi"/>
        </w:rPr>
        <w:t xml:space="preserve">Art. 36 </w:t>
      </w:r>
      <w:r w:rsidRPr="00CA557D">
        <w:rPr>
          <w:rFonts w:asciiTheme="minorHAnsi" w:hAnsiTheme="minorHAnsi" w:cstheme="minorHAnsi"/>
          <w:iCs/>
        </w:rPr>
        <w:t>k.p.a.</w:t>
      </w:r>
      <w:r w:rsidRPr="00CA557D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CA557D">
        <w:rPr>
          <w:rFonts w:asciiTheme="minorHAnsi" w:hAnsiTheme="minorHAnsi" w:cstheme="minorHAnsi"/>
        </w:rPr>
        <w:t xml:space="preserve"> </w:t>
      </w:r>
      <w:r w:rsidRPr="00CA557D">
        <w:rPr>
          <w:rFonts w:asciiTheme="minorHAnsi" w:hAnsiTheme="minorHAnsi" w:cstheme="minorHAnsi"/>
        </w:rPr>
        <w:t>1). Ten sam obowiązek ciąży na organie administracji publicznej również w przypadku zwłoki w</w:t>
      </w:r>
      <w:r w:rsidR="00A40900" w:rsidRPr="00CA557D">
        <w:rPr>
          <w:rFonts w:asciiTheme="minorHAnsi" w:hAnsiTheme="minorHAnsi" w:cstheme="minorHAnsi"/>
        </w:rPr>
        <w:t> </w:t>
      </w:r>
      <w:r w:rsidRPr="00CA557D">
        <w:rPr>
          <w:rFonts w:asciiTheme="minorHAnsi" w:hAnsiTheme="minorHAnsi" w:cstheme="minorHAnsi"/>
        </w:rPr>
        <w:t>załatwieniu sprawy z przyczyn niezależnych od organu (§ 2).</w:t>
      </w:r>
    </w:p>
    <w:p w:rsidR="00BF2702" w:rsidRPr="00CA557D" w:rsidRDefault="00BF2702" w:rsidP="00CA557D">
      <w:pPr>
        <w:pStyle w:val="Bezodstpw1"/>
        <w:spacing w:after="60"/>
        <w:rPr>
          <w:rFonts w:asciiTheme="minorHAnsi" w:hAnsiTheme="minorHAnsi" w:cstheme="minorHAnsi"/>
        </w:rPr>
      </w:pPr>
      <w:r w:rsidRPr="00CA557D">
        <w:rPr>
          <w:rFonts w:asciiTheme="minorHAnsi" w:hAnsiTheme="minorHAnsi" w:cstheme="minorHAnsi"/>
        </w:rPr>
        <w:t xml:space="preserve">Art. 37 § 1 </w:t>
      </w:r>
      <w:r w:rsidRPr="00CA557D">
        <w:rPr>
          <w:rFonts w:asciiTheme="minorHAnsi" w:hAnsiTheme="minorHAnsi" w:cstheme="minorHAnsi"/>
          <w:iCs/>
        </w:rPr>
        <w:t>k.p.a.</w:t>
      </w:r>
      <w:r w:rsidRPr="00CA557D">
        <w:rPr>
          <w:rFonts w:asciiTheme="minorHAnsi" w:hAnsiTheme="minorHAnsi" w:cstheme="minorHAnsi"/>
        </w:rPr>
        <w:t xml:space="preserve"> Stronie służy prawo do wniesienia ponaglenia, jeżeli: 1) nie załatwiono sprawy w terminie określonym w</w:t>
      </w:r>
      <w:r w:rsidR="00A40900" w:rsidRPr="00CA557D">
        <w:rPr>
          <w:rFonts w:asciiTheme="minorHAnsi" w:hAnsiTheme="minorHAnsi" w:cstheme="minorHAnsi"/>
        </w:rPr>
        <w:t> </w:t>
      </w:r>
      <w:r w:rsidRPr="00CA557D">
        <w:rPr>
          <w:rFonts w:asciiTheme="minorHAnsi" w:hAnsiTheme="minorHAnsi" w:cstheme="minorHAnsi"/>
        </w:rPr>
        <w:t xml:space="preserve">art. 35 lub przepisach szczególnych ani w terminie </w:t>
      </w:r>
      <w:r w:rsidRPr="00CA557D">
        <w:rPr>
          <w:rFonts w:asciiTheme="minorHAnsi" w:hAnsiTheme="minorHAnsi" w:cstheme="minorHAnsi"/>
        </w:rPr>
        <w:lastRenderedPageBreak/>
        <w:t>wskazanym zgodnie z art. 36 § 1 (bezczynność); 2) postępowanie jest prowadzone dłużej niż jest to niezbędne do załatwienia sprawy (przewlekłość).</w:t>
      </w:r>
    </w:p>
    <w:p w:rsidR="00BF2702" w:rsidRPr="00CA557D" w:rsidRDefault="00BF2702" w:rsidP="00CA557D">
      <w:pPr>
        <w:pStyle w:val="Bezodstpw1"/>
        <w:spacing w:after="60"/>
        <w:rPr>
          <w:rFonts w:asciiTheme="minorHAnsi" w:hAnsiTheme="minorHAnsi" w:cstheme="minorHAnsi"/>
        </w:rPr>
      </w:pPr>
      <w:r w:rsidRPr="00CA557D">
        <w:rPr>
          <w:rFonts w:asciiTheme="minorHAnsi" w:hAnsiTheme="minorHAnsi" w:cstheme="minorHAnsi"/>
        </w:rPr>
        <w:t xml:space="preserve">Art. 49 § 1 </w:t>
      </w:r>
      <w:r w:rsidRPr="00CA557D">
        <w:rPr>
          <w:rFonts w:asciiTheme="minorHAnsi" w:hAnsiTheme="minorHAnsi" w:cstheme="minorHAnsi"/>
          <w:iCs/>
        </w:rPr>
        <w:t>k.p.a.</w:t>
      </w:r>
      <w:r w:rsidRPr="00CA557D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CA557D">
        <w:rPr>
          <w:rFonts w:asciiTheme="minorHAnsi" w:hAnsiTheme="minorHAnsi" w:cstheme="minorHAnsi"/>
        </w:rPr>
        <w:t xml:space="preserve"> </w:t>
      </w:r>
      <w:r w:rsidRPr="00CA557D">
        <w:rPr>
          <w:rFonts w:asciiTheme="minorHAnsi" w:hAnsiTheme="minorHAnsi" w:cstheme="minorHAnsi"/>
        </w:rPr>
        <w:t>danej miejscowości lub przez udostępnienie pisma w Biuletynie Informacji Publicznej na stronie podmiotowej właściwego organu administracji publicznej.</w:t>
      </w:r>
    </w:p>
    <w:p w:rsidR="00985B8F" w:rsidRPr="00CA557D" w:rsidRDefault="00BF2702" w:rsidP="00CA557D">
      <w:pPr>
        <w:pStyle w:val="Bezodstpw1"/>
        <w:spacing w:after="60"/>
        <w:rPr>
          <w:rFonts w:asciiTheme="minorHAnsi" w:hAnsiTheme="minorHAnsi" w:cstheme="minorHAnsi"/>
        </w:rPr>
      </w:pPr>
      <w:r w:rsidRPr="00CA557D">
        <w:rPr>
          <w:rFonts w:asciiTheme="minorHAnsi" w:hAnsiTheme="minorHAnsi" w:cstheme="minorHAnsi"/>
        </w:rPr>
        <w:t xml:space="preserve">Art. 74 ust. 3 </w:t>
      </w:r>
      <w:proofErr w:type="spellStart"/>
      <w:r w:rsidRPr="00CA557D">
        <w:rPr>
          <w:rFonts w:asciiTheme="minorHAnsi" w:hAnsiTheme="minorHAnsi" w:cstheme="minorHAnsi"/>
          <w:iCs/>
        </w:rPr>
        <w:t>u.o.o.ś</w:t>
      </w:r>
      <w:proofErr w:type="spellEnd"/>
      <w:r w:rsidRPr="00CA557D">
        <w:rPr>
          <w:rFonts w:asciiTheme="minorHAnsi" w:hAnsiTheme="minorHAnsi" w:cstheme="minorHAnsi"/>
          <w:iCs/>
        </w:rPr>
        <w:t>.</w:t>
      </w:r>
      <w:r w:rsidRPr="00CA557D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CA557D" w:rsidSect="00726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13" w:rsidRDefault="004A3213">
      <w:pPr>
        <w:spacing w:after="0" w:line="240" w:lineRule="auto"/>
      </w:pPr>
      <w:r>
        <w:separator/>
      </w:r>
    </w:p>
  </w:endnote>
  <w:endnote w:type="continuationSeparator" w:id="0">
    <w:p w:rsidR="004A3213" w:rsidRDefault="004A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E4" w:rsidRDefault="007704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A557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A557D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E4" w:rsidRDefault="00770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13" w:rsidRDefault="004A3213">
      <w:pPr>
        <w:spacing w:after="0" w:line="240" w:lineRule="auto"/>
      </w:pPr>
      <w:r>
        <w:separator/>
      </w:r>
    </w:p>
  </w:footnote>
  <w:footnote w:type="continuationSeparator" w:id="0">
    <w:p w:rsidR="004A3213" w:rsidRDefault="004A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E4" w:rsidRDefault="007704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A557D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  <w:lang w:eastAsia="pl-PL"/>
            </w:rPr>
            <w:drawing>
              <wp:inline distT="0" distB="0" distL="0" distR="0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212B" w:rsidRPr="007704E4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7704E4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7704E4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:rsidR="00A3212B" w:rsidRPr="007704E4" w:rsidRDefault="00CA557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D479F"/>
    <w:rsid w:val="002446E3"/>
    <w:rsid w:val="00294072"/>
    <w:rsid w:val="003A4832"/>
    <w:rsid w:val="004A3213"/>
    <w:rsid w:val="004F5C94"/>
    <w:rsid w:val="00617ABD"/>
    <w:rsid w:val="006568C0"/>
    <w:rsid w:val="006663A9"/>
    <w:rsid w:val="00726E38"/>
    <w:rsid w:val="007704E4"/>
    <w:rsid w:val="007710E5"/>
    <w:rsid w:val="00831465"/>
    <w:rsid w:val="0084152D"/>
    <w:rsid w:val="0085442F"/>
    <w:rsid w:val="00A40900"/>
    <w:rsid w:val="00B05EE2"/>
    <w:rsid w:val="00B64572"/>
    <w:rsid w:val="00B65C6A"/>
    <w:rsid w:val="00B92515"/>
    <w:rsid w:val="00B954BC"/>
    <w:rsid w:val="00BF2702"/>
    <w:rsid w:val="00C60237"/>
    <w:rsid w:val="00CA557D"/>
    <w:rsid w:val="00E375CB"/>
    <w:rsid w:val="00E607F5"/>
    <w:rsid w:val="00E61949"/>
    <w:rsid w:val="00E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015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F1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5ACA-B062-4BB1-870F-E8AE9657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Szymańska</cp:lastModifiedBy>
  <cp:revision>2</cp:revision>
  <cp:lastPrinted>2010-12-24T09:23:00Z</cp:lastPrinted>
  <dcterms:created xsi:type="dcterms:W3CDTF">2023-04-21T05:19:00Z</dcterms:created>
  <dcterms:modified xsi:type="dcterms:W3CDTF">2023-04-21T05:19:00Z</dcterms:modified>
</cp:coreProperties>
</file>