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49056E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49056E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604239720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49056E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27 stycznia 2022 r.</w:t>
      </w:r>
      <w:bookmarkEnd w:id="0"/>
    </w:p>
    <w:p w:rsidR="004824F3" w:rsidRPr="00870E84" w:rsidRDefault="0049056E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870E84">
        <w:rPr>
          <w:rFonts w:ascii="Calibri" w:hAnsi="Calibri" w:cs="Calibri"/>
          <w:bCs/>
        </w:rPr>
        <w:t>WNP-O.4131.1.2022</w:t>
      </w:r>
      <w:bookmarkEnd w:id="1"/>
      <w:bookmarkEnd w:id="2"/>
    </w:p>
    <w:p w:rsidR="00C409C0" w:rsidRPr="001D2400" w:rsidRDefault="0049056E" w:rsidP="00C409C0">
      <w:pPr>
        <w:spacing w:line="360" w:lineRule="auto"/>
        <w:ind w:left="5664"/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</w:pPr>
      <w:r w:rsidRPr="0036010D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9C0"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  <w:t xml:space="preserve"> </w:t>
      </w:r>
      <w:r w:rsidRPr="001D2400">
        <w:rPr>
          <w:rFonts w:asciiTheme="minorHAnsi" w:eastAsia="Lucida Sans Unicode" w:hAnsiTheme="minorHAnsi" w:cstheme="minorHAnsi"/>
          <w:b/>
          <w:sz w:val="28"/>
          <w:szCs w:val="28"/>
          <w:lang w:eastAsia="ar-SA"/>
        </w:rPr>
        <w:t>Rada Miasta Mława</w:t>
      </w:r>
    </w:p>
    <w:p w:rsidR="00C409C0" w:rsidRPr="00947EE8" w:rsidRDefault="0049056E" w:rsidP="00C409C0">
      <w:pPr>
        <w:spacing w:line="360" w:lineRule="auto"/>
        <w:ind w:left="5664"/>
        <w:rPr>
          <w:rFonts w:asciiTheme="minorHAnsi" w:eastAsia="Lucida Sans Unicode" w:hAnsiTheme="minorHAnsi" w:cstheme="minorHAnsi"/>
          <w:bCs/>
          <w:sz w:val="28"/>
          <w:szCs w:val="28"/>
          <w:lang w:eastAsia="ar-SA"/>
        </w:rPr>
      </w:pPr>
      <w:r w:rsidRPr="00947EE8">
        <w:rPr>
          <w:rFonts w:asciiTheme="minorHAnsi" w:eastAsia="Lucida Sans Unicode" w:hAnsiTheme="minorHAnsi" w:cstheme="minorHAnsi"/>
          <w:bCs/>
          <w:sz w:val="28"/>
          <w:szCs w:val="28"/>
          <w:lang w:eastAsia="ar-SA"/>
        </w:rPr>
        <w:t>ul. Stary Rynek 19</w:t>
      </w:r>
    </w:p>
    <w:p w:rsidR="00C409C0" w:rsidRPr="00947EE8" w:rsidRDefault="0049056E" w:rsidP="00C409C0">
      <w:pPr>
        <w:spacing w:line="360" w:lineRule="auto"/>
        <w:ind w:left="5664"/>
        <w:rPr>
          <w:rFonts w:asciiTheme="minorHAnsi" w:eastAsia="Lucida Sans Unicode" w:hAnsiTheme="minorHAnsi" w:cstheme="minorHAnsi"/>
          <w:bCs/>
          <w:sz w:val="28"/>
          <w:szCs w:val="28"/>
          <w:lang w:eastAsia="ar-SA"/>
        </w:rPr>
      </w:pPr>
      <w:r w:rsidRPr="00947EE8">
        <w:rPr>
          <w:rFonts w:asciiTheme="minorHAnsi" w:eastAsia="Lucida Sans Unicode" w:hAnsiTheme="minorHAnsi" w:cstheme="minorHAnsi"/>
          <w:bCs/>
          <w:sz w:val="28"/>
          <w:szCs w:val="28"/>
          <w:lang w:eastAsia="ar-SA"/>
        </w:rPr>
        <w:t>06-500 Mława</w:t>
      </w:r>
    </w:p>
    <w:p w:rsidR="00C409C0" w:rsidRPr="001D2400" w:rsidRDefault="0049056E" w:rsidP="00C409C0">
      <w:pPr>
        <w:spacing w:line="360" w:lineRule="auto"/>
        <w:rPr>
          <w:rFonts w:asciiTheme="minorHAnsi" w:hAnsiTheme="minorHAnsi" w:cstheme="minorHAnsi"/>
          <w:b/>
        </w:rPr>
      </w:pPr>
    </w:p>
    <w:p w:rsidR="00C409C0" w:rsidRPr="001D2400" w:rsidRDefault="0049056E" w:rsidP="00C409C0">
      <w:pPr>
        <w:spacing w:line="360" w:lineRule="auto"/>
        <w:ind w:left="2124" w:firstLine="708"/>
        <w:rPr>
          <w:rFonts w:asciiTheme="minorHAnsi" w:hAnsiTheme="minorHAnsi" w:cstheme="minorHAnsi"/>
          <w:b/>
        </w:rPr>
      </w:pPr>
      <w:r w:rsidRPr="001D240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1D2400">
        <w:rPr>
          <w:rFonts w:asciiTheme="minorHAnsi" w:hAnsiTheme="minorHAnsi" w:cstheme="minorHAnsi"/>
          <w:b/>
        </w:rPr>
        <w:t>Rozstrzygnięcie nadzorcze</w:t>
      </w:r>
    </w:p>
    <w:p w:rsidR="00C409C0" w:rsidRPr="001D2400" w:rsidRDefault="0049056E" w:rsidP="00C409C0">
      <w:pPr>
        <w:spacing w:line="360" w:lineRule="auto"/>
        <w:rPr>
          <w:rFonts w:asciiTheme="minorHAnsi" w:hAnsiTheme="minorHAnsi" w:cstheme="minorHAnsi"/>
          <w:b/>
        </w:rPr>
      </w:pPr>
    </w:p>
    <w:p w:rsidR="00C409C0" w:rsidRPr="001D2400" w:rsidRDefault="0049056E" w:rsidP="00C409C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>Na podstawie art. 91 ust. 1 oraz art. 92 ustawy z dnia 8 marca 1990</w:t>
      </w:r>
      <w:r>
        <w:rPr>
          <w:rFonts w:asciiTheme="minorHAnsi" w:hAnsiTheme="minorHAnsi" w:cstheme="minorHAnsi"/>
        </w:rPr>
        <w:t xml:space="preserve"> </w:t>
      </w:r>
      <w:r w:rsidRPr="001D2400">
        <w:rPr>
          <w:rFonts w:asciiTheme="minorHAnsi" w:hAnsiTheme="minorHAnsi" w:cstheme="minorHAnsi"/>
        </w:rPr>
        <w:t xml:space="preserve">r. </w:t>
      </w:r>
      <w:r w:rsidRPr="001D2400">
        <w:rPr>
          <w:rFonts w:asciiTheme="minorHAnsi" w:hAnsiTheme="minorHAnsi" w:cstheme="minorHAnsi"/>
        </w:rPr>
        <w:br/>
      </w:r>
      <w:r w:rsidRPr="001D2400">
        <w:rPr>
          <w:rFonts w:asciiTheme="minorHAnsi" w:hAnsiTheme="minorHAnsi" w:cstheme="minorHAnsi"/>
          <w:i/>
        </w:rPr>
        <w:t>o samorządzie gminnym</w:t>
      </w:r>
      <w:r w:rsidRPr="001D2400">
        <w:rPr>
          <w:rFonts w:asciiTheme="minorHAnsi" w:hAnsiTheme="minorHAnsi" w:cstheme="minorHAnsi"/>
        </w:rPr>
        <w:t xml:space="preserve"> (Dz. U. z 2021 r. poz. 1372, 1834)</w:t>
      </w:r>
    </w:p>
    <w:p w:rsidR="00C409C0" w:rsidRPr="001D2400" w:rsidRDefault="0049056E" w:rsidP="00C409C0">
      <w:pPr>
        <w:spacing w:line="360" w:lineRule="auto"/>
        <w:jc w:val="both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 xml:space="preserve">    </w:t>
      </w:r>
    </w:p>
    <w:p w:rsidR="00C409C0" w:rsidRPr="001D2400" w:rsidRDefault="0049056E" w:rsidP="00C409C0">
      <w:pPr>
        <w:spacing w:line="360" w:lineRule="auto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</w:t>
      </w:r>
      <w:r w:rsidRPr="001D2400">
        <w:rPr>
          <w:rFonts w:asciiTheme="minorHAnsi" w:hAnsiTheme="minorHAnsi" w:cstheme="minorHAnsi"/>
          <w:b/>
        </w:rPr>
        <w:t>stwierdzam nieważność</w:t>
      </w:r>
    </w:p>
    <w:p w:rsidR="00C409C0" w:rsidRPr="001D2400" w:rsidRDefault="0049056E" w:rsidP="00C409C0">
      <w:pPr>
        <w:spacing w:line="360" w:lineRule="auto"/>
        <w:jc w:val="both"/>
        <w:rPr>
          <w:rFonts w:asciiTheme="minorHAnsi" w:hAnsiTheme="minorHAnsi" w:cstheme="minorHAnsi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theme="minorHAnsi"/>
          <w:i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uchwały Rady Miasta Mława nr XXXV/476/2021 z dnia 21 grudnia 2021 r.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 xml:space="preserve">w sprawie ustalenia zasad przyznawania diet oraz zwrotu kosztów podróży służbowych dla Radnych Miasta Mława, </w:t>
      </w:r>
      <w:r w:rsidRPr="001D2400">
        <w:rPr>
          <w:rFonts w:asciiTheme="minorHAnsi" w:eastAsia="Lucida Sans Unicode" w:hAnsiTheme="minorHAnsi" w:cstheme="minorHAnsi"/>
          <w:b/>
          <w:lang w:eastAsia="ar-SA"/>
        </w:rPr>
        <w:t xml:space="preserve">w części,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to jest w zakresie </w:t>
      </w:r>
      <w:r w:rsidRPr="001D2400">
        <w:rPr>
          <w:rFonts w:asciiTheme="minorHAnsi" w:eastAsia="Lucida Sans Unicode" w:hAnsiTheme="minorHAnsi" w:cstheme="minorHAnsi"/>
          <w:b/>
          <w:lang w:eastAsia="ar-SA"/>
        </w:rPr>
        <w:t>§ 1, 2, 3 i 4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tej uchwały. </w:t>
      </w:r>
    </w:p>
    <w:p w:rsidR="00C409C0" w:rsidRPr="001D2400" w:rsidRDefault="0049056E" w:rsidP="00C409C0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b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rPr>
          <w:rFonts w:asciiTheme="minorHAnsi" w:eastAsia="Lucida Sans Unicode" w:hAnsiTheme="minorHAnsi" w:cstheme="minorHAnsi"/>
          <w:b/>
          <w:lang w:eastAsia="ar-SA"/>
        </w:rPr>
      </w:pPr>
      <w:r w:rsidRPr="001D2400">
        <w:rPr>
          <w:rFonts w:asciiTheme="minorHAnsi" w:eastAsia="Lucida Sans Unicode" w:hAnsiTheme="minorHAnsi" w:cstheme="minorHAnsi"/>
          <w:b/>
          <w:lang w:eastAsia="ar-SA"/>
        </w:rPr>
        <w:t xml:space="preserve">                                                  </w:t>
      </w:r>
      <w:r>
        <w:rPr>
          <w:rFonts w:asciiTheme="minorHAnsi" w:eastAsia="Lucida Sans Unicode" w:hAnsiTheme="minorHAnsi" w:cstheme="minorHAnsi"/>
          <w:b/>
          <w:lang w:eastAsia="ar-SA"/>
        </w:rPr>
        <w:t xml:space="preserve">    </w:t>
      </w:r>
      <w:r w:rsidRPr="001D2400">
        <w:rPr>
          <w:rFonts w:asciiTheme="minorHAnsi" w:eastAsia="Lucida Sans Unicode" w:hAnsiTheme="minorHAnsi" w:cstheme="minorHAnsi"/>
          <w:b/>
          <w:lang w:eastAsia="ar-SA"/>
        </w:rPr>
        <w:t>Uzasadnienie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center"/>
        <w:rPr>
          <w:rFonts w:asciiTheme="minorHAnsi" w:hAnsiTheme="minorHAnsi" w:cstheme="minorHAnsi"/>
          <w:b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theme="minorHAnsi"/>
          <w:i/>
          <w:lang w:eastAsia="ar-SA"/>
        </w:rPr>
      </w:pP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            W </w:t>
      </w:r>
      <w:r w:rsidRPr="001D2400">
        <w:rPr>
          <w:rFonts w:asciiTheme="minorHAnsi" w:eastAsia="Lucida Sans Unicode" w:hAnsiTheme="minorHAnsi" w:cstheme="minorHAnsi"/>
          <w:lang w:eastAsia="ar-SA"/>
        </w:rPr>
        <w:t>dniu 21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grudnia 2021 r. Rada Miasta Mława podjęła uchwałę nr XXXV/476/2021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 xml:space="preserve"> w sprawie ustalenia zasad przyznawania diet oraz zwrotu kosztów podróży służbowych dla Radnych Miasta Mława.</w:t>
      </w:r>
    </w:p>
    <w:p w:rsidR="00C409C0" w:rsidRPr="001D2400" w:rsidRDefault="0049056E" w:rsidP="00C409C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theme="minorHAnsi"/>
          <w:i/>
          <w:lang w:eastAsia="ar-SA"/>
        </w:rPr>
      </w:pPr>
      <w:r w:rsidRPr="001D2400">
        <w:rPr>
          <w:rFonts w:asciiTheme="minorHAnsi" w:eastAsia="Lucida Sans Unicode" w:hAnsiTheme="minorHAnsi" w:cstheme="minorHAnsi"/>
          <w:i/>
          <w:lang w:eastAsia="ar-SA"/>
        </w:rPr>
        <w:t xml:space="preserve">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Uchwała powyższa została doręczona Wojewodzie Mazowieckiemu, jako organowi na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dzoru nad działalnością gminną, w dniu 30 grudnia 2021 r. Jako podstawę prawną uchwały Rada Gminy wskazała art. 25 ust. 4, 6 i 8 ustawy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 samorządzie gminnym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oraz § 3 pkt 2 rozporządzenia Rady Ministrów z dnia 27 października 2021 r.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 xml:space="preserve">w sprawie maksymalnej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wysokości diet przysługujących radnemu gminy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(Dz. U. z 2021 r. poz. 1974).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hAnsiTheme="minorHAnsi" w:cstheme="minorHAnsi"/>
        </w:rPr>
        <w:lastRenderedPageBreak/>
        <w:t xml:space="preserve">Pismem z dnia 24 stycznia 2022 r. Wojewoda Mazowiecki zawiadomił Radę Miasta Mława </w:t>
      </w:r>
      <w:r>
        <w:rPr>
          <w:rFonts w:asciiTheme="minorHAnsi" w:hAnsiTheme="minorHAnsi" w:cstheme="minorHAnsi"/>
        </w:rPr>
        <w:br/>
      </w:r>
      <w:r w:rsidRPr="001D2400">
        <w:rPr>
          <w:rFonts w:asciiTheme="minorHAnsi" w:hAnsiTheme="minorHAnsi" w:cstheme="minorHAnsi"/>
        </w:rPr>
        <w:t>o wszczęciu postępowania nadzorczego w sprawie stwierdzenia nieważności uchwały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>nr XXXV/476/20</w:t>
      </w:r>
      <w:r w:rsidRPr="001D2400">
        <w:rPr>
          <w:rFonts w:asciiTheme="minorHAnsi" w:eastAsia="Lucida Sans Unicode" w:hAnsiTheme="minorHAnsi" w:cstheme="minorHAnsi"/>
          <w:lang w:eastAsia="ar-SA"/>
        </w:rPr>
        <w:t>21.</w:t>
      </w:r>
    </w:p>
    <w:p w:rsidR="00C409C0" w:rsidRPr="001D2400" w:rsidRDefault="0049056E" w:rsidP="00C409C0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>W ocenie organu nadzoru uchwała nr XXXV/476/2021 została podjęta z istotnym naruszeniem prawa, zgodnie z argumentacją określoną poniżej.</w:t>
      </w:r>
    </w:p>
    <w:p w:rsidR="00C409C0" w:rsidRPr="001D2400" w:rsidRDefault="0049056E" w:rsidP="00C409C0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W § 1 ww. uchwały Rada Miasta unormowała prawo radnego do diety oraz termin i podstawę wypłacania diety. W § 2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>określono podstawę ustalenia wysokości diety (75% z 2,4 krotności kwoty bazowej). W § 3 określono maksymalną wysokość miesięcznej diety radnego, z uwzględnieniem pełnionych funkcji (Przewodniczący i Wiceprzewodniczący Rady Miasta, Przewodniczący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br/>
        <w:t>i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 Wiceprz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ewodniczący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t xml:space="preserve">Komisji stałej,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radny nie pełniący ww. funkcji). Ponadto określono wysokość diety w sytuacji pełnienia kilku ww. funkcji oraz kwestie przysługiwania diety w związku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z rozpoczęciem pełnienia funkcji w danym miesiącu. </w:t>
      </w:r>
    </w:p>
    <w:p w:rsidR="00C409C0" w:rsidRPr="001D2400" w:rsidRDefault="0049056E" w:rsidP="00C409C0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W § 4 uchwały Rada Miasta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określiła, co następuje: 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Diety ulegają zmniejszeniu o 10% maksymalnej wysokości diety, określonej w § 3 ust. 1 za każdą nieusprawiedliwioną nieobecność radnego na sesji Rady Miasta Mława oraz na posiedzeniu komisji stałej, której jest członkiem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(ust. 1). 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>Z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>mniejszeń, o których mowa w § 4 ust. 1 nie stosuje się do ustalenia diety radnych pełniących funkcję Przewodniczącego i Wiceprzewodniczącego Rady Miasta Mława jeżeli nieobecność na sesji Rady Miasta lub komisji spowodowana jest wykonywaniem mandatu radnego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(ust. 2). 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Zmniejszenia, </w:t>
      </w:r>
      <w:r>
        <w:rPr>
          <w:rFonts w:asciiTheme="minorHAnsi" w:eastAsia="Lucida Sans Unicode" w:hAnsiTheme="minorHAnsi" w:cstheme="minorHAnsi"/>
          <w:i/>
          <w:spacing w:val="-1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o których mowa w § 4 ust. 1 nie następują w razie nieobecności spowodowanej podróżą służbową zleconą przez Przewodniczącego Rady Miasta Mława lub reprezentowaniem Rady Miasta Mława </w:t>
      </w:r>
      <w:r>
        <w:rPr>
          <w:rFonts w:asciiTheme="minorHAnsi" w:eastAsia="Lucida Sans Unicode" w:hAnsiTheme="minorHAnsi" w:cstheme="minorHAnsi"/>
          <w:i/>
          <w:spacing w:val="-1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>w miejscu i sytuacjach innych niż podróż służbow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>a, za wiedzą Przewodniczącego Rady Miasta Mława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 (ust. 3). 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Dieta płatna w ciągu miesiąca ulega proporcjonalnemu obniżeniu za każdy dzień niewykonywania mandatu z zastrzeżeniem zapisów § 4 ust. 1, 2 i 3 niniejszej uchwały 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>(ust. 4). Natomiast w § 5 uchwały Ra</w:t>
      </w: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>da Miasta określiła kwestie związane z podróżą służbową radnego.</w:t>
      </w:r>
    </w:p>
    <w:p w:rsidR="00C409C0" w:rsidRPr="001D2400" w:rsidRDefault="0049056E" w:rsidP="00C409C0">
      <w:pPr>
        <w:widowControl w:val="0"/>
        <w:suppressAutoHyphens/>
        <w:spacing w:after="240" w:line="360" w:lineRule="auto"/>
        <w:ind w:firstLine="709"/>
        <w:jc w:val="both"/>
        <w:rPr>
          <w:rFonts w:asciiTheme="minorHAnsi" w:eastAsia="Lucida Sans Unicode" w:hAnsiTheme="minorHAnsi" w:cstheme="minorHAnsi"/>
          <w:spacing w:val="-1"/>
          <w:lang w:eastAsia="ar-SA"/>
        </w:rPr>
      </w:pPr>
      <w:r w:rsidRPr="001D2400">
        <w:rPr>
          <w:rFonts w:asciiTheme="minorHAnsi" w:eastAsia="Lucida Sans Unicode" w:hAnsiTheme="minorHAnsi" w:cstheme="minorHAnsi"/>
          <w:spacing w:val="-1"/>
          <w:lang w:eastAsia="ar-SA"/>
        </w:rPr>
        <w:t xml:space="preserve">W ocenie Wojewody Mazowieckiego, jako organu nadzoru nad działalnością gminną, opisane powyżej unormowania § 4 uchwały nr XXXV/476/2021 istotnie naruszają art. 25 ust. 4 ustawy </w:t>
      </w:r>
      <w:r>
        <w:rPr>
          <w:rFonts w:asciiTheme="minorHAnsi" w:eastAsia="Lucida Sans Unicode" w:hAnsiTheme="minorHAnsi" w:cstheme="minorHAnsi"/>
          <w:spacing w:val="-1"/>
          <w:lang w:eastAsia="ar-SA"/>
        </w:rPr>
        <w:br/>
      </w:r>
      <w:r>
        <w:rPr>
          <w:rFonts w:asciiTheme="minorHAnsi" w:eastAsia="Lucida Sans Unicode" w:hAnsiTheme="minorHAnsi" w:cstheme="minorHAnsi"/>
          <w:i/>
          <w:spacing w:val="-1"/>
          <w:lang w:eastAsia="ar-SA"/>
        </w:rPr>
        <w:t>o samorządzie</w:t>
      </w:r>
      <w:r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 gminnym.</w:t>
      </w:r>
      <w:r w:rsidRPr="001D2400">
        <w:rPr>
          <w:rFonts w:asciiTheme="minorHAnsi" w:eastAsia="Lucida Sans Unicode" w:hAnsiTheme="minorHAnsi" w:cstheme="minorHAnsi"/>
          <w:i/>
          <w:spacing w:val="-1"/>
          <w:lang w:eastAsia="ar-SA"/>
        </w:rPr>
        <w:t xml:space="preserve"> </w:t>
      </w:r>
    </w:p>
    <w:p w:rsidR="00C409C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Zgodnie z brzmieniem art. 25 ustawy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 samorządzie gminnym,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radnemu przysługują diety oraz zwrot kosztów podróży służbowych na zasadach ustalonych przez radę gminy (ust. 4), </w:t>
      </w:r>
      <w:r w:rsidRPr="001D2400">
        <w:rPr>
          <w:rFonts w:asciiTheme="minorHAnsi" w:eastAsia="Lucida Sans Unicode" w:hAnsiTheme="minorHAnsi" w:cstheme="minorHAnsi"/>
          <w:lang w:eastAsia="ar-SA"/>
        </w:rPr>
        <w:lastRenderedPageBreak/>
        <w:t>a</w:t>
      </w:r>
      <w:r>
        <w:rPr>
          <w:rFonts w:asciiTheme="minorHAnsi" w:eastAsia="Lucida Sans Unicode" w:hAnsiTheme="minorHAnsi" w:cstheme="minorHAnsi"/>
          <w:lang w:eastAsia="ar-SA"/>
        </w:rPr>
        <w:t> </w:t>
      </w:r>
      <w:r w:rsidRPr="001D2400">
        <w:rPr>
          <w:rFonts w:asciiTheme="minorHAnsi" w:eastAsia="Lucida Sans Unicode" w:hAnsiTheme="minorHAnsi" w:cstheme="minorHAnsi"/>
          <w:lang w:eastAsia="ar-SA"/>
        </w:rPr>
        <w:t>rada</w:t>
      </w:r>
      <w:r>
        <w:rPr>
          <w:rFonts w:asciiTheme="minorHAnsi" w:eastAsia="Lucida Sans Unicode" w:hAnsiTheme="minorHAnsi" w:cstheme="minorHAnsi"/>
          <w:lang w:eastAsia="ar-SA"/>
        </w:rPr>
        <w:t> </w:t>
      </w:r>
      <w:r w:rsidRPr="001D2400">
        <w:rPr>
          <w:rFonts w:asciiTheme="minorHAnsi" w:eastAsia="Lucida Sans Unicode" w:hAnsiTheme="minorHAnsi" w:cstheme="minorHAnsi"/>
          <w:lang w:eastAsia="ar-SA"/>
        </w:rPr>
        <w:t>gminy przy ustalaniu wysokości diet radnych bierze pod uwagę funk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cje pełnione przez radnego (ust. 8). </w:t>
      </w:r>
    </w:p>
    <w:p w:rsidR="00C409C0" w:rsidRPr="001D2400" w:rsidRDefault="0049056E" w:rsidP="00C409C0">
      <w:pPr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Zarówno w doktrynie prawa, jak i orzecznictwie sądów administracyjnych przyjęto, że dieta radnego, o której mowa w wyżej przytoczonych przepisach, stanowi jedynie rekompensatę utraconych przez radnego korzyści i nie p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osiada charakteru świadczenia pracowniczego. W wyroku Wojewódzkiego Sądu Administracyjnego w Opolu z dnia 7 listopada 2013 r. (sygn. akt II SA/Op 316/13, źródło: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) stwierdzono, że użyte przez ustawodawcę określenie „dieta” należy </w:t>
      </w:r>
      <w:r w:rsidRPr="001D2400">
        <w:rPr>
          <w:rFonts w:asciiTheme="minorHAnsi" w:eastAsia="Lucida Sans Unicode" w:hAnsiTheme="minorHAnsi" w:cstheme="minorHAnsi"/>
          <w:lang w:eastAsia="ar-SA"/>
        </w:rPr>
        <w:t>rozumieć jako zwrot kosztów związanych z pełnieniem funkcji radnego. Istota diety sprowadza się do wyrównania wydatków i strat spowodowanych pełnieniem wskazanej funkcji. Osoba pełniąca daną funkcję zachowuje prawo do zwrotu kosztów i wydatków (strat) poni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esionych w związku ze sprawowaniem funkcji, a nie jedynie z powodu uzyskania danej funkcji. Dieta powinna być zatem ściśle powiązana z aktywnością radnych w pracach rady i zależna od rzeczywistego wykonywania obowiązków związanych z pełnioną funkcją (por.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również wyroki Wojewódzkiego Sądu Administracyjnego w Opolu: z dnia 9 lipca 2015 r., sygn. akt II SA/Op 161/15, z dnia 21 lipca 2015 r., sygn. akt II SA/Op 177/15, z dnia 4 sierpnia 2015 r., sygn. akt II SA/Op 252/15, źródło: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D2400">
        <w:rPr>
          <w:rFonts w:asciiTheme="minorHAnsi" w:eastAsia="Lucida Sans Unicode" w:hAnsiTheme="minorHAnsi" w:cstheme="minorHAnsi"/>
          <w:lang w:eastAsia="ar-SA"/>
        </w:rPr>
        <w:t>).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W orzecznictwie podkreślono ponadto, że dopuszczalność wprowadzenia diety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o charakterze ryczałtowym nie może prowadzić do sytuacji powstania stałego miesięcznego wynagrodzenia niezależnego od udziału w pracach organów gminy (patrz: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Ustawa o samorządzie gm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innym. Komentarz,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pod red. B. Dolnickiego, WKP 2018). </w:t>
      </w:r>
      <w:r>
        <w:rPr>
          <w:rFonts w:asciiTheme="minorHAnsi" w:eastAsia="Lucida Sans Unicode" w:hAnsiTheme="minorHAnsi" w:cstheme="minorHAnsi"/>
          <w:lang w:eastAsia="ar-SA"/>
        </w:rPr>
        <w:t xml:space="preserve">W wyroku z dnia 26 czerwca 2014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r. Naczelny Sąd Administracyjny orzekł, co następuje: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w sytuacji, gdy ustalenie świadczenia następuje w formie ryczałtu, brak przewidzianych potrąceń diety za przypadki n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 xml:space="preserve">ieobecności przewodniczącego na posiedzeniach, czy innych obowiązkowych czynnościach, sprawia, że nie mamy już do czynienia ze świadczeniem wyrównawczym (kompensacyjnym)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(sygn. akt II OSK 406/14, źródło: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D2400">
        <w:rPr>
          <w:rFonts w:asciiTheme="minorHAnsi" w:eastAsia="Lucida Sans Unicode" w:hAnsiTheme="minorHAnsi" w:cstheme="minorHAnsi"/>
          <w:lang w:eastAsia="ar-SA"/>
        </w:rPr>
        <w:t>)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Wprawdzie w uchwale nr XXXV</w:t>
      </w:r>
      <w:r w:rsidRPr="001D2400">
        <w:rPr>
          <w:rFonts w:asciiTheme="minorHAnsi" w:eastAsia="Lucida Sans Unicode" w:hAnsiTheme="minorHAnsi" w:cstheme="minorHAnsi"/>
          <w:lang w:eastAsia="ar-SA"/>
        </w:rPr>
        <w:t>/476/2021 Rada Miasta Mława wskazała przypadki potrąceń w stosunku do miesięcznej wysokości diety (§ 4 ust. 1), nie zmienia to jednak faktu, że wypłata nadal będzie miała formę miesięczną a więc ryczałtową (§ 3 ust. 1 uchwały), niezależnie od faktycznej ob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ecności radnych na sesji Rady Miasta czy na posiedzeniu komisji. Świadczy o tym obniżanie, </w:t>
      </w:r>
      <w:r w:rsidRPr="001D2400">
        <w:rPr>
          <w:rFonts w:asciiTheme="minorHAnsi" w:eastAsia="Lucida Sans Unicode" w:hAnsiTheme="minorHAnsi" w:cstheme="minorHAnsi"/>
          <w:lang w:eastAsia="ar-SA"/>
        </w:rPr>
        <w:lastRenderedPageBreak/>
        <w:t>ale</w:t>
      </w:r>
      <w:r>
        <w:rPr>
          <w:rFonts w:asciiTheme="minorHAnsi" w:eastAsia="Lucida Sans Unicode" w:hAnsiTheme="minorHAnsi" w:cstheme="minorHAnsi"/>
          <w:lang w:eastAsia="ar-SA"/>
        </w:rPr>
        <w:t> 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tylko o charakterze procentowym (10%), kwoty diety za każdą nieobecność na sesji Rady Miasta lub posiedzeniu komisji, co w świetle opisanej powyżej argumentacji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prawnej stanowi istotne naruszenie art. 25 ust. 4 ustawy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 samorządzie gminnym.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Powyższej argumentacji nie zmienia również fakt wprowadzenia proporcjonalnych obniżeń za każdy dzień niewykonywania mandatu, określonych w § 4 ust. 4 uchwały. Zauważyć bowiem </w:t>
      </w:r>
      <w:r w:rsidRPr="001D2400">
        <w:rPr>
          <w:rFonts w:asciiTheme="minorHAnsi" w:eastAsia="Lucida Sans Unicode" w:hAnsiTheme="minorHAnsi" w:cstheme="minorHAnsi"/>
          <w:lang w:eastAsia="ar-SA"/>
        </w:rPr>
        <w:t>należy, że z potrąceń określonych w § 4 ust. 4 zostały wyłączone okoliczności procentowych potrąceń określone w § 4 ust. 1 (i powiązanych z nim ustępach 2 i 3), co powoduje obowiązywanie niezgodnych z prawem potrąceń procentowych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określonych w § 4 ust. 1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uchwały.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Ponadto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w ocenie Wojewody Mazowieckiego, jako organu nadzoru nad działalnością gmin</w:t>
      </w:r>
      <w:r>
        <w:rPr>
          <w:rFonts w:asciiTheme="minorHAnsi" w:eastAsia="Lucida Sans Unicode" w:hAnsiTheme="minorHAnsi" w:cstheme="minorHAnsi"/>
          <w:lang w:eastAsia="ar-SA"/>
        </w:rPr>
        <w:t>ną, nie sposób na podstawie brz</w:t>
      </w:r>
      <w:r w:rsidRPr="001D2400">
        <w:rPr>
          <w:rFonts w:asciiTheme="minorHAnsi" w:eastAsia="Lucida Sans Unicode" w:hAnsiTheme="minorHAnsi" w:cstheme="minorHAnsi"/>
          <w:lang w:eastAsia="ar-SA"/>
        </w:rPr>
        <w:t>mienia § 4 ust. 1 i ust. 4 uchwały (z uwzględnieniem ust. 2 i 3) dokonać nie budzącej wątpliwości rekonstrukcji normy prawnej, obe</w:t>
      </w:r>
      <w:r w:rsidRPr="001D2400">
        <w:rPr>
          <w:rFonts w:asciiTheme="minorHAnsi" w:eastAsia="Lucida Sans Unicode" w:hAnsiTheme="minorHAnsi" w:cstheme="minorHAnsi"/>
          <w:lang w:eastAsia="ar-SA"/>
        </w:rPr>
        <w:t>jmującej hipotezę i dyspozycję, to jest wskazania właściwej normy postępowania przy obniżeniu diety radnego, przy spełnieniu okoliczności określonych w § 4 ust. 1 i ust. 4. Ponadto Rada Miasta wprowadzając w § 4 ust. 1 pojęcie nieobecności nieusprawiedliwi</w:t>
      </w:r>
      <w:r w:rsidRPr="001D2400">
        <w:rPr>
          <w:rFonts w:asciiTheme="minorHAnsi" w:eastAsia="Lucida Sans Unicode" w:hAnsiTheme="minorHAnsi" w:cstheme="minorHAnsi"/>
          <w:lang w:eastAsia="ar-SA"/>
        </w:rPr>
        <w:t>onej nie sprecyzowała okoliczności usprawiedliwienia, co również budzi wątpliwości interpretacyjne. Nie wiadomo bowiem, czy chodzi o okoliczności określone w § 4 ust. 2 i ust. 3 (nieobecność związana z wykonywaniem mandatu radnego)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czy o jakiekolwiek inne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okoliczności. W tym drugim wypadku oznaczałoby to bowiem możliwość dowolnego usprawiedliwiania każdej nieobecności radnego, a to wiązałoby się z wypłatą diety również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>w przypadku nieobecności na sesji Rady Miasta lub posiedzeniu komisji, co przeczy istoc</w:t>
      </w:r>
      <w:r w:rsidRPr="001D2400">
        <w:rPr>
          <w:rFonts w:asciiTheme="minorHAnsi" w:eastAsia="Lucida Sans Unicode" w:hAnsiTheme="minorHAnsi" w:cstheme="minorHAnsi"/>
          <w:lang w:eastAsia="ar-SA"/>
        </w:rPr>
        <w:t>ie diety, zgodnie z argumentacją określoną powyżej.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i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Uchwalenie normy prawnej trudnej do jednoznacznej interpretacji (wykładni) stanowi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w świetle orzecznictwa i piśmiennictwa prawniczego istotne naruszenie prawa. Podkreślić bowiem należy </w:t>
      </w:r>
      <w:r w:rsidRPr="001D2400">
        <w:rPr>
          <w:rFonts w:asciiTheme="minorHAnsi" w:eastAsia="Lucida Sans Unicode" w:hAnsiTheme="minorHAnsi" w:cstheme="minorHAnsi"/>
          <w:bCs/>
          <w:lang w:eastAsia="ar-SA"/>
        </w:rPr>
        <w:t xml:space="preserve">wymóg jasności i </w:t>
      </w:r>
      <w:r w:rsidRPr="001D2400">
        <w:rPr>
          <w:rFonts w:asciiTheme="minorHAnsi" w:eastAsia="Lucida Sans Unicode" w:hAnsiTheme="minorHAnsi" w:cstheme="minorHAnsi"/>
          <w:bCs/>
          <w:lang w:eastAsia="ar-SA"/>
        </w:rPr>
        <w:t xml:space="preserve">klarowności przepisów prawa, który jest jednym z głównych postulatów wynikających z zasady przyzwoitej (poprawnej) legislacji wywiedzionej przez Trybunał Konstytucyjny z zasady demokratycznego państwa prawnego, określonej w art. 2 </w:t>
      </w:r>
      <w:r w:rsidRPr="001D2400">
        <w:rPr>
          <w:rFonts w:asciiTheme="minorHAnsi" w:eastAsia="Lucida Sans Unicode" w:hAnsiTheme="minorHAnsi" w:cstheme="minorHAnsi"/>
          <w:bCs/>
          <w:i/>
          <w:lang w:eastAsia="ar-SA"/>
        </w:rPr>
        <w:t>Konstytucji Rzeczpospolit</w:t>
      </w:r>
      <w:r w:rsidRPr="001D2400">
        <w:rPr>
          <w:rFonts w:asciiTheme="minorHAnsi" w:eastAsia="Lucida Sans Unicode" w:hAnsiTheme="minorHAnsi" w:cstheme="minorHAnsi"/>
          <w:bCs/>
          <w:i/>
          <w:lang w:eastAsia="ar-SA"/>
        </w:rPr>
        <w:t xml:space="preserve">ej Polskiej </w:t>
      </w:r>
      <w:r w:rsidRPr="001D2400">
        <w:rPr>
          <w:rFonts w:asciiTheme="minorHAnsi" w:eastAsia="Lucida Sans Unicode" w:hAnsiTheme="minorHAnsi" w:cstheme="minorHAnsi"/>
          <w:bCs/>
          <w:lang w:eastAsia="ar-SA"/>
        </w:rPr>
        <w:t xml:space="preserve">z dnia 2 kwietnia 1997 roku (Dz. U. Nr 78, poz. 483, z późn. zm.). W  zakresie tych zagadnień </w:t>
      </w:r>
      <w:r w:rsidRPr="001D2400">
        <w:rPr>
          <w:rFonts w:asciiTheme="minorHAnsi" w:eastAsia="Lucida Sans Unicode" w:hAnsiTheme="minorHAnsi" w:cstheme="minorHAnsi"/>
          <w:lang w:eastAsia="ar-SA"/>
        </w:rPr>
        <w:t>por. także wyrok Wojewódzkiego Sądu Administracyjnego we Wr</w:t>
      </w:r>
      <w:r>
        <w:rPr>
          <w:rFonts w:asciiTheme="minorHAnsi" w:eastAsia="Lucida Sans Unicode" w:hAnsiTheme="minorHAnsi" w:cstheme="minorHAnsi"/>
          <w:lang w:eastAsia="ar-SA"/>
        </w:rPr>
        <w:t>ocławiu z dnia 24 września 2008  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r., sygn. akt </w:t>
      </w:r>
      <w:r w:rsidRPr="001D2400">
        <w:rPr>
          <w:rFonts w:asciiTheme="minorHAnsi" w:eastAsia="Lucida Sans Unicode" w:hAnsiTheme="minorHAnsi" w:cstheme="minorHAnsi"/>
          <w:bCs/>
          <w:lang w:eastAsia="ar-SA"/>
        </w:rPr>
        <w:t xml:space="preserve">III SA/Wr 358/08, jak również </w:t>
      </w:r>
      <w:r w:rsidRPr="001D2400">
        <w:rPr>
          <w:rFonts w:asciiTheme="minorHAnsi" w:eastAsia="Lucida Sans Unicode" w:hAnsiTheme="minorHAnsi" w:cstheme="minorHAnsi"/>
          <w:lang w:eastAsia="ar-SA"/>
        </w:rPr>
        <w:t>wyroki Trybuna</w:t>
      </w:r>
      <w:r w:rsidRPr="001D2400">
        <w:rPr>
          <w:rFonts w:asciiTheme="minorHAnsi" w:eastAsia="Lucida Sans Unicode" w:hAnsiTheme="minorHAnsi" w:cstheme="minorHAnsi"/>
          <w:lang w:eastAsia="ar-SA"/>
        </w:rPr>
        <w:t>łu Konst</w:t>
      </w:r>
      <w:r>
        <w:rPr>
          <w:rFonts w:asciiTheme="minorHAnsi" w:eastAsia="Lucida Sans Unicode" w:hAnsiTheme="minorHAnsi" w:cstheme="minorHAnsi"/>
          <w:lang w:eastAsia="ar-SA"/>
        </w:rPr>
        <w:t>ytucyjnego z dnia 14 lipca 2000 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r. </w:t>
      </w:r>
      <w:r w:rsidRPr="001D2400">
        <w:rPr>
          <w:rFonts w:asciiTheme="minorHAnsi" w:eastAsia="Lucida Sans Unicode" w:hAnsiTheme="minorHAnsi" w:cstheme="minorHAnsi"/>
          <w:lang w:eastAsia="ar-SA"/>
        </w:rPr>
        <w:lastRenderedPageBreak/>
        <w:t>sygn. Kp 9/09, z dnia 11 stycznia 2000 r. sygn. K 7/99, z dnia 21 marca 2001 r. sygn. K 24/00,</w:t>
      </w:r>
      <w:r>
        <w:rPr>
          <w:rFonts w:asciiTheme="minorHAnsi" w:eastAsia="Lucida Sans Unicode" w:hAnsiTheme="minorHAnsi" w:cstheme="minorHAnsi"/>
          <w:lang w:eastAsia="ar-SA"/>
        </w:rPr>
        <w:t xml:space="preserve"> z dnia 29 października 2003 r. </w:t>
      </w:r>
      <w:r w:rsidRPr="001D2400">
        <w:rPr>
          <w:rFonts w:asciiTheme="minorHAnsi" w:eastAsia="Lucida Sans Unicode" w:hAnsiTheme="minorHAnsi" w:cstheme="minorHAnsi"/>
          <w:lang w:eastAsia="ar-SA"/>
        </w:rPr>
        <w:t>sygn. K 53/02, oraz z dnia 21 lutego 2006 r.</w:t>
      </w:r>
      <w:r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1D2400">
        <w:rPr>
          <w:rFonts w:asciiTheme="minorHAnsi" w:eastAsia="Lucida Sans Unicode" w:hAnsiTheme="minorHAnsi" w:cstheme="minorHAnsi"/>
          <w:lang w:eastAsia="ar-SA"/>
        </w:rPr>
        <w:t>sygn. K 1/05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W orzecznictwie 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sądowoadministracyjnym wskazuje się, że skoro dieta radnego sprowadza się do wyrównania wydatków i strat spowodowanych pełnieniem funkcji, to osoba pełniąca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tę funkcję zachowuje prawo do zwrotu kosztów i wydatków poniesionych w związku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>ze sprawowaniem fu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nkcji, a nie z tytułu samego faktu bycia taką osobą. Zakresem regulacji uchwały podjętej na podstawie delegacji ustawowej zawartej w art. 25 ust. 4 ustawy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 samorządzie gminnym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winna być objęta m.in. sytuacja, gdy radny, przez dłuższy okres czasu nie wykon</w:t>
      </w:r>
      <w:r w:rsidRPr="001D2400">
        <w:rPr>
          <w:rFonts w:asciiTheme="minorHAnsi" w:eastAsia="Lucida Sans Unicode" w:hAnsiTheme="minorHAnsi" w:cstheme="minorHAnsi"/>
          <w:lang w:eastAsia="ar-SA"/>
        </w:rPr>
        <w:t>uje obowiązków wynikających z pełnionej funkcji, a tym samym nie ponosi żadnych kosztów związanych z pełnieniem funkcji. W przeciwnym razie dieta ustalona w stałej kwocie ma charakter ryczałtu miesięcznego, przez co traci charakter rekompensacyjny, a przyj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muje charakter stałego, miesięcznego wynagrodzenia, niezależnego od kosztów związanych z pełnieniem funkcji (por. wyrok Wojewódzkiego Sądu Administracyjnego w Opolu z dnia 21 lipca 2015 r. sygn. akt II SA/Op 177/15; źródło: </w:t>
      </w:r>
      <w:r w:rsidRPr="001D2400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1D2400">
        <w:rPr>
          <w:rFonts w:asciiTheme="minorHAnsi" w:eastAsia="Lucida Sans Unicode" w:hAnsiTheme="minorHAnsi" w:cstheme="minorHAnsi"/>
          <w:lang w:eastAsia="ar-SA"/>
        </w:rPr>
        <w:t>).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Z uwagi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na fakt, że dieta ma stanowić rekompensatę za utracone zarobki związane z pełnieniem funkcji radnego, sformułowania zawarte w § 4 ust. 1 uchwały, wprowadzające procentowe obniżenia kwoty miesięcznej diety spowodują, że w przypadku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gdyby sesje Rady Miasta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 lub posiedzenia komisji się odbywały, to i tak jakaś część diety, mimo nieobecności radnego, będzie wypłacana, z uwagi na potrącenie procentowe a nie proporcjonalne. Zapisy te powodują, że dieta traci charakter rekompensaty a zbliża się do formy wynagrodz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enia za pracę.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Stanowisko organu nadzoru znajduje oparcie w wyrokach sądów administracyjnych zapadłych w następstwie rozpoznania skarg Wojewody Mazowieckiego na uchwały w sprawie zasad ustalania diet dla radnych (zob. wyroki Wojewódzkiego Sądu Administra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cyjnego w Warszawie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z dnia 23 października 2019 r. sygn. akt II SA/Wa 978/19, z dnia 24 października 2019 r. sygn. akt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II SA/Wa 921/19 i z dnia 29 listopada 2019 r. sygn. akt II SA/Wa 1259/19).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>Stwierdzenie nieważności § 4 ust. 1 i ust. 4 uchwały nr XX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XV/476/2021 pociąga za sobą konieczność stwierdzenia nieważności również ściśle z nimi funkcjonalnie powiązanych unormowań dotyczących diet zawartych w § 4 ust. 2 i ust. 3 ww. uchwały a także § 1, 2 i 3. Brak bowiem </w:t>
      </w:r>
      <w:r w:rsidRPr="001D2400">
        <w:rPr>
          <w:rFonts w:asciiTheme="minorHAnsi" w:eastAsia="Lucida Sans Unicode" w:hAnsiTheme="minorHAnsi" w:cstheme="minorHAnsi"/>
          <w:lang w:eastAsia="ar-SA"/>
        </w:rPr>
        <w:lastRenderedPageBreak/>
        <w:t>unormowań dotyczących potrąceń diet powo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duje, że pozostałe przepisy dotyczące diet stają się niekompletne a tym samym niemożliwe do zgodnego z prawem stosowania.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  <w:r w:rsidRPr="001D2400">
        <w:rPr>
          <w:rFonts w:asciiTheme="minorHAnsi" w:eastAsia="Lucida Sans Unicode" w:hAnsiTheme="minorHAnsi" w:cstheme="minorHAnsi"/>
          <w:lang w:eastAsia="ar-SA"/>
        </w:rPr>
        <w:t xml:space="preserve">W ocenie Wojewody Mazowieckiego, jako organu nadzoru nad działalnością gminną,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1D2400">
        <w:rPr>
          <w:rFonts w:asciiTheme="minorHAnsi" w:eastAsia="Lucida Sans Unicode" w:hAnsiTheme="minorHAnsi" w:cstheme="minorHAnsi"/>
          <w:lang w:eastAsia="ar-SA"/>
        </w:rPr>
        <w:t>w sytuacji, gdy mamy do czynienia z sekwencją zdarze</w:t>
      </w:r>
      <w:r w:rsidRPr="001D2400">
        <w:rPr>
          <w:rFonts w:asciiTheme="minorHAnsi" w:eastAsia="Lucida Sans Unicode" w:hAnsiTheme="minorHAnsi" w:cstheme="minorHAnsi"/>
          <w:lang w:eastAsia="ar-SA"/>
        </w:rPr>
        <w:t>ń wywołanych</w:t>
      </w:r>
      <w:r>
        <w:rPr>
          <w:rFonts w:asciiTheme="minorHAnsi" w:eastAsia="Lucida Sans Unicode" w:hAnsiTheme="minorHAnsi" w:cstheme="minorHAnsi"/>
          <w:lang w:eastAsia="ar-SA"/>
        </w:rPr>
        <w:t xml:space="preserve"> danymi przepisami, które są ze </w:t>
      </w:r>
      <w:r w:rsidRPr="001D2400">
        <w:rPr>
          <w:rFonts w:asciiTheme="minorHAnsi" w:eastAsia="Lucida Sans Unicode" w:hAnsiTheme="minorHAnsi" w:cstheme="minorHAnsi"/>
          <w:lang w:eastAsia="ar-SA"/>
        </w:rPr>
        <w:t>sobą powiązane, zaś przepis zależny oparty jest na u</w:t>
      </w:r>
      <w:r>
        <w:rPr>
          <w:rFonts w:asciiTheme="minorHAnsi" w:eastAsia="Lucida Sans Unicode" w:hAnsiTheme="minorHAnsi" w:cstheme="minorHAnsi"/>
          <w:lang w:eastAsia="ar-SA"/>
        </w:rPr>
        <w:t>regulowaniu pierwotnym, którego </w:t>
      </w:r>
      <w:r w:rsidRPr="001D2400">
        <w:rPr>
          <w:rFonts w:asciiTheme="minorHAnsi" w:eastAsia="Lucida Sans Unicode" w:hAnsiTheme="minorHAnsi" w:cstheme="minorHAnsi"/>
          <w:lang w:eastAsia="ar-SA"/>
        </w:rPr>
        <w:t>nieważność została stwierdzona, bądź jest przedmiotem postępowania w sprawie stwierdzenia nieważności i którego skutki prawne zo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stały zniesione, przyjąć należy, że przepis prawny zależny również został podjęty w sposób sprzeczny z prawem. Z tego powodu przepis podstawowy wpływa w sposób bezpośredni na ocenę prawną przepisu zależnego. </w:t>
      </w: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bCs/>
          <w:lang w:eastAsia="ar-SA"/>
        </w:rPr>
      </w:pPr>
    </w:p>
    <w:p w:rsidR="00C409C0" w:rsidRPr="001D2400" w:rsidRDefault="0049056E" w:rsidP="00C409C0">
      <w:pPr>
        <w:widowControl w:val="0"/>
        <w:suppressAutoHyphens/>
        <w:spacing w:line="360" w:lineRule="auto"/>
        <w:ind w:firstLine="709"/>
        <w:jc w:val="both"/>
        <w:rPr>
          <w:rFonts w:asciiTheme="minorHAnsi" w:eastAsia="Lucida Sans Unicode" w:hAnsiTheme="minorHAnsi" w:cstheme="minorHAnsi"/>
          <w:bCs/>
          <w:lang w:eastAsia="ar-SA"/>
        </w:rPr>
      </w:pPr>
      <w:r w:rsidRPr="001D2400">
        <w:rPr>
          <w:rFonts w:asciiTheme="minorHAnsi" w:hAnsiTheme="minorHAnsi" w:cstheme="minorHAnsi"/>
        </w:rPr>
        <w:t xml:space="preserve">Art. 91 ust. 1 ustawy </w:t>
      </w:r>
      <w:r w:rsidRPr="001D2400">
        <w:rPr>
          <w:rFonts w:asciiTheme="minorHAnsi" w:hAnsiTheme="minorHAnsi" w:cstheme="minorHAnsi"/>
          <w:i/>
        </w:rPr>
        <w:t xml:space="preserve">o samorządzie gminnym </w:t>
      </w:r>
      <w:r w:rsidRPr="001D2400">
        <w:rPr>
          <w:rFonts w:asciiTheme="minorHAnsi" w:hAnsiTheme="minorHAnsi" w:cstheme="minorHAnsi"/>
        </w:rPr>
        <w:t>st</w:t>
      </w:r>
      <w:r w:rsidRPr="001D2400">
        <w:rPr>
          <w:rFonts w:asciiTheme="minorHAnsi" w:hAnsiTheme="minorHAnsi" w:cstheme="minorHAnsi"/>
        </w:rPr>
        <w:t xml:space="preserve">wierdza: </w:t>
      </w:r>
      <w:r w:rsidRPr="001D2400">
        <w:rPr>
          <w:rFonts w:asciiTheme="minorHAnsi" w:hAnsiTheme="minorHAnsi" w:cstheme="minorHAnsi"/>
          <w:i/>
        </w:rPr>
        <w:t xml:space="preserve">Uchwała lub zarządzenie organu gminy sprzeczne z prawem są nieważne. O nieważności uchwały lub zarządzenia </w:t>
      </w:r>
      <w:r w:rsidRPr="001D2400">
        <w:rPr>
          <w:rFonts w:asciiTheme="minorHAnsi" w:hAnsiTheme="minorHAnsi" w:cstheme="minorHAnsi"/>
          <w:i/>
        </w:rPr>
        <w:br/>
        <w:t xml:space="preserve">w całości lub w części orzeka organ nadzoru w terminie nie dłuższym niż 30 dni od dnia doręczenia uchwały lub zarządzenia. </w:t>
      </w:r>
      <w:r w:rsidRPr="001D2400">
        <w:rPr>
          <w:rStyle w:val="info-list-value-uzasadnienie"/>
          <w:rFonts w:asciiTheme="minorHAnsi" w:hAnsiTheme="minorHAnsi" w:cstheme="minorHAnsi"/>
        </w:rPr>
        <w:t>Zgodnie ze stano</w:t>
      </w:r>
      <w:r w:rsidRPr="001D2400">
        <w:rPr>
          <w:rStyle w:val="info-list-value-uzasadnienie"/>
          <w:rFonts w:asciiTheme="minorHAnsi" w:hAnsiTheme="minorHAnsi" w:cstheme="minorHAnsi"/>
        </w:rPr>
        <w:t>wiskiem orzecznictwa i doktryny prawa istotnym naruszeniem jest nieprawidłowość oczywista i bezpośrednia, która prowadzi do takich skutków, które nie mogą być zaakceptowane w demokratycznym państwie prawnym. Do istotnych naruszeń zalicza się między innymi:</w:t>
      </w:r>
      <w:r w:rsidRPr="001D2400">
        <w:rPr>
          <w:rStyle w:val="info-list-value-uzasadnienie"/>
          <w:rFonts w:asciiTheme="minorHAnsi" w:hAnsiTheme="minorHAnsi" w:cstheme="minorHAnsi"/>
        </w:rPr>
        <w:t xml:space="preserve"> podjęcie aktu bez podstawy prawnej, podjęcie aktu na podstawie normy prawnej uznanej za niekonstytucyjną, powtarzanie w akcie normatywnym treści przepisów ustawowych, brak pełnej realizacji zakresu ustawowego upoważnienia, podjęcie unormowań trudnych do j</w:t>
      </w:r>
      <w:r w:rsidRPr="001D2400">
        <w:rPr>
          <w:rStyle w:val="info-list-value-uzasadnienie"/>
          <w:rFonts w:asciiTheme="minorHAnsi" w:hAnsiTheme="minorHAnsi" w:cstheme="minorHAnsi"/>
        </w:rPr>
        <w:t>ednoznacznego odczytania i interpretacji (</w:t>
      </w:r>
      <w:r w:rsidRPr="001D2400">
        <w:rPr>
          <w:rStyle w:val="info-list-value-uzasadnienie"/>
          <w:rFonts w:asciiTheme="minorHAnsi" w:hAnsiTheme="minorHAnsi" w:cstheme="minorHAnsi"/>
          <w:i/>
        </w:rPr>
        <w:t>vide:</w:t>
      </w:r>
      <w:r w:rsidRPr="001D2400">
        <w:rPr>
          <w:rStyle w:val="info-list-value-uzasadnienie"/>
          <w:rFonts w:asciiTheme="minorHAnsi" w:hAnsiTheme="minorHAnsi" w:cstheme="minorHAnsi"/>
        </w:rPr>
        <w:t xml:space="preserve"> G. </w:t>
      </w:r>
      <w:r w:rsidRPr="001D2400">
        <w:rPr>
          <w:rFonts w:asciiTheme="minorHAnsi" w:hAnsiTheme="minorHAnsi" w:cstheme="minorHAnsi"/>
        </w:rPr>
        <w:t xml:space="preserve">Jyż, Z. Pławecki, A. Szewc, </w:t>
      </w:r>
      <w:r w:rsidRPr="001D2400">
        <w:rPr>
          <w:rFonts w:asciiTheme="minorHAnsi" w:hAnsiTheme="minorHAnsi" w:cstheme="minorHAnsi"/>
          <w:i/>
        </w:rPr>
        <w:t xml:space="preserve">Ustawa </w:t>
      </w:r>
      <w:r>
        <w:rPr>
          <w:rFonts w:asciiTheme="minorHAnsi" w:hAnsiTheme="minorHAnsi" w:cstheme="minorHAnsi"/>
          <w:i/>
        </w:rPr>
        <w:br/>
      </w:r>
      <w:r w:rsidRPr="001D2400">
        <w:rPr>
          <w:rFonts w:asciiTheme="minorHAnsi" w:hAnsiTheme="minorHAnsi" w:cstheme="minorHAnsi"/>
          <w:i/>
        </w:rPr>
        <w:t xml:space="preserve">o samorządzie gminnym. Komentarz, </w:t>
      </w:r>
      <w:r w:rsidRPr="001D2400">
        <w:rPr>
          <w:rFonts w:asciiTheme="minorHAnsi" w:hAnsiTheme="minorHAnsi" w:cstheme="minorHAnsi"/>
        </w:rPr>
        <w:t xml:space="preserve">Lex 2012, </w:t>
      </w:r>
      <w:r w:rsidRPr="001D2400">
        <w:rPr>
          <w:rFonts w:asciiTheme="minorHAnsi" w:hAnsiTheme="minorHAnsi" w:cstheme="minorHAnsi"/>
          <w:i/>
        </w:rPr>
        <w:t xml:space="preserve">Ustawa o samorządzie gminnym. Komentarz, </w:t>
      </w:r>
      <w:r>
        <w:rPr>
          <w:rFonts w:asciiTheme="minorHAnsi" w:hAnsiTheme="minorHAnsi" w:cstheme="minorHAnsi"/>
        </w:rPr>
        <w:t xml:space="preserve">pod red. </w:t>
      </w:r>
      <w:r w:rsidRPr="001D2400">
        <w:rPr>
          <w:rFonts w:asciiTheme="minorHAnsi" w:hAnsiTheme="minorHAnsi" w:cstheme="minorHAnsi"/>
        </w:rPr>
        <w:t>B. Dolnickiego, Warszawa 2018).</w:t>
      </w:r>
    </w:p>
    <w:p w:rsidR="00C409C0" w:rsidRPr="001D2400" w:rsidRDefault="0049056E" w:rsidP="00C409C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409C0" w:rsidRPr="001D2400" w:rsidRDefault="0049056E" w:rsidP="00C409C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 xml:space="preserve">Biorąc pod uwagę opisane powyżej </w:t>
      </w:r>
      <w:r w:rsidRPr="001D2400">
        <w:rPr>
          <w:rFonts w:asciiTheme="minorHAnsi" w:hAnsiTheme="minorHAnsi" w:cstheme="minorHAnsi"/>
        </w:rPr>
        <w:t>okoliczności faktyczne i prawne Wojewoda Mazowiecki stwierdza, że uchwała Rady Miasta Mława nr XXXV/476/2021</w:t>
      </w:r>
      <w:r>
        <w:rPr>
          <w:rFonts w:asciiTheme="minorHAnsi" w:eastAsia="Lucida Sans Unicode" w:hAnsiTheme="minorHAnsi" w:cstheme="minorHAnsi"/>
          <w:lang w:eastAsia="ar-SA"/>
        </w:rPr>
        <w:t>, istotnie narusza prawo, we 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wskazanym w sentencji niniejszego rozstrzygnięcia zakresie, i </w:t>
      </w:r>
      <w:r>
        <w:rPr>
          <w:rFonts w:asciiTheme="minorHAnsi" w:eastAsia="Lucida Sans Unicode" w:hAnsiTheme="minorHAnsi" w:cstheme="minorHAnsi"/>
          <w:lang w:eastAsia="ar-SA"/>
        </w:rPr>
        <w:t>jako sprzeczna z prawem, jest w </w:t>
      </w:r>
      <w:r w:rsidRPr="001D2400">
        <w:rPr>
          <w:rFonts w:asciiTheme="minorHAnsi" w:eastAsia="Lucida Sans Unicode" w:hAnsiTheme="minorHAnsi" w:cstheme="minorHAnsi"/>
          <w:lang w:eastAsia="ar-SA"/>
        </w:rPr>
        <w:t xml:space="preserve">tym zakresie nieważna. </w:t>
      </w:r>
    </w:p>
    <w:p w:rsidR="00C409C0" w:rsidRPr="001D2400" w:rsidRDefault="0049056E" w:rsidP="00C409C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409C0" w:rsidRPr="001D2400" w:rsidRDefault="0049056E" w:rsidP="00C409C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 xml:space="preserve">Na niniejsze </w:t>
      </w:r>
      <w:r>
        <w:rPr>
          <w:rFonts w:asciiTheme="minorHAnsi" w:hAnsiTheme="minorHAnsi" w:cstheme="minorHAnsi"/>
        </w:rPr>
        <w:t>rozstrzygnięcie nadzorcze Miastu</w:t>
      </w:r>
      <w:r w:rsidRPr="001D2400">
        <w:rPr>
          <w:rFonts w:asciiTheme="minorHAnsi" w:hAnsiTheme="minorHAnsi" w:cstheme="minorHAnsi"/>
        </w:rPr>
        <w:t xml:space="preserve"> przysługuje skarga do Wojewódzkiego Sądu Administracyjnego w Warszawie w terminie 30 dni od dnia doręczenia, wnoszona </w:t>
      </w:r>
      <w:r w:rsidRPr="001D2400">
        <w:rPr>
          <w:rFonts w:asciiTheme="minorHAnsi" w:hAnsiTheme="minorHAnsi" w:cstheme="minorHAnsi"/>
        </w:rPr>
        <w:br/>
        <w:t>za pośrednictwem Wojewody Mazowieckiego.</w:t>
      </w:r>
    </w:p>
    <w:p w:rsidR="00C409C0" w:rsidRPr="001D2400" w:rsidRDefault="0049056E" w:rsidP="00C409C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F228AB" w:rsidRPr="00C409C0" w:rsidRDefault="0049056E" w:rsidP="00C409C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1D2400">
        <w:rPr>
          <w:rFonts w:asciiTheme="minorHAnsi" w:hAnsiTheme="minorHAnsi" w:cstheme="minorHAnsi"/>
        </w:rPr>
        <w:t xml:space="preserve">Informuję, że rozstrzygnięcie nadzorcze, z dniem </w:t>
      </w:r>
      <w:r w:rsidRPr="001D2400">
        <w:rPr>
          <w:rFonts w:asciiTheme="minorHAnsi" w:hAnsiTheme="minorHAnsi" w:cstheme="minorHAnsi"/>
        </w:rPr>
        <w:t>jego doręczenia, wstrzymuje wykonanie uchwały w zakresie objętym stwierdzeniem nieważności, z mocy prawa.</w:t>
      </w:r>
    </w:p>
    <w:p w:rsidR="004824F3" w:rsidRDefault="0049056E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49056E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49056E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49056E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49056E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6E"/>
    <w:rsid w:val="004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3FFF5-DFB7-4045-950D-40DC2C5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info-list-value-uzasadnienie">
    <w:name w:val="info-list-value-uzasadnienie"/>
    <w:basedOn w:val="Domylnaczcionkaakapitu"/>
    <w:rsid w:val="00C4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2B25-C0B1-40DE-A76C-45C4D86B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2022-01-27T11:01:00Z</dcterms:created>
  <dcterms:modified xsi:type="dcterms:W3CDTF">2022-01-27T11:01:00Z</dcterms:modified>
</cp:coreProperties>
</file>